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94E96">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000000"/>
          <w:kern w:val="2"/>
          <w:sz w:val="44"/>
          <w:szCs w:val="44"/>
          <w:highlight w:val="none"/>
          <w:lang w:val="en-US" w:eastAsia="zh-CN" w:bidi="zh-CN"/>
        </w:rPr>
      </w:pPr>
    </w:p>
    <w:p w14:paraId="5A408347">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000000"/>
          <w:kern w:val="2"/>
          <w:sz w:val="44"/>
          <w:szCs w:val="44"/>
          <w:highlight w:val="none"/>
          <w:lang w:val="en-US" w:eastAsia="zh-CN" w:bidi="zh-CN"/>
        </w:rPr>
      </w:pPr>
    </w:p>
    <w:p w14:paraId="7B9823FB">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000000"/>
          <w:kern w:val="2"/>
          <w:sz w:val="44"/>
          <w:szCs w:val="44"/>
          <w:highlight w:val="none"/>
          <w:lang w:val="en-US" w:eastAsia="zh-CN" w:bidi="zh-CN"/>
        </w:rPr>
      </w:pPr>
    </w:p>
    <w:p w14:paraId="295FD9CD">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000000"/>
          <w:kern w:val="2"/>
          <w:sz w:val="44"/>
          <w:szCs w:val="44"/>
          <w:highlight w:val="none"/>
          <w:lang w:val="en-US" w:eastAsia="zh-CN" w:bidi="zh-CN"/>
        </w:rPr>
      </w:pPr>
      <w:r>
        <w:rPr>
          <w:rFonts w:hint="eastAsia" w:ascii="Times New Roman" w:hAnsi="Times New Roman" w:eastAsia="宋体" w:cs="Times New Roman"/>
          <w:b/>
          <w:bCs/>
          <w:color w:val="000000"/>
          <w:kern w:val="2"/>
          <w:sz w:val="44"/>
          <w:szCs w:val="44"/>
          <w:highlight w:val="none"/>
          <w:lang w:val="en-US" w:eastAsia="zh-CN" w:bidi="zh-CN"/>
        </w:rPr>
        <w:t>第八采油厂2025年管网改造工程项目</w:t>
      </w:r>
    </w:p>
    <w:p w14:paraId="372E8895">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kern w:val="2"/>
          <w:sz w:val="44"/>
          <w:szCs w:val="44"/>
          <w:highlight w:val="none"/>
          <w:lang w:val="en-US" w:eastAsia="zh-CN" w:bidi="zh-CN"/>
        </w:rPr>
      </w:pPr>
      <w:r>
        <w:rPr>
          <w:rFonts w:hint="eastAsia" w:ascii="Times New Roman" w:hAnsi="Times New Roman" w:eastAsia="宋体" w:cs="Times New Roman"/>
          <w:b/>
          <w:bCs/>
          <w:color w:val="000000"/>
          <w:kern w:val="2"/>
          <w:sz w:val="44"/>
          <w:szCs w:val="44"/>
          <w:highlight w:val="none"/>
          <w:lang w:val="en-US" w:eastAsia="zh-CN" w:bidi="zh-CN"/>
        </w:rPr>
        <w:t>（报批前公示）</w:t>
      </w:r>
    </w:p>
    <w:p w14:paraId="30059D28">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7B88ECFF">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1424" w:firstLineChars="200"/>
        <w:jc w:val="center"/>
        <w:textAlignment w:val="auto"/>
        <w:rPr>
          <w:rFonts w:hint="default" w:ascii="Times New Roman" w:hAnsi="Times New Roman" w:eastAsia="宋体" w:cs="Times New Roman"/>
          <w:color w:val="000000"/>
          <w:w w:val="99"/>
          <w:kern w:val="0"/>
          <w:sz w:val="72"/>
          <w:szCs w:val="72"/>
          <w:lang w:val="en-US" w:eastAsia="zh-CN" w:bidi="ar-SA"/>
        </w:rPr>
      </w:pPr>
    </w:p>
    <w:p w14:paraId="7D759701">
      <w:pPr>
        <w:keepNext w:val="0"/>
        <w:keepLines w:val="0"/>
        <w:pageBreakBefore w:val="0"/>
        <w:widowControl w:val="0"/>
        <w:tabs>
          <w:tab w:val="left" w:pos="946"/>
        </w:tabs>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黑体" w:cs="Times New Roman"/>
          <w:color w:val="000000"/>
          <w:kern w:val="2"/>
          <w:sz w:val="28"/>
          <w:szCs w:val="28"/>
          <w:lang w:val="en-US" w:eastAsia="zh-CN" w:bidi="zh-CN"/>
        </w:rPr>
      </w:pPr>
      <w:r>
        <w:rPr>
          <w:rFonts w:hint="default" w:ascii="Times New Roman" w:hAnsi="Times New Roman" w:eastAsia="黑体" w:cs="Times New Roman"/>
          <w:color w:val="000000"/>
          <w:kern w:val="2"/>
          <w:sz w:val="28"/>
          <w:szCs w:val="28"/>
          <w:lang w:val="en-US" w:eastAsia="zh-CN" w:bidi="zh-CN"/>
        </w:rPr>
        <w:t>编制单位：</w:t>
      </w:r>
      <w:r>
        <w:rPr>
          <w:rFonts w:hint="eastAsia" w:ascii="Times New Roman" w:hAnsi="Times New Roman" w:eastAsia="黑体" w:cs="Times New Roman"/>
          <w:color w:val="000000"/>
          <w:kern w:val="2"/>
          <w:sz w:val="28"/>
          <w:szCs w:val="28"/>
          <w:lang w:val="en-US" w:eastAsia="zh-CN" w:bidi="zh-CN"/>
        </w:rPr>
        <w:t>大庆油田有限责任公司第八采油厂</w:t>
      </w:r>
    </w:p>
    <w:p w14:paraId="7B85FA67">
      <w:pPr>
        <w:jc w:val="center"/>
        <w:rPr>
          <w:rFonts w:hint="default" w:ascii="Times New Roman" w:hAnsi="Times New Roman" w:eastAsia="黑体" w:cs="Times New Roman"/>
          <w:color w:val="000000" w:themeColor="text1"/>
          <w:kern w:val="2"/>
          <w:sz w:val="28"/>
          <w:szCs w:val="28"/>
          <w:lang w:val="en-US" w:eastAsia="zh-CN"/>
          <w14:textFill>
            <w14:solidFill>
              <w14:schemeClr w14:val="tx1"/>
            </w14:solidFill>
          </w14:textFill>
        </w:rPr>
      </w:pPr>
      <w:r>
        <w:rPr>
          <w:rFonts w:hint="default" w:ascii="Times New Roman" w:hAnsi="Times New Roman" w:eastAsia="黑体" w:cs="Times New Roman"/>
          <w:color w:val="000000"/>
          <w:kern w:val="2"/>
          <w:sz w:val="28"/>
          <w:szCs w:val="28"/>
          <w:lang w:val="en-US" w:eastAsia="zh-CN" w:bidi="zh-CN"/>
        </w:rPr>
        <w:t>202</w:t>
      </w:r>
      <w:r>
        <w:rPr>
          <w:rFonts w:hint="eastAsia" w:ascii="Times New Roman" w:hAnsi="Times New Roman" w:eastAsia="黑体" w:cs="Times New Roman"/>
          <w:color w:val="000000"/>
          <w:kern w:val="2"/>
          <w:sz w:val="28"/>
          <w:szCs w:val="28"/>
          <w:lang w:val="en-US" w:eastAsia="zh-CN" w:bidi="zh-CN"/>
        </w:rPr>
        <w:t>6</w:t>
      </w:r>
      <w:r>
        <w:rPr>
          <w:rFonts w:hint="default" w:ascii="Times New Roman" w:hAnsi="Times New Roman" w:eastAsia="黑体" w:cs="Times New Roman"/>
          <w:color w:val="000000"/>
          <w:kern w:val="2"/>
          <w:sz w:val="28"/>
          <w:szCs w:val="28"/>
          <w:lang w:val="en-US" w:eastAsia="zh-CN" w:bidi="zh-CN"/>
        </w:rPr>
        <w:t>年</w:t>
      </w:r>
      <w:r>
        <w:rPr>
          <w:rFonts w:hint="eastAsia" w:ascii="Times New Roman" w:hAnsi="Times New Roman" w:eastAsia="黑体" w:cs="Times New Roman"/>
          <w:color w:val="000000"/>
          <w:kern w:val="2"/>
          <w:sz w:val="28"/>
          <w:szCs w:val="28"/>
          <w:lang w:val="en-US" w:eastAsia="zh-CN" w:bidi="zh-CN"/>
        </w:rPr>
        <w:t>1</w:t>
      </w:r>
      <w:r>
        <w:rPr>
          <w:rFonts w:hint="default" w:ascii="Times New Roman" w:hAnsi="Times New Roman" w:eastAsia="黑体" w:cs="Times New Roman"/>
          <w:color w:val="000000"/>
          <w:kern w:val="2"/>
          <w:sz w:val="28"/>
          <w:szCs w:val="28"/>
          <w:lang w:val="en-US" w:eastAsia="zh-CN" w:bidi="zh-CN"/>
        </w:rPr>
        <w:t>月</w:t>
      </w:r>
    </w:p>
    <w:p w14:paraId="7E2D2C51">
      <w:pPr>
        <w:keepNext w:val="0"/>
        <w:keepLines w:val="0"/>
        <w:pageBreakBefore w:val="0"/>
        <w:widowControl w:val="0"/>
        <w:kinsoku/>
        <w:wordWrap/>
        <w:topLinePunct w:val="0"/>
        <w:bidi w:val="0"/>
        <w:spacing w:line="360" w:lineRule="auto"/>
        <w:jc w:val="center"/>
        <w:rPr>
          <w:rFonts w:hint="eastAsia" w:ascii="Times New Roman" w:hAnsi="Times New Roman" w:eastAsia="宋体" w:cs="Times New Roman"/>
          <w:b/>
          <w:color w:val="000000" w:themeColor="text1"/>
          <w:sz w:val="36"/>
          <w:szCs w:val="28"/>
          <w:highlight w:val="none"/>
          <w:lang w:eastAsia="zh-CN"/>
          <w14:textFill>
            <w14:solidFill>
              <w14:schemeClr w14:val="tx1"/>
            </w14:solidFill>
          </w14:textFill>
        </w:rPr>
      </w:pPr>
    </w:p>
    <w:p w14:paraId="26330C25">
      <w:pPr>
        <w:keepNext w:val="0"/>
        <w:keepLines w:val="0"/>
        <w:pageBreakBefore w:val="0"/>
        <w:widowControl w:val="0"/>
        <w:kinsoku/>
        <w:wordWrap/>
        <w:topLinePunct w:val="0"/>
        <w:bidi w:val="0"/>
        <w:spacing w:line="360" w:lineRule="auto"/>
        <w:jc w:val="center"/>
        <w:rPr>
          <w:rFonts w:hint="eastAsia" w:ascii="Times New Roman" w:hAnsi="Times New Roman" w:eastAsia="宋体" w:cs="Times New Roman"/>
          <w:b/>
          <w:color w:val="000000" w:themeColor="text1"/>
          <w:sz w:val="36"/>
          <w:szCs w:val="28"/>
          <w:highlight w:val="none"/>
          <w:lang w:eastAsia="zh-CN"/>
          <w14:textFill>
            <w14:solidFill>
              <w14:schemeClr w14:val="tx1"/>
            </w14:solidFill>
          </w14:textFill>
        </w:rPr>
      </w:pPr>
    </w:p>
    <w:p w14:paraId="28391D19">
      <w:pPr>
        <w:keepNext w:val="0"/>
        <w:keepLines w:val="0"/>
        <w:pageBreakBefore w:val="0"/>
        <w:widowControl w:val="0"/>
        <w:kinsoku/>
        <w:wordWrap/>
        <w:topLinePunct w:val="0"/>
        <w:bidi w:val="0"/>
        <w:spacing w:line="360" w:lineRule="auto"/>
        <w:jc w:val="center"/>
        <w:rPr>
          <w:rFonts w:hint="eastAsia" w:ascii="Times New Roman" w:hAnsi="Times New Roman" w:eastAsia="宋体" w:cs="Times New Roman"/>
          <w:b/>
          <w:color w:val="000000" w:themeColor="text1"/>
          <w:sz w:val="36"/>
          <w:szCs w:val="28"/>
          <w:highlight w:val="none"/>
          <w:lang w:eastAsia="zh-CN"/>
          <w14:textFill>
            <w14:solidFill>
              <w14:schemeClr w14:val="tx1"/>
            </w14:solidFill>
          </w14:textFill>
        </w:rPr>
      </w:pPr>
    </w:p>
    <w:p w14:paraId="404F153F">
      <w:pPr>
        <w:keepNext w:val="0"/>
        <w:keepLines w:val="0"/>
        <w:pageBreakBefore w:val="0"/>
        <w:widowControl w:val="0"/>
        <w:kinsoku/>
        <w:wordWrap/>
        <w:topLinePunct w:val="0"/>
        <w:bidi w:val="0"/>
        <w:spacing w:line="360" w:lineRule="auto"/>
        <w:jc w:val="center"/>
        <w:rPr>
          <w:rFonts w:hint="eastAsia" w:ascii="Times New Roman" w:hAnsi="Times New Roman" w:eastAsia="宋体" w:cs="Times New Roman"/>
          <w:b/>
          <w:color w:val="000000" w:themeColor="text1"/>
          <w:sz w:val="36"/>
          <w:szCs w:val="28"/>
          <w:highlight w:val="none"/>
          <w:lang w:eastAsia="zh-CN"/>
          <w14:textFill>
            <w14:solidFill>
              <w14:schemeClr w14:val="tx1"/>
            </w14:solidFill>
          </w14:textFill>
        </w:rPr>
      </w:pPr>
    </w:p>
    <w:p w14:paraId="0DD7ECAF">
      <w:pPr>
        <w:pStyle w:val="28"/>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19C49495">
      <w:pPr>
        <w:keepNext w:val="0"/>
        <w:keepLines w:val="0"/>
        <w:pageBreakBefore w:val="0"/>
        <w:widowControl w:val="0"/>
        <w:kinsoku/>
        <w:wordWrap/>
        <w:topLinePunct w:val="0"/>
        <w:bidi w:val="0"/>
        <w:rPr>
          <w:rFonts w:hint="default"/>
          <w:color w:val="000000" w:themeColor="text1"/>
          <w:highlight w:val="none"/>
          <w:lang w:val="en-US" w:eastAsia="zh-CN"/>
          <w14:textFill>
            <w14:solidFill>
              <w14:schemeClr w14:val="tx1"/>
            </w14:solidFill>
          </w14:textFill>
        </w:rPr>
        <w:sectPr>
          <w:footerReference r:id="rId4" w:type="default"/>
          <w:pgSz w:w="11906" w:h="16838"/>
          <w:pgMar w:top="1417" w:right="1417" w:bottom="1417" w:left="1417" w:header="1134" w:footer="964" w:gutter="0"/>
          <w:pgBorders>
            <w:top w:val="none" w:sz="0" w:space="0"/>
            <w:left w:val="none" w:sz="0" w:space="0"/>
            <w:bottom w:val="none" w:sz="0" w:space="0"/>
            <w:right w:val="none" w:sz="0" w:space="0"/>
          </w:pgBorders>
          <w:pgNumType w:fmt="decimal"/>
          <w:cols w:space="708" w:num="1"/>
          <w:docGrid w:linePitch="360" w:charSpace="0"/>
        </w:sectPr>
      </w:pPr>
    </w:p>
    <w:p w14:paraId="413B0BAC">
      <w:pPr>
        <w:keepNext w:val="0"/>
        <w:keepLines w:val="0"/>
        <w:pageBreakBefore w:val="0"/>
        <w:widowControl w:val="0"/>
        <w:tabs>
          <w:tab w:val="center" w:pos="4595"/>
          <w:tab w:val="left" w:pos="5406"/>
        </w:tabs>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eastAsia="宋体" w:cs="Times New Roman"/>
          <w:b/>
          <w:color w:val="000000" w:themeColor="text1"/>
          <w:sz w:val="32"/>
          <w:szCs w:val="32"/>
          <w:highlight w:val="none"/>
          <w:lang w:eastAsia="zh-CN"/>
          <w14:textFill>
            <w14:solidFill>
              <w14:schemeClr w14:val="tx1"/>
            </w14:solidFill>
          </w14:textFill>
        </w:rPr>
      </w:pPr>
      <w:bookmarkStart w:id="0" w:name="_Toc25996"/>
      <w:bookmarkStart w:id="1" w:name="_Toc71535912"/>
      <w:bookmarkStart w:id="2" w:name="_Toc699"/>
      <w:bookmarkStart w:id="3" w:name="_Toc6180"/>
      <w:bookmarkStart w:id="4" w:name="_Toc23344"/>
      <w:r>
        <w:rPr>
          <w:rFonts w:hint="eastAsia" w:ascii="Times New Roman" w:hAnsi="Times New Roman" w:eastAsia="宋体" w:cs="Times New Roman"/>
          <w:b/>
          <w:color w:val="000000" w:themeColor="text1"/>
          <w:sz w:val="32"/>
          <w:szCs w:val="32"/>
          <w:highlight w:val="none"/>
          <w:lang w:eastAsia="zh-CN"/>
          <w14:textFill>
            <w14:solidFill>
              <w14:schemeClr w14:val="tx1"/>
            </w14:solidFill>
          </w14:textFill>
        </w:rPr>
        <w:tab/>
      </w:r>
      <w:r>
        <w:rPr>
          <w:rFonts w:hint="default" w:ascii="Times New Roman" w:hAnsi="Times New Roman" w:eastAsia="宋体" w:cs="Times New Roman"/>
          <w:b/>
          <w:color w:val="000000" w:themeColor="text1"/>
          <w:sz w:val="32"/>
          <w:szCs w:val="32"/>
          <w:highlight w:val="none"/>
          <w14:textFill>
            <w14:solidFill>
              <w14:schemeClr w14:val="tx1"/>
            </w14:solidFill>
          </w14:textFill>
        </w:rPr>
        <w:t>目录</w:t>
      </w:r>
      <w:bookmarkEnd w:id="0"/>
      <w:bookmarkEnd w:id="1"/>
      <w:bookmarkEnd w:id="2"/>
      <w:bookmarkEnd w:id="3"/>
      <w:bookmarkEnd w:id="4"/>
      <w:r>
        <w:rPr>
          <w:rFonts w:hint="eastAsia" w:ascii="Times New Roman" w:hAnsi="Times New Roman" w:eastAsia="宋体" w:cs="Times New Roman"/>
          <w:b/>
          <w:color w:val="000000" w:themeColor="text1"/>
          <w:sz w:val="32"/>
          <w:szCs w:val="32"/>
          <w:highlight w:val="none"/>
          <w:lang w:eastAsia="zh-CN"/>
          <w14:textFill>
            <w14:solidFill>
              <w14:schemeClr w14:val="tx1"/>
            </w14:solidFill>
          </w14:textFill>
        </w:rPr>
        <w:tab/>
      </w:r>
    </w:p>
    <w:p w14:paraId="6203E716">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b w:val="0"/>
          <w:color w:val="000000" w:themeColor="text1"/>
          <w:sz w:val="36"/>
          <w:szCs w:val="36"/>
          <w:highlight w:val="none"/>
          <w14:textFill>
            <w14:solidFill>
              <w14:schemeClr w14:val="tx1"/>
            </w14:solidFill>
          </w14:textFill>
        </w:rPr>
        <w:fldChar w:fldCharType="begin"/>
      </w:r>
      <w:r>
        <w:rPr>
          <w:rFonts w:hint="default" w:ascii="Times New Roman" w:hAnsi="Times New Roman" w:eastAsia="宋体" w:cs="Times New Roman"/>
          <w:b w:val="0"/>
          <w:color w:val="000000" w:themeColor="text1"/>
          <w:sz w:val="36"/>
          <w:szCs w:val="36"/>
          <w:highlight w:val="none"/>
          <w14:textFill>
            <w14:solidFill>
              <w14:schemeClr w14:val="tx1"/>
            </w14:solidFill>
          </w14:textFill>
        </w:rPr>
        <w:instrText xml:space="preserve"> TOC \o "1-2" \h \z \u </w:instrText>
      </w:r>
      <w:r>
        <w:rPr>
          <w:rFonts w:hint="default" w:ascii="Times New Roman" w:hAnsi="Times New Roman" w:eastAsia="宋体" w:cs="Times New Roman"/>
          <w:b w:val="0"/>
          <w:color w:val="000000" w:themeColor="text1"/>
          <w:sz w:val="36"/>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_Toc28304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一</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8"/>
          <w:highlight w:val="none"/>
          <w14:textFill>
            <w14:solidFill>
              <w14:schemeClr w14:val="tx1"/>
            </w14:solidFill>
          </w14:textFill>
        </w:rPr>
        <w:t>概述</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D0639B0">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_Toc5036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1.1项目建设背景</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26FC489">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_Toc5048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2环评文件类别判定</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25BF8E4">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_Toc14437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8"/>
          <w:highlight w:val="none"/>
          <w14:textFill>
            <w14:solidFill>
              <w14:schemeClr w14:val="tx1"/>
            </w14:solidFill>
          </w14:textFill>
        </w:rPr>
        <w:t>建设项目特点</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5FE6438">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_Toc17184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8"/>
          <w:highlight w:val="none"/>
          <w14:textFill>
            <w14:solidFill>
              <w14:schemeClr w14:val="tx1"/>
            </w14:solidFill>
          </w14:textFill>
        </w:rPr>
        <w:t>环境影响评价工作过程</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1AC7EE5">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_Toc17182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1.</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8"/>
          <w:highlight w:val="none"/>
          <w14:textFill>
            <w14:solidFill>
              <w14:schemeClr w14:val="tx1"/>
            </w14:solidFill>
          </w14:textFill>
        </w:rPr>
        <w:t>分析判定情况</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3F16F30">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_Toc836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1.</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8"/>
          <w:highlight w:val="none"/>
          <w14:textFill>
            <w14:solidFill>
              <w14:schemeClr w14:val="tx1"/>
            </w14:solidFill>
          </w14:textFill>
        </w:rPr>
        <w:t>主要关注的环境问题及环境影响</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7DB49B3">
      <w:pPr>
        <w:pStyle w:val="14"/>
        <w:tabs>
          <w:tab w:val="right" w:leader="dot" w:pos="9072"/>
        </w:tabs>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_Toc24678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1.</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Cs w:val="28"/>
          <w:highlight w:val="none"/>
          <w14:textFill>
            <w14:solidFill>
              <w14:schemeClr w14:val="tx1"/>
            </w14:solidFill>
          </w14:textFill>
        </w:rPr>
        <w:t>环境影响评价主要结论</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r>
        <w:rPr>
          <w:rFonts w:hint="eastAsia" w:ascii="Times New Roman" w:hAnsi="Times New Roman" w:eastAsia="宋体" w:cs="Times New Roman"/>
          <w:color w:val="000000" w:themeColor="text1"/>
          <w:szCs w:val="36"/>
          <w:highlight w:val="none"/>
          <w:lang w:val="en-US" w:eastAsia="zh-CN"/>
          <w14:textFill>
            <w14:solidFill>
              <w14:schemeClr w14:val="tx1"/>
            </w14:solidFill>
          </w14:textFill>
        </w:rPr>
        <w:t>7</w:t>
      </w:r>
    </w:p>
    <w:p w14:paraId="132817A5">
      <w:pPr>
        <w:pStyle w:val="12"/>
        <w:tabs>
          <w:tab w:val="right" w:leader="dot" w:pos="9072"/>
        </w:tabs>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_Toc5748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二.总则</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r>
        <w:rPr>
          <w:rFonts w:hint="eastAsia" w:ascii="Times New Roman" w:hAnsi="Times New Roman" w:eastAsia="宋体" w:cs="Times New Roman"/>
          <w:color w:val="000000" w:themeColor="text1"/>
          <w:szCs w:val="36"/>
          <w:highlight w:val="none"/>
          <w:lang w:val="en-US" w:eastAsia="zh-CN"/>
          <w14:textFill>
            <w14:solidFill>
              <w14:schemeClr w14:val="tx1"/>
            </w14:solidFill>
          </w14:textFill>
        </w:rPr>
        <w:t>8</w:t>
      </w:r>
    </w:p>
    <w:p w14:paraId="7C8CDA65">
      <w:pPr>
        <w:pStyle w:val="14"/>
        <w:tabs>
          <w:tab w:val="right" w:leader="dot" w:pos="9072"/>
        </w:tabs>
        <w:rPr>
          <w:rFonts w:hint="eastAsia"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_Toc22876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4"/>
          <w:highlight w:val="none"/>
          <w14:textFill>
            <w14:solidFill>
              <w14:schemeClr w14:val="tx1"/>
            </w14:solidFill>
          </w14:textFill>
        </w:rPr>
        <w:t>2.1编制依据</w:t>
      </w:r>
      <w:r>
        <w:rPr>
          <w:color w:val="000000" w:themeColor="text1"/>
          <w:highlight w:val="none"/>
          <w14:textFill>
            <w14:solidFill>
              <w14:schemeClr w14:val="tx1"/>
            </w14:solidFill>
          </w14:textFill>
        </w:rPr>
        <w:tab/>
      </w:r>
      <w:r>
        <w:rPr>
          <w:rFonts w:hint="eastAsia"/>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r>
        <w:rPr>
          <w:rFonts w:hint="eastAsia" w:ascii="Times New Roman" w:hAnsi="Times New Roman" w:eastAsia="宋体" w:cs="Times New Roman"/>
          <w:color w:val="000000" w:themeColor="text1"/>
          <w:szCs w:val="36"/>
          <w:highlight w:val="none"/>
          <w:lang w:val="en-US" w:eastAsia="zh-CN"/>
          <w14:textFill>
            <w14:solidFill>
              <w14:schemeClr w14:val="tx1"/>
            </w14:solidFill>
          </w14:textFill>
        </w:rPr>
        <w:t>9</w:t>
      </w:r>
    </w:p>
    <w:p w14:paraId="61D4522D">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_Toc14620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Cs w:val="28"/>
          <w:highlight w:val="none"/>
          <w14:textFill>
            <w14:solidFill>
              <w14:schemeClr w14:val="tx1"/>
            </w14:solidFill>
          </w14:textFill>
        </w:rPr>
        <w:t>.2评价目的及评价原则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_Toc14620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3AEA308">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_Toc22880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2.3环境影响识别与评价因子筛选</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_Toc22880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10DA333">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_Toc20283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环境功能区划及环境评价标准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_Toc20283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C6B5F7D">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_Toc27177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8"/>
          <w:highlight w:val="none"/>
          <w14:textFill>
            <w14:solidFill>
              <w14:schemeClr w14:val="tx1"/>
            </w14:solidFill>
          </w14:textFill>
        </w:rPr>
        <w:t>评价等级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_Toc27177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509084A">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_Toc25232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Cs w:val="28"/>
          <w:highlight w:val="none"/>
          <w14:textFill>
            <w14:solidFill>
              <w14:schemeClr w14:val="tx1"/>
            </w14:solidFill>
          </w14:textFill>
        </w:rPr>
        <w:t>评价范围</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34139B5">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_Toc8014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Cs w:val="28"/>
          <w:highlight w:val="none"/>
          <w14:textFill>
            <w14:solidFill>
              <w14:schemeClr w14:val="tx1"/>
            </w14:solidFill>
          </w14:textFill>
        </w:rPr>
        <w:t>主要环境保护目标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DA25C28">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_Toc6347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评价工作内容及重点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E648A37">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_Toc11094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三</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建设项目概况与工程分析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_Toc11094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806F923">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_Toc13726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3.</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8"/>
          <w:highlight w:val="none"/>
          <w14:textFill>
            <w14:solidFill>
              <w14:schemeClr w14:val="tx1"/>
            </w14:solidFill>
          </w14:textFill>
        </w:rPr>
        <w:t>现有</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工程回顾性分析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_Toc13726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51A9EA1">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_Toc21569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3.</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8"/>
          <w:highlight w:val="none"/>
          <w14:textFill>
            <w14:solidFill>
              <w14:schemeClr w14:val="tx1"/>
            </w14:solidFill>
          </w14:textFill>
        </w:rPr>
        <w:t>建设项目概况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_Toc21569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80</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D8931DD">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_Toc30296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3.3依托工程分析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_Toc30296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86</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A3FF116">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_Toc12996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3.</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公用工程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6F6ED51">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_Toc32602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3.</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工艺流程及产污环节分析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_Toc32602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E882ADA">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_Toc5687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3.6污染源源强核算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_Toc5687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A209F90">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_Toc5424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3.7污染物“三本账”汇总</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_Toc5424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DB62036">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_Toc24898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3.8清洁生产分析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_Toc24898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12B1438">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_Toc9990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四.环境现状调查与评价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_Toc9990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107</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F96C905">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_Toc2299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4.1自然环境现状调查与评价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107</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73FFCF6">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_Toc30155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环境保护目标调查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_Toc30155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113</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85EDA89">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_Toc12800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环境质量现状调查与评价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_Toc12800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506E2D0">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_Toc1383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区域环境污染源调查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139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CAF9AE5">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_Toc845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五</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环境影响预测与评价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8CEC454">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_Toc12469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5.1大气环境影响预测与评价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_Toc12469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050F779">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_Toc17636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5.2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地表</w:t>
      </w:r>
      <w:r>
        <w:rPr>
          <w:rFonts w:hint="default" w:ascii="Times New Roman" w:hAnsi="Times New Roman" w:eastAsia="宋体" w:cs="Times New Roman"/>
          <w:color w:val="000000" w:themeColor="text1"/>
          <w:szCs w:val="28"/>
          <w:highlight w:val="none"/>
          <w14:textFill>
            <w14:solidFill>
              <w14:schemeClr w14:val="tx1"/>
            </w14:solidFill>
          </w14:textFill>
        </w:rPr>
        <w:t>水环境影响评价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_Toc17636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142</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EFCECC9">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_Toc15892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5.3地下水环境影响预测与评价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2495987">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_Toc20602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5.4声环境影响预测与评价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152</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A3934AC">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_Toc470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5.5固体废物环境影响评价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A1507B5">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_Toc19655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bCs w:val="0"/>
          <w:color w:val="000000" w:themeColor="text1"/>
          <w:szCs w:val="28"/>
          <w:highlight w:val="none"/>
          <w14:textFill>
            <w14:solidFill>
              <w14:schemeClr w14:val="tx1"/>
            </w14:solidFill>
          </w14:textFill>
        </w:rPr>
        <w:t>5.6土壤环境影响预测与评价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_Toc19655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155</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4057878">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_Toc17623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bCs w:val="0"/>
          <w:color w:val="000000" w:themeColor="text1"/>
          <w:szCs w:val="28"/>
          <w:highlight w:val="none"/>
          <w14:textFill>
            <w14:solidFill>
              <w14:schemeClr w14:val="tx1"/>
            </w14:solidFill>
          </w14:textFill>
        </w:rPr>
        <w:t>5.7生态环境影响分析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_Toc17623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0836682">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_Toc12336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bCs w:val="0"/>
          <w:color w:val="000000" w:themeColor="text1"/>
          <w:szCs w:val="28"/>
          <w:highlight w:val="none"/>
          <w14:textFill>
            <w14:solidFill>
              <w14:schemeClr w14:val="tx1"/>
            </w14:solidFill>
          </w14:textFill>
        </w:rPr>
        <w:t>5.8环境风险分析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_Toc12336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163</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677E2F1">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_Toc6391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六.环保措施及其可行性论证</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C5701E9">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_Toc11744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6.1大气污染防治措施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FB81204">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_Toc21078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6.2</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地表</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水</w:t>
      </w:r>
      <w:r>
        <w:rPr>
          <w:rFonts w:hint="default" w:ascii="Times New Roman" w:hAnsi="Times New Roman" w:eastAsia="宋体" w:cs="Times New Roman"/>
          <w:color w:val="000000" w:themeColor="text1"/>
          <w:szCs w:val="28"/>
          <w:highlight w:val="none"/>
          <w14:textFill>
            <w14:solidFill>
              <w14:schemeClr w14:val="tx1"/>
            </w14:solidFill>
          </w14:textFill>
        </w:rPr>
        <w:t>污染防治措施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_Toc21078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172</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2CCEDAB">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_Toc2191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6.3地下水污染防治措施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173</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322602F">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_Toc21378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噪声</w:t>
      </w:r>
      <w:r>
        <w:rPr>
          <w:rFonts w:hint="default" w:ascii="Times New Roman" w:hAnsi="Times New Roman" w:eastAsia="宋体" w:cs="Times New Roman"/>
          <w:color w:val="000000" w:themeColor="text1"/>
          <w:szCs w:val="28"/>
          <w:highlight w:val="none"/>
          <w14:textFill>
            <w14:solidFill>
              <w14:schemeClr w14:val="tx1"/>
            </w14:solidFill>
          </w14:textFill>
        </w:rPr>
        <w:t>污染</w:t>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控制</w:t>
      </w:r>
      <w:r>
        <w:rPr>
          <w:rFonts w:hint="default" w:ascii="Times New Roman" w:hAnsi="Times New Roman" w:eastAsia="宋体" w:cs="Times New Roman"/>
          <w:color w:val="000000" w:themeColor="text1"/>
          <w:szCs w:val="28"/>
          <w:highlight w:val="none"/>
          <w14:textFill>
            <w14:solidFill>
              <w14:schemeClr w14:val="tx1"/>
            </w14:solidFill>
          </w14:textFill>
        </w:rPr>
        <w:t>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_Toc21378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176</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2FC1890">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_Toc24704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14:textFill>
            <w14:solidFill>
              <w14:schemeClr w14:val="tx1"/>
            </w14:solidFill>
          </w14:textFill>
        </w:rPr>
        <w:t>6.</w:t>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5固体废物污染防治</w:t>
      </w:r>
      <w:r>
        <w:rPr>
          <w:rFonts w:hint="default" w:ascii="Times New Roman" w:hAnsi="Times New Roman" w:eastAsia="宋体" w:cs="Times New Roman"/>
          <w:color w:val="000000" w:themeColor="text1"/>
          <w:szCs w:val="28"/>
          <w:highlight w:val="none"/>
          <w14:textFill>
            <w14:solidFill>
              <w14:schemeClr w14:val="tx1"/>
            </w14:solidFill>
          </w14:textFill>
        </w:rPr>
        <w:t>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_Toc24704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177</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2DBD293">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_Toc3059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6.6生态环境保护措施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177</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DDDFC0D">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_Toc32387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6.7土壤污染防治措施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_Toc32387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182</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9A70AAB">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_Toc17289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6.8环境风险防治措施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A711936">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_Toc27648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七.环境影响经济损益分析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FF8B1E0">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_Toc25328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7.1环境损失费估算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B813C3E">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_Toc26706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7.2环保投资估算及环境效益分析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_Toc26706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E14DF32">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_Toc10250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7.3环境效益简要分析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192</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87FEE66">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_Toc3576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7.4环境经济损益综合分析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_Toc3576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193</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BA15596">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_Toc28375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八.环境保护管理及监测计划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_Toc28375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A6C86BD">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_Toc20081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8.1HSE管理体系的建立和运行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_Toc20081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447EA07">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_Toc14962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8.2环境监控</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195</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52755D1">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_Toc25010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8.3环境管理与监测计划</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_Toc25010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196</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8F5B9F2">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_Toc18201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8.4项目污染物排放清单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_Toc18201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E98F6C6">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_Toc28316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8.5总量控制清单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_Toc28316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0B1C059">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_Toc30047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val="en-US" w:eastAsia="zh-CN"/>
          <w14:textFill>
            <w14:solidFill>
              <w14:schemeClr w14:val="tx1"/>
            </w14:solidFill>
          </w14:textFill>
        </w:rPr>
        <w:t>8.6“三同时”竣工环保验收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_Toc30047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04EB8A24">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_Toc7135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8"/>
          <w:highlight w:val="none"/>
          <w:lang w:eastAsia="zh-CN"/>
          <w14:textFill>
            <w14:solidFill>
              <w14:schemeClr w14:val="tx1"/>
            </w14:solidFill>
          </w14:textFill>
        </w:rPr>
        <w:t>九.结论及建议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_Toc7135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C557F4C">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_Toc8181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9.1项目概况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_Toc8181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AE37553">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_Toc29989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9.2环境质量现状调查结论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3255CAA">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_Toc14506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9.3环境影响预测与评价及环境保护措施结论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_Toc14506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205</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53C1D393">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_Toc11912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9.</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Cs w:val="28"/>
          <w:highlight w:val="none"/>
          <w14:textFill>
            <w14:solidFill>
              <w14:schemeClr w14:val="tx1"/>
            </w14:solidFill>
          </w14:textFill>
        </w:rPr>
        <w:t>环境影响经济损益分析</w:t>
      </w:r>
      <w:r>
        <w:rPr>
          <w:rFonts w:hint="default" w:ascii="Times New Roman" w:hAnsi="Times New Roman" w:eastAsia="宋体" w:cs="Times New Roman"/>
          <w:color w:val="000000" w:themeColor="text1"/>
          <w:kern w:val="0"/>
          <w:szCs w:val="28"/>
          <w:highlight w:val="none"/>
          <w:lang w:eastAsia="zh-CN"/>
          <w14:textFill>
            <w14:solidFill>
              <w14:schemeClr w14:val="tx1"/>
            </w14:solidFill>
          </w14:textFill>
        </w:rPr>
        <w:t>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206</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F30F3BE">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_Toc11931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9.</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8"/>
          <w:highlight w:val="none"/>
          <w14:textFill>
            <w14:solidFill>
              <w14:schemeClr w14:val="tx1"/>
            </w14:solidFill>
          </w14:textFill>
        </w:rPr>
        <w:t>环境管理与监测计划</w:t>
      </w:r>
      <w:r>
        <w:rPr>
          <w:rFonts w:hint="default" w:ascii="Times New Roman" w:hAnsi="Times New Roman" w:eastAsia="宋体" w:cs="Times New Roman"/>
          <w:color w:val="000000" w:themeColor="text1"/>
          <w:kern w:val="0"/>
          <w:szCs w:val="28"/>
          <w:highlight w:val="none"/>
          <w:lang w:eastAsia="zh-CN"/>
          <w14:textFill>
            <w14:solidFill>
              <w14:schemeClr w14:val="tx1"/>
            </w14:solidFill>
          </w14:textFill>
        </w:rPr>
        <w:t>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_Toc11931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206</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31FD5DD5">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_Toc24717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9.</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8"/>
          <w:highlight w:val="none"/>
          <w14:textFill>
            <w14:solidFill>
              <w14:schemeClr w14:val="tx1"/>
            </w14:solidFill>
          </w14:textFill>
        </w:rPr>
        <w:t>公众意见采纳情况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_Toc24717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207</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21ACCFCB">
      <w:pPr>
        <w:pStyle w:val="14"/>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_Toc28325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8"/>
          <w:highlight w:val="none"/>
          <w14:textFill>
            <w14:solidFill>
              <w14:schemeClr w14:val="tx1"/>
            </w14:solidFill>
          </w14:textFill>
        </w:rPr>
        <w:t>9.</w:t>
      </w:r>
      <w:r>
        <w:rPr>
          <w:rFonts w:hint="default" w:ascii="Times New Roman" w:hAnsi="Times New Roman" w:eastAsia="宋体" w:cs="Times New Roman"/>
          <w:color w:val="000000" w:themeColor="text1"/>
          <w:kern w:val="0"/>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Cs w:val="28"/>
          <w:highlight w:val="none"/>
          <w:lang w:eastAsia="zh-CN"/>
          <w14:textFill>
            <w14:solidFill>
              <w14:schemeClr w14:val="tx1"/>
            </w14:solidFill>
          </w14:textFill>
        </w:rPr>
        <w:t>综合</w:t>
      </w:r>
      <w:r>
        <w:rPr>
          <w:rFonts w:hint="default" w:ascii="Times New Roman" w:hAnsi="Times New Roman" w:eastAsia="宋体" w:cs="Times New Roman"/>
          <w:color w:val="000000" w:themeColor="text1"/>
          <w:kern w:val="0"/>
          <w:szCs w:val="28"/>
          <w:highlight w:val="none"/>
          <w14:textFill>
            <w14:solidFill>
              <w14:schemeClr w14:val="tx1"/>
            </w14:solidFill>
          </w14:textFill>
        </w:rPr>
        <w:t>结论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_Toc28325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207</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672BD673">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_Toc26951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lang w:eastAsia="zh-CN"/>
          <w14:textFill>
            <w14:solidFill>
              <w14:schemeClr w14:val="tx1"/>
            </w14:solidFill>
          </w14:textFill>
        </w:rPr>
        <w:t>附表</w:t>
      </w:r>
      <w:r>
        <w:rPr>
          <w:rFonts w:hint="default" w:ascii="Times New Roman" w:hAnsi="Times New Roman" w:cs="Times New Roman"/>
          <w:color w:val="000000" w:themeColor="text1"/>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大气环境影响评价自查表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_Toc26951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209</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17E7D200">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_Toc6290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kern w:val="0"/>
          <w:szCs w:val="22"/>
          <w:highlight w:val="none"/>
          <w:lang w:val="en-US" w:eastAsia="zh-CN"/>
          <w14:textFill>
            <w14:solidFill>
              <w14:schemeClr w14:val="tx1"/>
            </w14:solidFill>
          </w14:textFill>
        </w:rPr>
        <w:t>附表</w:t>
      </w:r>
      <w:r>
        <w:rPr>
          <w:rFonts w:hint="eastAsia" w:ascii="Times New Roman" w:hAnsi="Times New Roman" w:eastAsia="宋体" w:cs="Times New Roman"/>
          <w:bCs/>
          <w:color w:val="000000" w:themeColor="text1"/>
          <w:kern w:val="0"/>
          <w:szCs w:val="22"/>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Cs w:val="22"/>
          <w:highlight w:val="none"/>
          <w:lang w:val="en-US" w:eastAsia="zh-CN"/>
          <w14:textFill>
            <w14:solidFill>
              <w14:schemeClr w14:val="tx1"/>
            </w14:solidFill>
          </w14:textFill>
        </w:rPr>
        <w:t>：声环境影响评价自查表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_Toc6290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210</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7D4B0CC1">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_Toc17233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lang w:eastAsia="zh-CN"/>
          <w14:textFill>
            <w14:solidFill>
              <w14:schemeClr w14:val="tx1"/>
            </w14:solidFill>
          </w14:textFill>
        </w:rPr>
        <w:t>附表</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土壤环境影响评价自查表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211</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7B9BE81">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_Toc5793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Cs w:val="22"/>
          <w:highlight w:val="none"/>
          <w:lang w:val="en-US" w:eastAsia="zh-CN"/>
          <w14:textFill>
            <w14:solidFill>
              <w14:schemeClr w14:val="tx1"/>
            </w14:solidFill>
          </w14:textFill>
        </w:rPr>
        <w:t>附表</w:t>
      </w:r>
      <w:r>
        <w:rPr>
          <w:rFonts w:hint="eastAsia" w:ascii="Times New Roman" w:hAnsi="Times New Roman" w:eastAsia="宋体" w:cs="Times New Roman"/>
          <w:color w:val="000000" w:themeColor="text1"/>
          <w:kern w:val="0"/>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4"/>
          <w:highlight w:val="none"/>
          <w:lang w:val="en-US" w:eastAsia="zh-CN"/>
          <w14:textFill>
            <w14:solidFill>
              <w14:schemeClr w14:val="tx1"/>
            </w14:solidFill>
          </w14:textFill>
        </w:rPr>
        <w:t>生态影响评价自查表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_Toc5793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213</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B28C40D">
      <w:pPr>
        <w:pStyle w:val="12"/>
        <w:tabs>
          <w:tab w:val="right" w:leader="dot" w:pos="9072"/>
        </w:tabs>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36"/>
          <w:highlight w:val="none"/>
          <w14:textFill>
            <w14:solidFill>
              <w14:schemeClr w14:val="tx1"/>
            </w14:solidFill>
          </w14:textFill>
        </w:rPr>
        <w:instrText xml:space="preserve"> HYPERLINK \l _Toc27062 </w:instrText>
      </w:r>
      <w:r>
        <w:rPr>
          <w:rFonts w:hint="default" w:ascii="Times New Roman" w:hAnsi="Times New Roman" w:eastAsia="宋体" w:cs="Times New Roman"/>
          <w:color w:val="000000" w:themeColor="text1"/>
          <w:szCs w:val="36"/>
          <w:highlight w:val="none"/>
          <w14:textFill>
            <w14:solidFill>
              <w14:schemeClr w14:val="tx1"/>
            </w14:solidFill>
          </w14:textFill>
        </w:rPr>
        <w:fldChar w:fldCharType="separate"/>
      </w:r>
      <w:r>
        <w:rPr>
          <w:rFonts w:hint="default" w:ascii="Times New Roman" w:hAnsi="Times New Roman" w:eastAsia="宋体" w:cs="Times New Roman"/>
          <w:color w:val="000000" w:themeColor="text1"/>
          <w:highlight w:val="none"/>
          <w:lang w:val="en-US" w:eastAsia="zh-CN"/>
          <w14:textFill>
            <w14:solidFill>
              <w14:schemeClr w14:val="tx1"/>
            </w14:solidFill>
          </w14:textFill>
        </w:rPr>
        <w:t>附表</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建设项目环境风险评价自查</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214</w:t>
      </w:r>
      <w:r>
        <w:rPr>
          <w:color w:val="000000" w:themeColor="text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p>
    <w:p w14:paraId="44B46C76">
      <w:pPr>
        <w:pStyle w:val="14"/>
        <w:keepNext w:val="0"/>
        <w:keepLines w:val="0"/>
        <w:pageBreakBefore w:val="0"/>
        <w:widowControl w:val="0"/>
        <w:tabs>
          <w:tab w:val="right" w:leader="dot" w:pos="9072"/>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36"/>
          <w:highlight w:val="none"/>
          <w14:textFill>
            <w14:solidFill>
              <w14:schemeClr w14:val="tx1"/>
            </w14:solidFill>
          </w14:textFill>
        </w:rPr>
        <w:fldChar w:fldCharType="end"/>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br w:type="page"/>
      </w:r>
      <w:bookmarkStart w:id="170" w:name="_GoBack"/>
      <w:bookmarkEnd w:id="170"/>
    </w:p>
    <w:p w14:paraId="302C4D19">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附图1-1区块内现有油井、阀组间、转油站周边恢复现状照片</w:t>
      </w:r>
    </w:p>
    <w:p w14:paraId="2C9DBE62">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附图1-2本项目永久基本农田查询结果</w:t>
      </w:r>
    </w:p>
    <w:p w14:paraId="518941A1">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附图1-</w:t>
      </w:r>
      <w:r>
        <w:rPr>
          <w:rFonts w:hint="eastAsia" w:cs="Times New Roman"/>
          <w:b w:val="0"/>
          <w:bCs/>
          <w:color w:val="000000" w:themeColor="text1"/>
          <w:sz w:val="24"/>
          <w:szCs w:val="24"/>
          <w:highlight w:val="none"/>
          <w:lang w:val="en-US" w:eastAsia="zh-CN"/>
          <w14:textFill>
            <w14:solidFill>
              <w14:schemeClr w14:val="tx1"/>
            </w14:solidFill>
          </w14:textFill>
        </w:rPr>
        <w:t>3（1）本项目与大庆市水土保持重点治理区、重点预防区示意图</w:t>
      </w:r>
    </w:p>
    <w:p w14:paraId="2501F973">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附图1-</w:t>
      </w:r>
      <w:r>
        <w:rPr>
          <w:rFonts w:hint="eastAsia" w:cs="Times New Roman"/>
          <w:b w:val="0"/>
          <w:bCs/>
          <w:color w:val="000000" w:themeColor="text1"/>
          <w:sz w:val="24"/>
          <w:szCs w:val="24"/>
          <w:highlight w:val="none"/>
          <w:lang w:val="en-US" w:eastAsia="zh-CN"/>
          <w14:textFill>
            <w14:solidFill>
              <w14:schemeClr w14:val="tx1"/>
            </w14:solidFill>
          </w14:textFill>
        </w:rPr>
        <w:t>3（2）本项目与绥化市水土保持重点治理区、重点预防区示意图</w:t>
      </w:r>
    </w:p>
    <w:p w14:paraId="41C8C0D2">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附图1-</w:t>
      </w:r>
      <w:r>
        <w:rPr>
          <w:rFonts w:hint="eastAsia" w:cs="Times New Roman"/>
          <w:b w:val="0"/>
          <w:bCs/>
          <w:color w:val="000000" w:themeColor="text1"/>
          <w:sz w:val="24"/>
          <w:szCs w:val="24"/>
          <w:highlight w:val="none"/>
          <w:lang w:val="en-US" w:eastAsia="zh-CN"/>
          <w14:textFill>
            <w14:solidFill>
              <w14:schemeClr w14:val="tx1"/>
            </w14:solidFill>
          </w14:textFill>
        </w:rPr>
        <w:t>4本项目与黑龙江省生态环境保护红线位置关系图</w:t>
      </w:r>
    </w:p>
    <w:p w14:paraId="6F38EAEA">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附图1-5本项目分区管控图</w:t>
      </w:r>
    </w:p>
    <w:p w14:paraId="2A1D91C7">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cs="Times New Roman" w:eastAsiaTheme="minorEastAsia"/>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附图2-1环境要素评价范围图</w:t>
      </w:r>
    </w:p>
    <w:p w14:paraId="78998864">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附图2-2主要环境保护目标分布图</w:t>
      </w:r>
    </w:p>
    <w:p w14:paraId="21E91F66">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附图3-1本项目拟建工程现状照片</w:t>
      </w:r>
    </w:p>
    <w:p w14:paraId="56FC282C">
      <w:pPr>
        <w:keepNext w:val="0"/>
        <w:keepLines w:val="0"/>
        <w:pageBreakBefore w:val="0"/>
        <w:widowControl/>
        <w:kinsoku/>
        <w:wordWrap/>
        <w:overflowPunct/>
        <w:topLinePunct w:val="0"/>
        <w:autoSpaceDE/>
        <w:autoSpaceDN/>
        <w:bidi w:val="0"/>
        <w:adjustRightInd w:val="0"/>
        <w:snapToGrid w:val="0"/>
        <w:spacing w:after="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附图3-2 拟建管道走向示意图</w:t>
      </w:r>
    </w:p>
    <w:p w14:paraId="73D3EAEF">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附图4-1项目地理位置图</w:t>
      </w:r>
    </w:p>
    <w:p w14:paraId="0128989B">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附图4-</w:t>
      </w:r>
      <w:r>
        <w:rPr>
          <w:rFonts w:hint="eastAsia" w:cs="Times New Roman"/>
          <w:b w:val="0"/>
          <w:bCs/>
          <w:color w:val="000000" w:themeColor="text1"/>
          <w:sz w:val="24"/>
          <w:szCs w:val="24"/>
          <w:highlight w:val="none"/>
          <w:lang w:val="en-US" w:eastAsia="zh-CN"/>
          <w14:textFill>
            <w14:solidFill>
              <w14:schemeClr w14:val="tx1"/>
            </w14:solidFill>
          </w14:textFill>
        </w:rPr>
        <w:t>2区域综合水文地质图</w:t>
      </w:r>
    </w:p>
    <w:p w14:paraId="7231FBCA">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附图4-</w:t>
      </w: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3区域水文地质剖面图</w:t>
      </w:r>
    </w:p>
    <w:p w14:paraId="7030D590">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附图4-</w:t>
      </w: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4潜水地下水等水位图</w:t>
      </w:r>
    </w:p>
    <w:p w14:paraId="596C15EE">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附图4-</w:t>
      </w: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5承压水地下水等水位图</w:t>
      </w:r>
    </w:p>
    <w:p w14:paraId="19C55E0A">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附图4</w:t>
      </w:r>
      <w:r>
        <w:rPr>
          <w:rFonts w:hint="eastAsia"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-6</w:t>
      </w: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本项目区域土壤类型分布图</w:t>
      </w:r>
    </w:p>
    <w:p w14:paraId="5A2F813F">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附图4</w:t>
      </w:r>
      <w:r>
        <w:rPr>
          <w:rFonts w:hint="eastAsia" w:ascii="Times New Roman" w:hAnsi="Times New Roman" w:cs="Times New Roman"/>
          <w:b w:val="0"/>
          <w:bCs/>
          <w:color w:val="000000" w:themeColor="text1"/>
          <w:sz w:val="24"/>
          <w:szCs w:val="24"/>
          <w:highlight w:val="none"/>
          <w:shd w:val="clear" w:color="auto" w:fill="auto"/>
          <w:lang w:val="en-US" w:eastAsia="zh-CN"/>
          <w14:textFill>
            <w14:solidFill>
              <w14:schemeClr w14:val="tx1"/>
            </w14:solidFill>
          </w14:textFill>
        </w:rPr>
        <w:t>-7</w:t>
      </w: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监测点位示意图</w:t>
      </w:r>
    </w:p>
    <w:p w14:paraId="65E1A77F">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附图4-8生态评价范围内土地利用现状图</w:t>
      </w:r>
    </w:p>
    <w:p w14:paraId="2BBB6D7A">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val="0"/>
          <w:bCs/>
          <w:color w:val="000000" w:themeColor="text1"/>
          <w:sz w:val="24"/>
          <w:szCs w:val="24"/>
          <w:highlight w:val="none"/>
          <w:shd w:val="clear" w:color="auto" w:fill="auto"/>
          <w:lang w:val="en-US" w:eastAsia="zh-CN"/>
          <w14:textFill>
            <w14:solidFill>
              <w14:schemeClr w14:val="tx1"/>
            </w14:solidFill>
          </w14:textFill>
        </w:rPr>
        <w:t>附图4-9生态评价范围内植被类型图</w:t>
      </w:r>
    </w:p>
    <w:p w14:paraId="21F7CB65">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shd w:val="clear" w:color="auto" w:fill="auto"/>
          <w:lang w:val="en-US" w:eastAsia="zh-CN"/>
          <w14:textFill>
            <w14:solidFill>
              <w14:schemeClr w14:val="tx1"/>
            </w14:solidFill>
          </w14:textFill>
        </w:rPr>
        <w:t>附图6-1分区防渗图</w:t>
      </w:r>
    </w:p>
    <w:p w14:paraId="6814225F">
      <w:pPr>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附图6-2地下水、土壤跟踪监测点位示意图</w:t>
      </w:r>
    </w:p>
    <w:p w14:paraId="4855CEF0">
      <w:pPr>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附图6-3施工期生态修复措施分布图</w:t>
      </w:r>
    </w:p>
    <w:p w14:paraId="7AE2FDCA">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附件1企业投资项目备案承诺书</w:t>
      </w:r>
    </w:p>
    <w:p w14:paraId="42C38C69">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附件</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现有区块涉及的</w:t>
      </w:r>
      <w:r>
        <w:rPr>
          <w:rFonts w:hint="default" w:ascii="Times New Roman" w:hAnsi="Times New Roman" w:eastAsia="宋体" w:cs="Times New Roman"/>
          <w:color w:val="000000" w:themeColor="text1"/>
          <w:sz w:val="24"/>
          <w:szCs w:val="24"/>
          <w:highlight w:val="none"/>
          <w14:textFill>
            <w14:solidFill>
              <w14:schemeClr w14:val="tx1"/>
            </w14:solidFill>
          </w14:textFill>
        </w:rPr>
        <w:t>环评及验收意见</w:t>
      </w:r>
    </w:p>
    <w:p w14:paraId="59B6C700">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附件</w:t>
      </w:r>
      <w:r>
        <w:rPr>
          <w:rFonts w:hint="eastAsia" w:cs="Times New Roman"/>
          <w:b w:val="0"/>
          <w:bCs/>
          <w:color w:val="000000" w:themeColor="text1"/>
          <w:sz w:val="24"/>
          <w:szCs w:val="24"/>
          <w:highlight w:val="none"/>
          <w:lang w:val="en-US" w:eastAsia="zh-CN"/>
          <w14:textFill>
            <w14:solidFill>
              <w14:schemeClr w14:val="tx1"/>
            </w14:solidFill>
          </w14:textFill>
        </w:rPr>
        <w:t>3大庆油田有限责任公司第八采油厂突发环境事件应急预案备案表</w:t>
      </w:r>
    </w:p>
    <w:p w14:paraId="1105AEFF">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附件</w:t>
      </w:r>
      <w:r>
        <w:rPr>
          <w:rFonts w:hint="eastAsia" w:cs="Times New Roman"/>
          <w:b w:val="0"/>
          <w:bCs/>
          <w:color w:val="000000" w:themeColor="text1"/>
          <w:sz w:val="24"/>
          <w:szCs w:val="24"/>
          <w:highlight w:val="none"/>
          <w:lang w:val="en-US" w:eastAsia="zh-CN"/>
          <w14:textFill>
            <w14:solidFill>
              <w14:schemeClr w14:val="tx1"/>
            </w14:solidFill>
          </w14:textFill>
        </w:rPr>
        <w:t>4排污许可证</w:t>
      </w:r>
    </w:p>
    <w:p w14:paraId="5EEC5B54">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附件</w:t>
      </w:r>
      <w:r>
        <w:rPr>
          <w:rFonts w:hint="eastAsia" w:cs="Times New Roman"/>
          <w:b w:val="0"/>
          <w:bCs/>
          <w:color w:val="000000" w:themeColor="text1"/>
          <w:sz w:val="24"/>
          <w:szCs w:val="24"/>
          <w:highlight w:val="none"/>
          <w:lang w:val="en-US" w:eastAsia="zh-CN"/>
          <w14:textFill>
            <w14:solidFill>
              <w14:schemeClr w14:val="tx1"/>
            </w14:solidFill>
          </w14:textFill>
        </w:rPr>
        <w:t>5本次委托检测报告</w:t>
      </w:r>
    </w:p>
    <w:p w14:paraId="113B569C">
      <w:pPr>
        <w:keepNext w:val="0"/>
        <w:keepLines w:val="0"/>
        <w:pageBreakBefore w:val="0"/>
        <w:widowControl w:val="0"/>
        <w:kinsoku/>
        <w:wordWrap/>
        <w:overflowPunct/>
        <w:topLinePunct w:val="0"/>
        <w:autoSpaceDE/>
        <w:autoSpaceDN/>
        <w:bidi w:val="0"/>
        <w:adjustRightInd w:val="0"/>
        <w:snapToGrid w:val="0"/>
        <w:spacing w:after="0"/>
        <w:textAlignment w:val="auto"/>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附件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引用监测报告</w:t>
      </w:r>
    </w:p>
    <w:p w14:paraId="7FF13C7B">
      <w:pPr>
        <w:keepNext w:val="0"/>
        <w:keepLines w:val="0"/>
        <w:pageBreakBefore w:val="0"/>
        <w:widowControl w:val="0"/>
        <w:kinsoku/>
        <w:wordWrap/>
        <w:topLinePunct w:val="0"/>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附件7黑龙江省生态分区管控平台分析报告</w:t>
      </w:r>
    </w:p>
    <w:p w14:paraId="2B3456F4">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sectPr>
          <w:footerReference r:id="rId5" w:type="default"/>
          <w:pgSz w:w="11906" w:h="16838"/>
          <w:pgMar w:top="1417" w:right="1417" w:bottom="1417" w:left="1417" w:header="1134" w:footer="964" w:gutter="0"/>
          <w:pgBorders>
            <w:top w:val="none" w:sz="0" w:space="0"/>
            <w:left w:val="none" w:sz="0" w:space="0"/>
            <w:bottom w:val="none" w:sz="0" w:space="0"/>
            <w:right w:val="none" w:sz="0" w:space="0"/>
          </w:pgBorders>
          <w:pgNumType w:fmt="decimal" w:start="1"/>
          <w:cols w:space="708" w:num="1"/>
          <w:docGrid w:linePitch="360" w:charSpace="0"/>
        </w:sectPr>
      </w:pPr>
    </w:p>
    <w:p w14:paraId="544F1D0B">
      <w:pPr>
        <w:keepNext w:val="0"/>
        <w:keepLines w:val="0"/>
        <w:pageBreakBefore w:val="0"/>
        <w:widowControl/>
        <w:tabs>
          <w:tab w:val="center" w:pos="4394"/>
          <w:tab w:val="left" w:pos="5484"/>
        </w:tabs>
        <w:kinsoku/>
        <w:wordWrap/>
        <w:overflowPunct/>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5" w:name="_Toc15256"/>
      <w:bookmarkStart w:id="6" w:name="_Toc1410"/>
      <w:bookmarkStart w:id="7" w:name="_Toc5925"/>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一、</w:t>
      </w:r>
      <w:r>
        <w:rPr>
          <w:rFonts w:hint="default" w:ascii="Times New Roman" w:hAnsi="Times New Roman" w:eastAsia="宋体" w:cs="Times New Roman"/>
          <w:b/>
          <w:color w:val="000000" w:themeColor="text1"/>
          <w:sz w:val="28"/>
          <w:szCs w:val="28"/>
          <w:highlight w:val="none"/>
          <w14:textFill>
            <w14:solidFill>
              <w14:schemeClr w14:val="tx1"/>
            </w14:solidFill>
          </w14:textFill>
        </w:rPr>
        <w:t>概述</w:t>
      </w:r>
      <w:bookmarkEnd w:id="5"/>
      <w:bookmarkEnd w:id="6"/>
      <w:bookmarkEnd w:id="7"/>
    </w:p>
    <w:p w14:paraId="059D7B7A">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8" w:name="_Toc18297"/>
      <w:bookmarkStart w:id="9" w:name="_Toc24670"/>
      <w:bookmarkStart w:id="10" w:name="_Toc371"/>
      <w:r>
        <w:rPr>
          <w:rFonts w:hint="default" w:ascii="Times New Roman" w:hAnsi="Times New Roman" w:eastAsia="宋体" w:cs="Times New Roman"/>
          <w:b/>
          <w:color w:val="000000" w:themeColor="text1"/>
          <w:sz w:val="28"/>
          <w:szCs w:val="28"/>
          <w:highlight w:val="none"/>
          <w14:textFill>
            <w14:solidFill>
              <w14:schemeClr w14:val="tx1"/>
            </w14:solidFill>
          </w14:textFill>
        </w:rPr>
        <w:t>1.1项目建设背景</w:t>
      </w:r>
      <w:bookmarkEnd w:id="8"/>
      <w:bookmarkEnd w:id="9"/>
      <w:bookmarkEnd w:id="10"/>
    </w:p>
    <w:p w14:paraId="486FFBF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本项目建设地点位于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黑龙江省绥化市安达市昌德镇、升平镇，大庆市大同区祝三乡境内</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，拟更换的</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分布于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已开发区块</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宋芳屯油田和升平油田</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47D9795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大庆油田有限责任公司第八采油厂开发区块有卫星油田、永乐油田、肇州油田、徐家围子油田、升平油田、宋芳屯油田。探明含油总面积约889.6平方公里，地质储量达3.35亿吨。开发目的层主要为葡萄花油层，主要钻遇砂体层位为PI2-PI4号层，区块孔隙度中值22.1%，空气渗透率中值83.6mD，为中孔、中渗储层。开发范围跨越大庆市和绥化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目前，大庆油田有限责任公司第八采油厂建有各类埋地管道共计10350km，其中运行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年以上的管道共计1882km，占比18.2%。</w:t>
      </w:r>
    </w:p>
    <w:p w14:paraId="05EB8EB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采油厂开发年限较早，区域内存在</w:t>
      </w:r>
      <w:r>
        <w:rPr>
          <w:rFonts w:hint="default" w:ascii="Times New Roman" w:hAnsi="Times New Roman" w:eastAsia="宋体" w:cs="Times New Roman"/>
          <w:color w:val="000000" w:themeColor="text1"/>
          <w:sz w:val="24"/>
          <w:szCs w:val="24"/>
          <w:highlight w:val="none"/>
          <w14:textFill>
            <w14:solidFill>
              <w14:schemeClr w14:val="tx1"/>
            </w14:solidFill>
          </w14:textFill>
        </w:rPr>
        <w:t>内外腐蚀严重高失效风险隐患管道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和过路套管腐蚀老化</w:t>
      </w:r>
      <w:r>
        <w:rPr>
          <w:rFonts w:hint="default" w:ascii="Times New Roman" w:hAnsi="Times New Roman" w:eastAsia="宋体" w:cs="Times New Roman"/>
          <w:color w:val="000000" w:themeColor="text1"/>
          <w:sz w:val="24"/>
          <w:szCs w:val="24"/>
          <w:highlight w:val="none"/>
          <w14:textFill>
            <w14:solidFill>
              <w14:schemeClr w14:val="tx1"/>
            </w14:solidFill>
          </w14:textFill>
        </w:rPr>
        <w:t>严重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等隐患</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为解决上述问题，大庆油田有限责任公司第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采油厂</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拟建“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第八采油厂2025年管网改造工程项目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”（以下简称“本项目”）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F3F60F8">
      <w:pPr>
        <w:keepNext w:val="0"/>
        <w:keepLines w:val="0"/>
        <w:pageBreakBefore w:val="0"/>
        <w:kinsoku/>
        <w:wordWrap/>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本项目拟投资</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925.43万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，更换输油管道20660m。升一联转油放水站更换阴极保护装置1套。拟更换管道施工涉及穿越工程17处，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均为定向钻穿越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。企业投资项目备案承诺书见附件1。</w:t>
      </w:r>
    </w:p>
    <w:p w14:paraId="6A60DF1D">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val="en-US"/>
          <w14:textFill>
            <w14:solidFill>
              <w14:schemeClr w14:val="tx1"/>
            </w14:solidFill>
          </w14:textFill>
        </w:rPr>
      </w:pPr>
      <w:bookmarkStart w:id="11" w:name="_Toc26858"/>
      <w:bookmarkStart w:id="12" w:name="_Toc18073"/>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2环评文件类别判定</w:t>
      </w:r>
      <w:bookmarkEnd w:id="11"/>
      <w:bookmarkEnd w:id="12"/>
    </w:p>
    <w:p w14:paraId="74F54A51">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1项目类别</w:t>
      </w:r>
    </w:p>
    <w:p w14:paraId="0955C01F">
      <w:pPr>
        <w:widowControl w:val="0"/>
        <w:adjustRightInd/>
        <w:snapToGrid/>
        <w:spacing w:after="0" w:line="360" w:lineRule="auto"/>
        <w:ind w:firstLine="480" w:firstLineChars="2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管线改造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拟更换的</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分布于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已开发区块</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宋芳屯油田和升平油田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8BB0722">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宋芳屯油田勘探工作始于1975年，在重磁工作的基础上曾开展多次地震勘探工作。1975年以小幅度构造钻探，扶余油层为目的层部署肇3井。在1984年5月、1986年9月分别开辟宋芳屯生产试验区和祝三试验区这两个实验区块的基础上，1990年11月至93年，坚持滚动开发原则，陆续投产了宋芳屯油田北部，即宋芳屯地区的芳707、芳17、芳6井区、1994年至1996年又陆续投产了宋芳屯油田南部，即模范屯地区的芳907井区、油田北部的芳507井区和以上井区的后续生产井，到1996年底，宋芳屯油田包括两个试验区共投产油水井1109口，经过合理加强注水、注水受效及采取压裂等综合措施，油田核实日产油水平达2100t以上。截至目前，宋芳屯油田现有油井2426口、水井1107口，年产油47.34×10</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t，累计产油2199.1×10</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t。宋芳屯油田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已建集油管道共计约2678km，注水管道1985km。</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升平油田</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位于</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黑龙江省安达市境内，共开发建设718口井，葡萄花油层未探明储量空白区部署评价控制井16口，葡萄花油层新区部署开发井204口，葡萄花油层老区部署加密井288口；扶余油层新区部署开发井210口。</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截至目前，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升平油田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已建集油管道共计约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780.1km，注水管道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324.8km。</w:t>
      </w:r>
    </w:p>
    <w:p w14:paraId="18D5D09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区块内现有油水井及</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周</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边恢复现状照片见附图1-1。</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本项目所在区块现有环保手续见表3.1-</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，现有区块涉及的环评及验收意见详见附件2</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p>
    <w:p w14:paraId="378476D2">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综上所述，本项目属于</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管线改造</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项目，建设性质为</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改建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2595D58">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2项目选址及周边环境特点</w:t>
      </w:r>
    </w:p>
    <w:p w14:paraId="3D296C83">
      <w:pPr>
        <w:widowControl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本项目建设地点位于黑龙江省绥化市安达市昌德镇、升平镇，大庆市大同区祝三乡境内，区域内以耕地（基本农田）</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、荒草地（非基本草原）</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、林地</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为主，项目周边分布有</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盛广和屯、宋芳屯居住区、平立屯</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等</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村屯。</w:t>
      </w:r>
    </w:p>
    <w:p w14:paraId="3BDA626B">
      <w:pPr>
        <w:widowControl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与管线最近的村屯为盛广和屯（芳3转油站外输油管线南侧85m）</w:t>
      </w:r>
      <w:r>
        <w:rPr>
          <w:rFonts w:hint="default" w:ascii="Times New Roman" w:hAnsi="Times New Roman" w:eastAsia="宋体" w:cs="Times New Roman"/>
          <w:snapToGrid/>
          <w:color w:val="000000" w:themeColor="text1"/>
          <w:kern w:val="2"/>
          <w:sz w:val="24"/>
          <w:szCs w:val="21"/>
          <w:highlight w:val="none"/>
          <w:lang w:val="en-US" w:eastAsia="zh-CN" w:bidi="ar-SA"/>
          <w14:textFill>
            <w14:solidFill>
              <w14:schemeClr w14:val="tx1"/>
            </w14:solidFill>
          </w14:textFill>
        </w:rPr>
        <w:t>。</w:t>
      </w:r>
    </w:p>
    <w:p w14:paraId="2FBDF736">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结合</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《黑龙江省国土空间规划（</w:t>
      </w:r>
      <w:r>
        <w:rPr>
          <w:rFonts w:hint="eastAsia"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2021</w:t>
      </w:r>
      <w:r>
        <w:rPr>
          <w:rFonts w:hint="eastAsia"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2035年）</w:t>
      </w:r>
      <w:r>
        <w:rPr>
          <w:rFonts w:hint="eastAsia" w:ascii="宋体" w:hAnsi="宋体" w:eastAsia="宋体" w:cs="宋体"/>
          <w:color w:val="000000" w:themeColor="text1"/>
          <w:sz w:val="24"/>
          <w:szCs w:val="24"/>
          <w:lang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绥化市国土空间总体规划（2021</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2035年）</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》《安达</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市国土空间总体规划（2021</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2035年）</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大庆市国土空间总体规划（2021</w:t>
      </w:r>
      <w:r>
        <w:rPr>
          <w:rFonts w:hint="eastAsia"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2035年）</w:t>
      </w:r>
      <w:r>
        <w:rPr>
          <w:rFonts w:hint="eastAsia"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》《大同区</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国土空间总体规划（2021</w:t>
      </w:r>
      <w:r>
        <w:rPr>
          <w:rFonts w:hint="eastAsia"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2035年）》，以及</w:t>
      </w:r>
      <w:r>
        <w:rPr>
          <w:rFonts w:hint="default" w:ascii="Times New Roman" w:hAnsi="Times New Roman" w:eastAsia="宋体" w:cs="Times New Roman"/>
          <w:snapToGrid/>
          <w:color w:val="000000" w:themeColor="text1"/>
          <w:kern w:val="0"/>
          <w:sz w:val="24"/>
          <w:szCs w:val="24"/>
          <w:highlight w:val="none"/>
          <w:shd w:val="clear" w:color="auto" w:fill="auto"/>
          <w:lang w:val="en-US" w:eastAsia="zh-CN" w:bidi="ar-SA"/>
          <w14:textFill>
            <w14:solidFill>
              <w14:schemeClr w14:val="tx1"/>
            </w14:solidFill>
          </w14:textFill>
        </w:rPr>
        <w:t>《黑龙江省生态环境分区管控动态更新成果（2023年版）》</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《大庆市生态环境准入清单（2023年版）》</w:t>
      </w:r>
      <w:r>
        <w:rPr>
          <w:rFonts w:hint="default" w:ascii="Times New Roman" w:hAnsi="Times New Roman" w:eastAsia="宋体" w:cs="Times New Roman"/>
          <w:snapToGrid/>
          <w:color w:val="000000" w:themeColor="text1"/>
          <w:kern w:val="0"/>
          <w:sz w:val="24"/>
          <w:szCs w:val="24"/>
          <w:highlight w:val="none"/>
          <w:lang w:val="en-US" w:eastAsia="zh-CN" w:bidi="ar-SA"/>
          <w14:textFill>
            <w14:solidFill>
              <w14:schemeClr w14:val="tx1"/>
            </w14:solidFill>
          </w14:textFill>
        </w:rPr>
        <w:t>，本项目工程内容</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占地不涉及自然保护区、风景名胜区等环境敏感区域内，也不涉及生态保护红线管控范围，不涉及湿地</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p>
    <w:p w14:paraId="24BFBE15">
      <w:pPr>
        <w:widowControl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32"/>
          <w:highlight w:val="none"/>
          <w:lang w:val="en-US" w:eastAsia="zh-CN" w:bidi="ar-SA"/>
          <w14:textFill>
            <w14:solidFill>
              <w14:schemeClr w14:val="tx1"/>
            </w14:solidFill>
          </w14:textFill>
        </w:rPr>
        <w:t>结合永久基本农田查询平台</w:t>
      </w:r>
      <w:r>
        <w:rPr>
          <w:rFonts w:hint="eastAsia" w:ascii="Times New Roman" w:hAnsi="Times New Roman" w:eastAsia="宋体" w:cs="Times New Roman"/>
          <w:snapToGrid/>
          <w:color w:val="000000" w:themeColor="text1"/>
          <w:kern w:val="2"/>
          <w:sz w:val="24"/>
          <w:szCs w:val="32"/>
          <w:highlight w:val="none"/>
          <w:lang w:val="en-US" w:eastAsia="zh-CN" w:bidi="ar-SA"/>
          <w14:textFill>
            <w14:solidFill>
              <w14:schemeClr w14:val="tx1"/>
            </w14:solidFill>
          </w14:textFill>
        </w:rPr>
        <w:t>，部分拟建工程涉及永久占用基本农田，查询结果见附图1-2。</w:t>
      </w:r>
    </w:p>
    <w:p w14:paraId="73089E2E">
      <w:pPr>
        <w:widowControl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根据《绥化市水土保持规划（2015</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2030年）》，绥化市划定了市级水土流失重点预防区和重点治理区，</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本项目</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部分管线</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位于</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绥化市</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安达</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市境内</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安达</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市不属于</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市级水土流失重点治理区和重点预防区，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《大庆市水土保持规划（2015</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2030年）》，大庆市划定了市级水土流失重点预防区和重点治理区，</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本项目部分管线位于</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大</w:t>
      </w:r>
      <w:r>
        <w:rPr>
          <w:rFonts w:hint="eastAsia" w:ascii="Times New Roman" w:hAnsi="Times New Roman" w:eastAsia="宋体" w:cs="Times New Roman"/>
          <w:snapToGrid w:val="0"/>
          <w:color w:val="000000" w:themeColor="text1"/>
          <w:sz w:val="24"/>
          <w:szCs w:val="20"/>
          <w:highlight w:val="none"/>
          <w:lang w:eastAsia="zh-CN"/>
          <w14:textFill>
            <w14:solidFill>
              <w14:schemeClr w14:val="tx1"/>
            </w14:solidFill>
          </w14:textFill>
        </w:rPr>
        <w:t>庆市</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大同区祝三乡，属于重点治理区，</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与水土保持重点治理区、</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重点预防区</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示意图见附图</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p>
    <w:p w14:paraId="71DE87B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根据黑龙江省防沙治沙工作领导小组《关于印发</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关于贯彻落实《沙化土地封禁保护修复制度方案》的实施意见</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〉的通知》</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本项目部分管线所在大庆市大同区</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属于沙化土地所在县（区）</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应</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当重点增加、恢复和保护林草植被，治理土地沙化和草原退化、沙化、碱化。</w:t>
      </w:r>
    </w:p>
    <w:p w14:paraId="3815D6C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1"/>
          <w:highlight w:val="none"/>
          <w:lang w:val="en-US" w:eastAsia="zh-CN" w:bidi="ar-SA"/>
          <w14:textFill>
            <w14:solidFill>
              <w14:schemeClr w14:val="tx1"/>
            </w14:solidFill>
          </w14:textFill>
        </w:rPr>
        <w:t>综合分析，</w:t>
      </w:r>
      <w:r>
        <w:rPr>
          <w:rFonts w:hint="eastAsia" w:ascii="Times New Roman" w:hAnsi="Times New Roman" w:cs="Times New Roman" w:eastAsiaTheme="minorEastAsia"/>
          <w:snapToGrid/>
          <w:color w:val="000000" w:themeColor="text1"/>
          <w:kern w:val="2"/>
          <w:sz w:val="24"/>
          <w:szCs w:val="21"/>
          <w:highlight w:val="none"/>
          <w:lang w:val="en-US" w:eastAsia="zh-CN" w:bidi="ar-SA"/>
          <w14:textFill>
            <w14:solidFill>
              <w14:schemeClr w14:val="tx1"/>
            </w14:solidFill>
          </w14:textFill>
        </w:rPr>
        <w:t>本</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项目涉及</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水土流失重点治理区</w:t>
      </w:r>
      <w:r>
        <w:rPr>
          <w:rFonts w:hint="eastAsia"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永久基本农田</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，不涉及自然保护区、风景名胜区、生态保护红线</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kern w:val="2"/>
          <w:sz w:val="24"/>
          <w:szCs w:val="21"/>
          <w:highlight w:val="none"/>
          <w:lang w:val="en-US" w:eastAsia="zh-CN" w:bidi="ar-SA"/>
          <w14:textFill>
            <w14:solidFill>
              <w14:schemeClr w14:val="tx1"/>
            </w14:solidFill>
          </w14:textFill>
        </w:rPr>
        <w:t>项目周边不涉及制约本项目建设的环境影响因素。</w:t>
      </w:r>
    </w:p>
    <w:p w14:paraId="342640B1">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环评文件类别判定</w:t>
      </w:r>
    </w:p>
    <w:p w14:paraId="75A4825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《国民经济行业分类》（GB/T 4754-2017），本项目属于B0711陆地石油开采项目，根据《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中华人民共和国环境保护法</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中华人民共和国环境影响评价法</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建设项目环境保护管理条例》（国务院682号令）、《关于进一步加强石油天然气行业环境影响评价管理的通知》（环办环评函[2019]910号）</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《建设项目环境影响评价分类管理名录（2021年版）》（部令第16号）</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等法律法规，本项目属于</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“五、石油和天然气开采业-07、陆地石油开采0711”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87B445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本项目属于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管线改造</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项目，选址不涉及国家公园、自然保护区、风景名胜区、世界文化和自然遗产地、海洋特别保护区、饮用水水源保护区、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生态保护红线</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基本草原、森林公园、地质公园、重要湿地、天然林，重点保护野生动物栖息地，重点保护野生植物生长繁殖地，重要水生生物的自然产卵场、索饵场、越冬场和洄游通道，天然渔场，水土流失重点预防区</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沙化土地封禁保护区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以居住、医疗卫生、文化教育、科研、行政办公为主要功能的区域以及文物保护单位</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但本项目涉及基本农田</w:t>
      </w:r>
      <w:r>
        <w:rPr>
          <w:rFonts w:hint="eastAsia" w:ascii="Times New Roman" w:hAnsi="Times New Roman" w:eastAsia="宋体" w:cs="Times New Roman"/>
          <w:color w:val="000000" w:themeColor="text1"/>
          <w:kern w:val="0"/>
          <w:sz w:val="24"/>
          <w:szCs w:val="24"/>
          <w:highlight w:val="none"/>
          <w:lang w:val="en"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水土流失重点治理区，属于“五、石油和天然气开采业-07、陆地石油开采0711”中涉及环境敏感区的（含内部集输管道建设），</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因此需要编制环境影响报告书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34ECE80">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3" w:name="_Toc4128"/>
      <w:bookmarkStart w:id="14" w:name="_Toc31316"/>
      <w:bookmarkStart w:id="15" w:name="_Toc30294"/>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14:textFill>
            <w14:solidFill>
              <w14:schemeClr w14:val="tx1"/>
            </w14:solidFill>
          </w14:textFill>
        </w:rPr>
        <w:t>建设项目特点</w:t>
      </w:r>
      <w:bookmarkEnd w:id="13"/>
      <w:bookmarkEnd w:id="14"/>
      <w:bookmarkEnd w:id="15"/>
    </w:p>
    <w:p w14:paraId="7CB04559">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工程特点</w:t>
      </w:r>
    </w:p>
    <w:p w14:paraId="3E3DB46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本项目更换管道位于黑龙江省绥化市安达市昌德镇、升平镇，大庆市大同区祝三乡境内。区域内已建有油、水、电、道路等工程。更换输油管道20660m。升一联转油放水站更换阴极保护装置1套。拟更换管道施工涉及穿越工程17处，</w:t>
      </w:r>
      <w:r>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t>均为定向钻穿越</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w:t>
      </w:r>
    </w:p>
    <w:p w14:paraId="39FCA96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本项目占地类型主要为草地（非基本草原）、耕地（基本农田）、</w:t>
      </w:r>
      <w:r>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均为临时占地。本工程主要特点是工程涉及区域广、分布较为分散、临时占地面积较大，项目无永久占地，主要生态环境影响在施工期，运营期对周围环境影响较小。项目建成后将有效降低油田内部集输管道漏失风险，有利于安全生产及环境保护。</w:t>
      </w:r>
    </w:p>
    <w:p w14:paraId="356C7353">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2工艺</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特点</w:t>
      </w:r>
    </w:p>
    <w:p w14:paraId="5B383F69">
      <w:pPr>
        <w:keepNext w:val="0"/>
        <w:keepLines w:val="0"/>
        <w:pageBreakBefore w:val="0"/>
        <w:widowControl w:val="0"/>
        <w:kinsoku/>
        <w:wordWrap/>
        <w:topLinePunct w:val="0"/>
        <w:bidi w:val="0"/>
        <w:adjustRightInd w:val="0"/>
        <w:snapToGrid w:val="0"/>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本项目为油田内部集输管道改造工程，管道均采用</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内缠胶带硬质聚氨酯泡沫夹克管</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，采用螺旋缝埋弧焊进行焊接</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p>
    <w:p w14:paraId="53C7A28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整体更换的</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管道采用沟埋方式敷设，</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施工工序包括现有管道报废（停运通球扫线、废旧管道切断、废旧管道清洗后</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直埋</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）、新建管道施工（</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测量定线，施工作业带清理，然后开挖管沟，穿越工程施工；运管、布管、再组焊管道、下沟管道，回填，清水试压，覆土回填、清理施工现场、植被恢复</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）。管道管顶埋深为-1m~-2.1m，管道施工作业带宽度为10m，本项目</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涉及定向钻穿越公路17处</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p>
    <w:p w14:paraId="44E13F47">
      <w:pPr>
        <w:spacing w:after="0" w:line="360" w:lineRule="auto"/>
        <w:ind w:firstLine="480" w:firstLineChars="200"/>
        <w:jc w:val="both"/>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退役期，对废弃管道清洗后两端封堵直埋。</w:t>
      </w:r>
    </w:p>
    <w:p w14:paraId="0995911E">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3排污</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特点</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及污染防治措施</w:t>
      </w:r>
    </w:p>
    <w:p w14:paraId="2D7F9EEB">
      <w:pPr>
        <w:keepNext w:val="0"/>
        <w:keepLines w:val="0"/>
        <w:pageBreakBefore w:val="0"/>
        <w:widowControl w:val="0"/>
        <w:kinsoku/>
        <w:wordWrap/>
        <w:topLinePunct w:val="0"/>
        <w:bidi w:val="0"/>
        <w:spacing w:after="0" w:line="360" w:lineRule="auto"/>
        <w:ind w:firstLine="480" w:firstLineChars="200"/>
        <w:jc w:val="both"/>
        <w:rPr>
          <w:rStyle w:val="35"/>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Style w:val="35"/>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（1）废气</w:t>
      </w:r>
    </w:p>
    <w:p w14:paraId="51EC577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本项目施工期产生的废气主要为施工扬尘、管道焊接烟尘、运输车辆尾气。</w:t>
      </w:r>
    </w:p>
    <w:p w14:paraId="036F4A7B">
      <w:pPr>
        <w:keepNext w:val="0"/>
        <w:keepLines w:val="0"/>
        <w:pageBreakBefore w:val="0"/>
        <w:widowControl w:val="0"/>
        <w:kinsoku/>
        <w:wordWrap/>
        <w:topLinePunct w:val="0"/>
        <w:bidi w:val="0"/>
        <w:spacing w:after="0" w:line="360" w:lineRule="auto"/>
        <w:ind w:firstLine="480" w:firstLineChars="200"/>
        <w:jc w:val="both"/>
        <w:rPr>
          <w:rStyle w:val="35"/>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施工扬尘主要采取运输道路及施工场地定时洒水抑尘，土方开挖采取遮盖、围挡、洒水等防尘措施；加强对施工机械设备及运输车辆的维护保养。施工过程采用环保型焊材。</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施工场地处厂界颗粒物浓度满足《大气污染物综合排放标准》（GB16297-1996）中表2无组织排放监控浓度限值要求。</w:t>
      </w:r>
    </w:p>
    <w:p w14:paraId="60EE5F79">
      <w:pPr>
        <w:keepNext w:val="0"/>
        <w:keepLines w:val="0"/>
        <w:pageBreakBefore w:val="0"/>
        <w:widowControl w:val="0"/>
        <w:kinsoku/>
        <w:wordWrap/>
        <w:topLinePunct w:val="0"/>
        <w:bidi w:val="0"/>
        <w:spacing w:after="0" w:line="360" w:lineRule="auto"/>
        <w:ind w:firstLine="480" w:firstLineChars="200"/>
        <w:jc w:val="both"/>
        <w:rPr>
          <w:rStyle w:val="35"/>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Style w:val="35"/>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（2）废水</w:t>
      </w:r>
    </w:p>
    <w:p w14:paraId="336D22D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施工期、退役期废弃管道清管废水、新建管道试压废水由罐车拉运至</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进行处理，达标后回注地下开采油层，不外排。</w:t>
      </w:r>
    </w:p>
    <w:p w14:paraId="665A540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排入附近芳407-6集油阀组间、升1-2集油阀组间、升1-6集油阀组间等已建防渗旱厕，本项目施工现场距离周边已建集油阀组间、配水间距离约为0-1km，施工人员步行或乘施工车辆进入附近集油阀组间防渗旱厕，用罐车抽排至高平4号污水站，排入大庆市净源环保科技有限公司处理达标后排放。</w:t>
      </w:r>
    </w:p>
    <w:p w14:paraId="1F5CC79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出水水质执行《大庆油田地面工程建设设计规定》（Q/SYDQ0639-2015）限值：“含油量≤10mg/L、悬浮固体含量≤5mg/L、粒径中值≤2μm”后回注地下开采油层。</w:t>
      </w:r>
    </w:p>
    <w:p w14:paraId="250CB19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（3）地下水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、土壤</w:t>
      </w:r>
    </w:p>
    <w:p w14:paraId="6D9F2568">
      <w:pPr>
        <w:keepNext w:val="0"/>
        <w:keepLines w:val="0"/>
        <w:pageBreakBefore w:val="0"/>
        <w:widowControl w:val="0"/>
        <w:kinsoku/>
        <w:wordWrap/>
        <w:topLinePunct w:val="0"/>
        <w:bidi w:val="0"/>
        <w:adjustRightInd w:val="0"/>
        <w:snapToGrid w:val="0"/>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参照《环境影响评价技术导则地下水环境》（HJ610-2016），</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本项目进行分区防渗：</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地下集输管道选用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内缠胶带硬质聚氨酯泡沫夹克管</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，集输管道壁厚的腐蚀余量大于3mm或采用管道内防腐，管道的外防腐等级应采用特加强级；管道的连接方式均采用焊接，防渗性能等效黏土防渗层Mb≥6m、K≤1.0×10</w:t>
      </w:r>
      <w:r>
        <w:rPr>
          <w:rFonts w:hint="eastAsia" w:ascii="Times New Roman" w:hAnsi="Times New Roman" w:eastAsia="宋体" w:cs="Times New Roman"/>
          <w:bCs/>
          <w:snapToGrid w:val="0"/>
          <w:color w:val="000000" w:themeColor="text1"/>
          <w:kern w:val="0"/>
          <w:sz w:val="24"/>
          <w:szCs w:val="24"/>
          <w:highlight w:val="none"/>
          <w:vertAlign w:val="superscript"/>
          <w:lang w:val="en-US" w:eastAsia="zh-CN"/>
          <w14:textFill>
            <w14:solidFill>
              <w14:schemeClr w14:val="tx1"/>
            </w14:solidFill>
          </w14:textFill>
        </w:rPr>
        <w:t>-7</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cm/s，满足《环境影响评价技术导则 地下水环境》（HJ610-2016）中重点防渗区的要求。</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定期对管道腐蚀情况及壁厚进行检测，发现问题及时处理，防止泄漏事故的发生；提高自动化水平，对管道的压力进行实时监控，当发生泄漏事故时可通过压力变化及时发现，然后采取维抢修及回收落地油和被污染的土壤等措施控制事故对周围环境造成的影响，进一步防止污染地下水。</w:t>
      </w:r>
    </w:p>
    <w:p w14:paraId="2F8E4338">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建立相应的地下水例行监测计划，对所在地及其影响区地下水环境跟踪监测，同时对监测结果定期进行信息公开。</w:t>
      </w:r>
    </w:p>
    <w:p w14:paraId="6746E91A">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噪声</w:t>
      </w:r>
    </w:p>
    <w:p w14:paraId="374B5A5C">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本项目施工期噪声主要是施工机械和车辆运行噪声，退役期仅清管过程产生一定的噪声。</w:t>
      </w:r>
    </w:p>
    <w:p w14:paraId="3D312F87">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运输车辆应选择合理时间和路线，避开居民休息时段；严格限定施工范围，选用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低的设备；注意对设备的维护和保养，合理操作，保证施工机械保持在最佳状态，降低噪声源强度，距离敏感目标较近的管段施工时，可采用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设置移动声屏障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，降低声源影响。</w:t>
      </w:r>
    </w:p>
    <w:p w14:paraId="37627AFD">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固体废物</w:t>
      </w:r>
    </w:p>
    <w:p w14:paraId="29D02912">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管道施工废料对照《固体废物分类与代码目录》（生态环境部2024年第4号），废物代码为900-099-S59其他工业生产过程中产生的固体废物，拉运至第七采油厂工业固废填埋场处理。</w:t>
      </w:r>
    </w:p>
    <w:p w14:paraId="210A618A">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本项目施工期管道定向钻施工产生的穿越工程废弃泥浆，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对照《固体废物分类与代码目录》（生态环境部2024年第4号），废物代码为900-0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-S</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71工程泥浆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经防渗泥浆池沉降后，上清液回收洒水降尘、固体部分用于井排路护坡。</w:t>
      </w:r>
    </w:p>
    <w:p w14:paraId="406442F4">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拆除废旧设备送至第八采油厂资产库回收。</w:t>
      </w:r>
    </w:p>
    <w:p w14:paraId="1E89FE25">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施工人员生活垃圾，对照《固体废物分类与代码目录》（生态环境部2024年第4号），废物代码为900-099-S64，统一收集，拉运到大庆城控电力有限公司焚烧处理。</w:t>
      </w:r>
    </w:p>
    <w:p w14:paraId="573DE133">
      <w:pPr>
        <w:keepNext w:val="0"/>
        <w:keepLines w:val="0"/>
        <w:pageBreakBefore w:val="0"/>
        <w:widowControl w:val="0"/>
        <w:kinsoku/>
        <w:wordWrap/>
        <w:overflowPunct w:val="0"/>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风险</w:t>
      </w:r>
    </w:p>
    <w:p w14:paraId="0AE01C63">
      <w:pPr>
        <w:pageBreakBefore w:val="0"/>
        <w:widowControl w:val="0"/>
        <w:kinsoku/>
        <w:wordWrap/>
        <w:topLinePunct w:val="0"/>
        <w:bidi w:val="0"/>
        <w:adjustRightInd w:val="0"/>
        <w:snapToGrid w:val="0"/>
        <w:spacing w:after="0"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本工程的主要环境风险是原油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及天然气</w:t>
      </w:r>
      <w:r>
        <w:rPr>
          <w:rFonts w:hint="default" w:ascii="Times New Roman" w:hAnsi="Times New Roman" w:eastAsia="宋体" w:cs="Times New Roman"/>
          <w:color w:val="000000" w:themeColor="text1"/>
          <w:sz w:val="24"/>
          <w:szCs w:val="24"/>
          <w:highlight w:val="none"/>
          <w14:textFill>
            <w14:solidFill>
              <w14:schemeClr w14:val="tx1"/>
            </w14:solidFill>
          </w14:textFill>
        </w:rPr>
        <w:t>泄漏（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场站泄漏</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、含油污水泄漏</w:t>
      </w:r>
      <w:r>
        <w:rPr>
          <w:rFonts w:hint="default" w:ascii="Times New Roman" w:hAnsi="Times New Roman" w:eastAsia="宋体" w:cs="Times New Roman"/>
          <w:color w:val="000000" w:themeColor="text1"/>
          <w:sz w:val="24"/>
          <w:szCs w:val="24"/>
          <w:highlight w:val="none"/>
          <w14:textFill>
            <w14:solidFill>
              <w14:schemeClr w14:val="tx1"/>
            </w14:solidFill>
          </w14:textFill>
        </w:rPr>
        <w:t>和火灾爆炸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64EF288">
      <w:pPr>
        <w:pageBreakBefore w:val="0"/>
        <w:widowControl w:val="0"/>
        <w:kinsoku/>
        <w:wordWrap/>
        <w:topLinePunct w:val="0"/>
        <w:bidi w:val="0"/>
        <w:adjustRightInd w:val="0"/>
        <w:snapToGrid w:val="0"/>
        <w:spacing w:after="0"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sectPr>
          <w:headerReference r:id="rId6" w:type="default"/>
          <w:footerReference r:id="rId7" w:type="default"/>
          <w:pgSz w:w="11906" w:h="16838"/>
          <w:pgMar w:top="1417" w:right="1417" w:bottom="1417" w:left="1417" w:header="964" w:footer="964" w:gutter="0"/>
          <w:pgBorders>
            <w:top w:val="none" w:sz="0" w:space="0"/>
            <w:left w:val="none" w:sz="0" w:space="0"/>
            <w:bottom w:val="none" w:sz="0" w:space="0"/>
            <w:right w:val="none" w:sz="0" w:space="0"/>
          </w:pgBorders>
          <w:pgNumType w:fmt="decimal" w:start="1"/>
          <w:cols w:space="0" w:num="1"/>
          <w:rtlGutter w:val="0"/>
          <w:docGrid w:linePitch="360" w:charSpace="0"/>
        </w:sectPr>
      </w:pPr>
    </w:p>
    <w:p w14:paraId="2BF3F2BF">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6" w:name="_Toc27247"/>
      <w:bookmarkStart w:id="17" w:name="_Toc14609"/>
      <w:bookmarkStart w:id="18" w:name="_Toc8598"/>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14:textFill>
            <w14:solidFill>
              <w14:schemeClr w14:val="tx1"/>
            </w14:solidFill>
          </w14:textFill>
        </w:rPr>
        <w:t>环境影响评价工作过程</w:t>
      </w:r>
      <w:bookmarkEnd w:id="16"/>
      <w:bookmarkEnd w:id="17"/>
      <w:bookmarkEnd w:id="18"/>
    </w:p>
    <w:p w14:paraId="6DBDE2B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大庆油田有限责任公司</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月委托</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黑龙江省合壹环保科技有限公司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委托了</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本项目的环境影响评价工作</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2CA234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我单位在接受委托后，按照《建设项目环境影响评价技术导则总纲》（HJ2.1-2016）、</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《环境影响评价技术导则 陆地石油天然气开发建设项目》（HJ/T349-2023）</w:t>
      </w:r>
      <w:r>
        <w:rPr>
          <w:rFonts w:hint="default" w:ascii="Times New Roman" w:hAnsi="Times New Roman" w:eastAsia="宋体" w:cs="Times New Roman"/>
          <w:color w:val="000000" w:themeColor="text1"/>
          <w:sz w:val="24"/>
          <w:szCs w:val="24"/>
          <w:highlight w:val="none"/>
          <w14:textFill>
            <w14:solidFill>
              <w14:schemeClr w14:val="tx1"/>
            </w14:solidFill>
          </w14:textFill>
        </w:rPr>
        <w:t>等国家有关环境影响评价规范、技术导则及环境保护管理部门的要求，依次完成以下环境影响评价工作：</w:t>
      </w:r>
    </w:p>
    <w:p w14:paraId="02C489E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第一阶段：首先，依据《建设项目环境影响评价分类管理名录（2021年版）》（部令第16号）规定，确定本项目环境影响评价技术文件类型为环境影响报告书。</w:t>
      </w:r>
    </w:p>
    <w:p w14:paraId="36AB71B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其次，在仔细研究项目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采油工程方案及地面工程建设方案</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的基础上，进行了初步工程分析，并对项目所在区域进行实地踏勘和调研，了解项目周围情况。在此基础上，完成环境影响因素识别、评价因子筛选、</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明确环境影响</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评价重点和主要环境保护目标确定等工作</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并确定各环境要素的评价工作等级、评价范围和评价标准。</w:t>
      </w:r>
    </w:p>
    <w:p w14:paraId="3CD2C90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第二阶段：根据工作方案，调查了评价范围内的环境状况，制定了监测方案。在环境质量现状监测与评价的基础上，进行各环境要素的环境影响预测和评价，编制完成各环境要素环境影响分析与评价章节。</w:t>
      </w:r>
    </w:p>
    <w:p w14:paraId="5139DA6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第三阶段：通过工程分析、环境影响分析的结果，确定项目所采取的环保措施</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制定相应的环境管理或环境监测计划，从生态环境影响的角度给出建设项目是否可行的结论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，完成报告的编制。具体环境影响评价工作程序见图1</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13C2174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在本项目环境影响报告书编制过程及初稿完成后，建设单位依据《中华人民共和国环境影响评价法</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环境影响评价公众参与办法》及建设项目环境影响评价的相关规定开展项目的公众参与工作并单独出具环境影响评价公众参与说明</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CD6A25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黑龙江安全环保技术网</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网站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对本次环境影响评价工作进行了第一次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公示。</w:t>
      </w:r>
    </w:p>
    <w:p w14:paraId="57EAE7E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，在本项目环评报告书（征求意见稿）编制完成后，建设单位在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黑龙江安全环保技术网</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网站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对本次环境影响评价工作进行了第二次公示，在二次公示期间，在大庆油田报进行了报纸公示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（报纸公示日期为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2025年12月29日、2025年12月30日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，同时在附近行政村公告栏张贴了公告</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F9388D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drawing>
          <wp:inline distT="0" distB="0" distL="114300" distR="114300">
            <wp:extent cx="4112260" cy="5175250"/>
            <wp:effectExtent l="0" t="0" r="2540" b="6350"/>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8"/>
                    <a:stretch>
                      <a:fillRect/>
                    </a:stretch>
                  </pic:blipFill>
                  <pic:spPr>
                    <a:xfrm>
                      <a:off x="0" y="0"/>
                      <a:ext cx="4112260" cy="5175250"/>
                    </a:xfrm>
                    <a:prstGeom prst="rect">
                      <a:avLst/>
                    </a:prstGeom>
                    <a:noFill/>
                    <a:ln>
                      <a:noFill/>
                    </a:ln>
                  </pic:spPr>
                </pic:pic>
              </a:graphicData>
            </a:graphic>
          </wp:inline>
        </w:drawing>
      </w:r>
    </w:p>
    <w:p w14:paraId="434134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环境影响评价程序</w:t>
      </w:r>
    </w:p>
    <w:p w14:paraId="2F18CC9F">
      <w:pPr>
        <w:keepNext w:val="0"/>
        <w:keepLines w:val="0"/>
        <w:pageBreakBefore w:val="0"/>
        <w:widowControl/>
        <w:kinsoku/>
        <w:wordWrap/>
        <w:overflowPunct/>
        <w:topLinePunct w:val="0"/>
        <w:autoSpaceDE/>
        <w:autoSpaceDN/>
        <w:bidi w:val="0"/>
        <w:adjustRightInd w:val="0"/>
        <w:snapToGrid w:val="0"/>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9" w:name="_Toc16511"/>
      <w:bookmarkStart w:id="20" w:name="_Toc25479"/>
      <w:bookmarkStart w:id="21" w:name="_Toc32543"/>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highlight w:val="none"/>
          <w14:textFill>
            <w14:solidFill>
              <w14:schemeClr w14:val="tx1"/>
            </w14:solidFill>
          </w14:textFill>
        </w:rPr>
        <w:t>分析判定情况</w:t>
      </w:r>
      <w:bookmarkEnd w:id="19"/>
      <w:bookmarkEnd w:id="20"/>
      <w:bookmarkEnd w:id="21"/>
    </w:p>
    <w:p w14:paraId="64C0BA44">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.1产业政策相符性判定</w:t>
      </w:r>
    </w:p>
    <w:p w14:paraId="2C2F1330">
      <w:pPr>
        <w:widowControl w:val="0"/>
        <w:overflowPunct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根据《产业结构调整指导目录（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2024</w:t>
      </w:r>
      <w:r>
        <w:rPr>
          <w:rFonts w:hint="default" w:ascii="Times New Roman" w:hAnsi="Times New Roman" w:eastAsia="宋体" w:cs="Times New Roman"/>
          <w:color w:val="000000" w:themeColor="text1"/>
          <w:sz w:val="24"/>
          <w:szCs w:val="24"/>
          <w:highlight w:val="none"/>
          <w14:textFill>
            <w14:solidFill>
              <w14:schemeClr w14:val="tx1"/>
            </w14:solidFill>
          </w14:textFill>
        </w:rPr>
        <w:t>年本）》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中华人民共和国发展和改革委员会令  第7号）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属于鼓励类“七、石油、天然气”中“1、石油天然气开采：常规石油、天然气勘探与开采，页岩气、页岩油、致密油（气）、油砂、天然气水合物等非常规资源勘探开发”，因此，该项目建设符合国家的产业政策</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3D3A419">
      <w:pPr>
        <w:widowControl w:val="0"/>
        <w:overflowPunct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本项目不属于列入《淘汰落后生产能力、工艺和产品的目录》（第一批、第二批、第三批）和《工商投资领域制止重复建设目录》内的项目，因此本项目不违反国家有关产业政策。</w:t>
      </w:r>
    </w:p>
    <w:p w14:paraId="33D8A281">
      <w:pPr>
        <w:widowControl w:val="0"/>
        <w:overflowPunct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本项目已取得了黑龙江省企业投资项目备案证，项目代码：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2601-230606-04-01-532268</w:t>
      </w: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，综上所述，项目建设符合国家产业政策要求。</w:t>
      </w:r>
    </w:p>
    <w:p w14:paraId="0476665E">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.2功能区划符合性分析</w:t>
      </w:r>
    </w:p>
    <w:p w14:paraId="2024445B">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.2.1与《黑龙江省主体功能区规划》符合性分析</w:t>
      </w:r>
    </w:p>
    <w:p w14:paraId="66350EA1">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本项目与</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《黑龙江省主体功能区规划》符合性分析</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见表</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1.5-1</w:t>
      </w: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w:t>
      </w:r>
    </w:p>
    <w:p w14:paraId="19FD06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表1.5-1  符合性分析一览表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652"/>
        <w:gridCol w:w="3935"/>
        <w:gridCol w:w="3465"/>
        <w:gridCol w:w="896"/>
      </w:tblGrid>
      <w:tr w14:paraId="1DCABA43">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652" w:type="dxa"/>
            <w:tcBorders>
              <w:tl2br w:val="nil"/>
              <w:tr2bl w:val="nil"/>
            </w:tcBorders>
            <w:noWrap w:val="0"/>
            <w:vAlign w:val="center"/>
          </w:tcPr>
          <w:p w14:paraId="2F33C2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3935" w:type="dxa"/>
            <w:tcBorders>
              <w:tl2br w:val="nil"/>
              <w:tr2bl w:val="nil"/>
            </w:tcBorders>
            <w:noWrap w:val="0"/>
            <w:vAlign w:val="center"/>
          </w:tcPr>
          <w:p w14:paraId="748CE4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要求</w:t>
            </w:r>
          </w:p>
        </w:tc>
        <w:tc>
          <w:tcPr>
            <w:tcW w:w="3465" w:type="dxa"/>
            <w:tcBorders>
              <w:tl2br w:val="nil"/>
              <w:tr2bl w:val="nil"/>
            </w:tcBorders>
            <w:noWrap w:val="0"/>
            <w:vAlign w:val="center"/>
          </w:tcPr>
          <w:p w14:paraId="47328CD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符合性</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分析</w:t>
            </w:r>
          </w:p>
        </w:tc>
        <w:tc>
          <w:tcPr>
            <w:tcW w:w="896" w:type="dxa"/>
            <w:tcBorders>
              <w:tl2br w:val="nil"/>
              <w:tr2bl w:val="nil"/>
            </w:tcBorders>
            <w:noWrap w:val="0"/>
            <w:vAlign w:val="center"/>
          </w:tcPr>
          <w:p w14:paraId="0E4B8B9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583E33F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652" w:type="dxa"/>
            <w:tcBorders>
              <w:tl2br w:val="nil"/>
              <w:tr2bl w:val="nil"/>
            </w:tcBorders>
            <w:noWrap w:val="0"/>
            <w:vAlign w:val="center"/>
          </w:tcPr>
          <w:p w14:paraId="321621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3935" w:type="dxa"/>
            <w:tcBorders>
              <w:tl2br w:val="nil"/>
              <w:tr2bl w:val="nil"/>
            </w:tcBorders>
            <w:noWrap w:val="0"/>
            <w:vAlign w:val="center"/>
          </w:tcPr>
          <w:p w14:paraId="0AE32999">
            <w:pPr>
              <w:keepNext w:val="0"/>
              <w:keepLines w:val="0"/>
              <w:pageBreakBefore w:val="0"/>
              <w:widowControl w:val="0"/>
              <w:numPr>
                <w:ilvl w:val="0"/>
                <w:numId w:val="0"/>
              </w:numPr>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第五章 限制开发区域（国家农产品主产区）</w:t>
            </w:r>
          </w:p>
          <w:p w14:paraId="0AA2FA03">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我省国家农产品主产区主要位于农业生产条件较好的松嫩平原、三江平原和中部山区，以松嫩平原、三江平原农业综合开发试验区为主体。主要包括宾县、双城市、巴彦县、依兰县、依安县、克山县、克东县、拜泉县、富裕县、讷河市、泰来县、龙江县、桦南县、桦川县、汤原县、林甸县、肇源县、肇州县、杜尔伯特蒙古族自治县、萝北县、宝清县、集贤县、友谊县、鸡东县、勃利县、绥化市北林区、安达市、肇东市、海伦市、兰西县、望奎县、青冈县、明水县等33个县（市、区）以及位于上述地区的农垦、森工系统所属场、局。</w:t>
            </w:r>
          </w:p>
          <w:p w14:paraId="059AFD56">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黑龙江省主体功能区规划》第五章保障措施中第八节环境政策，限制开发区要通过治理、限制或关闭污染物排放企业等手段，实现污染物排放总量持续下降；加大水资源保护力度，适度开发利用水资源，实行全面节水，满足基本的生态用水需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2AD1B635">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第八章能源与资源中提出：“位于限制开发区域的重点生态功能区的能源和矿产资源，在进行点状开发时，必须进行生态</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环境影响评价</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。尽可能减少对生态空间的占用，并同步修复生态环境”。</w:t>
            </w:r>
          </w:p>
        </w:tc>
        <w:tc>
          <w:tcPr>
            <w:tcW w:w="3465" w:type="dxa"/>
            <w:tcBorders>
              <w:tl2br w:val="nil"/>
              <w:tr2bl w:val="nil"/>
            </w:tcBorders>
            <w:noWrap w:val="0"/>
            <w:vAlign w:val="center"/>
          </w:tcPr>
          <w:p w14:paraId="1A0D171B">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位于黑龙江省绥化市安达市昌德镇</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、升平镇</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，大庆市大同区祝三乡</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境内</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，其中安达市属于限制开发区域</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509D811D">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在油田老区块内进行</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管线改造</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属于</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改建</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项目。</w:t>
            </w:r>
          </w:p>
          <w:p w14:paraId="7D80FE1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本项目施工期较短，污染物产生少。</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运营期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集输管道</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采用密闭集输工艺最大程度减少了 VOCs（以非甲烷总烃计）的无组织排放；项目施工期及</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退役期</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产生的废水均进入已建污水处理站处理后回注油层，不排入外环境；</w:t>
            </w:r>
          </w:p>
          <w:p w14:paraId="1A2F899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产生的各类固体废物均进行了相应的处理，对外环境无影响。</w:t>
            </w:r>
          </w:p>
          <w:p w14:paraId="032F50F2">
            <w:pPr>
              <w:keepNext w:val="0"/>
              <w:keepLines w:val="0"/>
              <w:pageBreakBefore w:val="0"/>
              <w:widowControl w:val="0"/>
              <w:numPr>
                <w:ilvl w:val="0"/>
                <w:numId w:val="3"/>
              </w:numPr>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已在章节5.7、章节6.6给出本项目生态环境影响分析和保护措施可行性分析，同时在设计阶段已根据尽可能减少对生态空间的占用要求，本项目通过采取施工期间划定施工活动范围，严格控制施工人员、车辆及重型机械的活动范围，并在施工结束后及时恢复地表形态，平整作业现场，并进行植被恢复及耕地复垦等措施，对本项目区域生态环境不会产生较大影响，并同步实施生态环境的修复。</w:t>
            </w:r>
          </w:p>
        </w:tc>
        <w:tc>
          <w:tcPr>
            <w:tcW w:w="896" w:type="dxa"/>
            <w:tcBorders>
              <w:tl2br w:val="nil"/>
              <w:tr2bl w:val="nil"/>
            </w:tcBorders>
            <w:noWrap w:val="0"/>
            <w:vAlign w:val="center"/>
          </w:tcPr>
          <w:p w14:paraId="11B594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345B4BE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652" w:type="dxa"/>
            <w:tcBorders>
              <w:tl2br w:val="nil"/>
              <w:tr2bl w:val="nil"/>
            </w:tcBorders>
            <w:noWrap w:val="0"/>
            <w:vAlign w:val="center"/>
          </w:tcPr>
          <w:p w14:paraId="12EB88D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3935" w:type="dxa"/>
            <w:tcBorders>
              <w:tl2br w:val="nil"/>
              <w:tr2bl w:val="nil"/>
            </w:tcBorders>
            <w:noWrap w:val="0"/>
            <w:vAlign w:val="center"/>
          </w:tcPr>
          <w:p w14:paraId="1181A763">
            <w:pPr>
              <w:keepNext w:val="0"/>
              <w:keepLines w:val="0"/>
              <w:pageBreakBefore w:val="0"/>
              <w:widowControl w:val="0"/>
              <w:numPr>
                <w:ilvl w:val="0"/>
                <w:numId w:val="0"/>
              </w:numPr>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第八章 能源与资源</w:t>
            </w:r>
          </w:p>
          <w:p w14:paraId="542ABDCA">
            <w:pPr>
              <w:keepNext w:val="0"/>
              <w:keepLines w:val="0"/>
              <w:pageBreakBefore w:val="0"/>
              <w:widowControl w:val="0"/>
              <w:numPr>
                <w:ilvl w:val="0"/>
                <w:numId w:val="0"/>
              </w:numPr>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节 能源开发利用</w:t>
            </w:r>
          </w:p>
          <w:p w14:paraId="3E7180C9">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在大庆及周边地区，加大石油勘探开发力度，实施老油田二次开发工程和三次采油工程，稳定石油产量。</w:t>
            </w:r>
          </w:p>
          <w:p w14:paraId="1EEBACAB">
            <w:pPr>
              <w:keepNext w:val="0"/>
              <w:keepLines w:val="0"/>
              <w:pageBreakBefore w:val="0"/>
              <w:widowControl w:val="0"/>
              <w:numPr>
                <w:ilvl w:val="0"/>
                <w:numId w:val="0"/>
              </w:numPr>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第三节 主要矿产资源开发利用</w:t>
            </w:r>
          </w:p>
          <w:p w14:paraId="3118D8B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鼓励开采石油、天然气、煤层气、地热、油页岩、铁、铜、铅、锌、岩金、铂、钯、水泥用大理岩、含钾岩石、熔炼水晶、玻璃用硅质原料、珍珠岩、陶粒用原料、岩棉用玄武岩、透辉石岩、饰面石岩等矿产资源。</w:t>
            </w:r>
          </w:p>
        </w:tc>
        <w:tc>
          <w:tcPr>
            <w:tcW w:w="3465" w:type="dxa"/>
            <w:tcBorders>
              <w:tl2br w:val="nil"/>
              <w:tr2bl w:val="nil"/>
            </w:tcBorders>
            <w:noWrap w:val="0"/>
            <w:vAlign w:val="center"/>
          </w:tcPr>
          <w:p w14:paraId="6954FB6E">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（1）本项目位于</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黑龙江省绥化市安达市昌德镇、升平镇，大庆市大同区祝三乡境内</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，拟更换的管道分布于大庆油田有限责任公司第八采油厂已开发区块宋芳屯油田和升平油田。</w:t>
            </w:r>
          </w:p>
          <w:p w14:paraId="68666D0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项目建成后将有效降低油田内部集输</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漏失风险，有利于稳定石油产量安全生产及环境保护。</w:t>
            </w:r>
          </w:p>
          <w:p w14:paraId="7406E8F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2）本项目为油田内部集输管道改造工程，属于大庆油田石油开采的一部分。</w:t>
            </w:r>
          </w:p>
        </w:tc>
        <w:tc>
          <w:tcPr>
            <w:tcW w:w="896" w:type="dxa"/>
            <w:tcBorders>
              <w:tl2br w:val="nil"/>
              <w:tr2bl w:val="nil"/>
            </w:tcBorders>
            <w:noWrap w:val="0"/>
            <w:vAlign w:val="center"/>
          </w:tcPr>
          <w:p w14:paraId="4C6F2F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454FC51C">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综上所述，本项目建设符合《黑龙江省主体功能区规划》要求。</w:t>
      </w:r>
    </w:p>
    <w:p w14:paraId="6947FE0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.2.2与《黑龙江省生态功能区划》符合性分析</w:t>
      </w:r>
    </w:p>
    <w:p w14:paraId="36965C82">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根据《黑龙江省生态功能区划》，本项目所在区域位于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-3安达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肇东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肇源农、牧业与盐渍化控制生态功能区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highlight w:val="none"/>
          <w14:textFill>
            <w14:solidFill>
              <w14:schemeClr w14:val="tx1"/>
            </w14:solidFill>
          </w14:textFill>
        </w:rPr>
        <w:t>1-6-1-2大庆地区矿业与土壤保持生态功能区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35D5061">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安达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肇东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肇源农、牧业与盐渍化控制生态功能区所在区域为肇州县、肇东市和安达市，面积10000</w:t>
      </w:r>
      <w:r>
        <w:rPr>
          <w:rFonts w:hint="default" w:ascii="Times New Roman" w:hAnsi="Times New Roman" w:eastAsia="宋体" w:cs="Times New Roman"/>
          <w:color w:val="000000" w:themeColor="text1"/>
          <w:sz w:val="24"/>
          <w:szCs w:val="24"/>
          <w:highlight w:val="none"/>
          <w14:textFill>
            <w14:solidFill>
              <w14:schemeClr w14:val="tx1"/>
            </w14:solidFill>
          </w14:textFill>
        </w:rPr>
        <w:t>km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，主要生态系统服务功能为盐渍化控制、生态系统产品提供；主要保护措施与发展方向为对草地进行恢复，禁止盲目开荒，对家畜实行圈养或轮牧，加大生态农业建设。</w:t>
      </w:r>
      <w:r>
        <w:rPr>
          <w:rFonts w:hint="default" w:ascii="Times New Roman" w:hAnsi="Times New Roman" w:eastAsia="宋体" w:cs="Times New Roman"/>
          <w:color w:val="000000" w:themeColor="text1"/>
          <w:sz w:val="24"/>
          <w:szCs w:val="24"/>
          <w:highlight w:val="none"/>
          <w14:textFill>
            <w14:solidFill>
              <w14:schemeClr w14:val="tx1"/>
            </w14:solidFill>
          </w14:textFill>
        </w:rPr>
        <w:t>大庆地区矿业与土壤保持生态功能区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该区位于大庆市，面积5170km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该区的主要生态环境问题为地下水超采严重，地下水水质受到污染，石油开采造成草地破坏，地面采空塌陷，土地盐渍化，主要生态系统服务功能为沙漠化控制、植被保护、生物多样性保护、石油开采，主要保护措施与发展方向为农牧业逐步恢复草原面积，加大对漏斗区的回注，防止漏斗区继续形成，控制对水环境的影响，科学发展农牧业。</w:t>
      </w:r>
    </w:p>
    <w:p w14:paraId="1281C0C8">
      <w:pPr>
        <w:pStyle w:val="36"/>
        <w:keepNext w:val="0"/>
        <w:keepLines w:val="0"/>
        <w:pageBreakBefore w:val="0"/>
        <w:widowControl w:val="0"/>
        <w:kinsoku/>
        <w:wordWrap/>
        <w:topLinePunct w:val="0"/>
        <w:bidi w:val="0"/>
        <w:ind w:firstLine="480"/>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本项目位于</w:t>
      </w:r>
      <w:r>
        <w:rPr>
          <w:rFonts w:hint="eastAsia" w:ascii="Times New Roman" w:hAnsi="Times New Roman" w:eastAsia="宋体" w:cs="Times New Roman"/>
          <w:bCs/>
          <w:snapToGrid/>
          <w:color w:val="000000" w:themeColor="text1"/>
          <w:kern w:val="2"/>
          <w:sz w:val="24"/>
          <w:szCs w:val="24"/>
          <w:highlight w:val="none"/>
          <w:lang w:val="en-US" w:eastAsia="zh-CN" w:bidi="ar-SA"/>
          <w14:textFill>
            <w14:solidFill>
              <w14:schemeClr w14:val="tx1"/>
            </w14:solidFill>
          </w14:textFill>
        </w:rPr>
        <w:t>黑龙江省绥化市安达市昌德镇、升平镇，大庆市大同区祝三乡境内</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临时</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占地</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24.78</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，占地类型是耕地（基本农田）</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cs="Times New Roman" w:eastAsiaTheme="minorEastAsia"/>
          <w:snapToGrid w:val="0"/>
          <w:color w:val="000000" w:themeColor="text1"/>
          <w:kern w:val="2"/>
          <w:sz w:val="24"/>
          <w:szCs w:val="24"/>
          <w:highlight w:val="none"/>
          <w:lang w:val="en-US" w:eastAsia="zh-CN" w:bidi="ar-SA"/>
          <w14:textFill>
            <w14:solidFill>
              <w14:schemeClr w14:val="tx1"/>
            </w14:solidFill>
          </w14:textFill>
        </w:rPr>
        <w:t>荒草地（非基本草原）</w:t>
      </w:r>
      <w:r>
        <w:rPr>
          <w:rFonts w:hint="eastAsia" w:ascii="Times New Roman" w:hAnsi="Times New Roman" w:cs="Times New Roman" w:eastAsiaTheme="minorEastAsia"/>
          <w:snapToGrid w:val="0"/>
          <w:color w:val="000000" w:themeColor="text1"/>
          <w:kern w:val="2"/>
          <w:sz w:val="24"/>
          <w:szCs w:val="24"/>
          <w:highlight w:val="none"/>
          <w:lang w:val="en-US" w:eastAsia="zh-CN" w:bidi="ar-SA"/>
          <w14:textFill>
            <w14:solidFill>
              <w14:schemeClr w14:val="tx1"/>
            </w14:solidFill>
          </w14:textFill>
        </w:rPr>
        <w:t>、林地</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，集输</w:t>
      </w:r>
      <w:r>
        <w:rPr>
          <w:rFonts w:hint="eastAsia"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运营期不涉及新增土地</w:t>
      </w:r>
      <w:r>
        <w:rPr>
          <w:rFonts w:hint="default" w:ascii="Times New Roman" w:hAnsi="Times New Roman" w:eastAsia="宋体" w:cs="Times New Roman"/>
          <w:snapToGrid/>
          <w:color w:val="000000" w:themeColor="text1"/>
          <w:spacing w:val="-5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不会造成大面积的土地退化</w:t>
      </w:r>
      <w:r>
        <w:rPr>
          <w:rFonts w:hint="default" w:ascii="Times New Roman" w:hAnsi="Times New Roman" w:eastAsia="宋体" w:cs="Times New Roman"/>
          <w:snapToGrid/>
          <w:color w:val="000000" w:themeColor="text1"/>
          <w:spacing w:val="-53"/>
          <w:kern w:val="2"/>
          <w:sz w:val="24"/>
          <w:szCs w:val="24"/>
          <w:highlight w:val="none"/>
          <w:lang w:val="en-US" w:eastAsia="zh-CN" w:bidi="ar-SA"/>
          <w14:textFill>
            <w14:solidFill>
              <w14:schemeClr w14:val="tx1"/>
            </w14:solidFill>
          </w14:textFill>
        </w:rPr>
        <w:t>。</w:t>
      </w:r>
    </w:p>
    <w:p w14:paraId="150ED763">
      <w:pPr>
        <w:widowControl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项目的建设不会对区域生态功能产生明显影响</w:t>
      </w:r>
      <w:r>
        <w:rPr>
          <w:rFonts w:hint="default" w:ascii="Times New Roman" w:hAnsi="Times New Roman" w:eastAsia="宋体" w:cs="Times New Roman"/>
          <w:snapToGrid/>
          <w:color w:val="000000" w:themeColor="text1"/>
          <w:spacing w:val="-34"/>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项目实施过程中</w:t>
      </w:r>
      <w:r>
        <w:rPr>
          <w:rFonts w:hint="default" w:ascii="Times New Roman" w:hAnsi="Times New Roman" w:eastAsia="宋体" w:cs="Times New Roman"/>
          <w:snapToGrid/>
          <w:color w:val="000000" w:themeColor="text1"/>
          <w:spacing w:val="-34"/>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应加强防沙治沙措施的实施和水土保持措施的落实</w:t>
      </w:r>
      <w:r>
        <w:rPr>
          <w:rFonts w:hint="default" w:ascii="Times New Roman" w:hAnsi="Times New Roman" w:eastAsia="宋体" w:cs="Times New Roman"/>
          <w:snapToGrid/>
          <w:color w:val="000000" w:themeColor="text1"/>
          <w:spacing w:val="-36"/>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尽量减少施工作业范围</w:t>
      </w:r>
      <w:r>
        <w:rPr>
          <w:rFonts w:hint="default" w:ascii="Times New Roman" w:hAnsi="Times New Roman" w:eastAsia="宋体" w:cs="Times New Roman"/>
          <w:snapToGrid/>
          <w:color w:val="000000" w:themeColor="text1"/>
          <w:spacing w:val="-5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施工过程中力求做到挖填平衡</w:t>
      </w:r>
      <w:r>
        <w:rPr>
          <w:rFonts w:hint="default" w:ascii="Times New Roman" w:hAnsi="Times New Roman" w:eastAsia="宋体" w:cs="Times New Roman"/>
          <w:snapToGrid/>
          <w:color w:val="000000" w:themeColor="text1"/>
          <w:spacing w:val="-53"/>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施工结束后对破坏的土地进行平整并覆土压实，及时进行植被恢复等，施工期建设不会造成大面积的土地退化，不会对区域生态功能产生明显影响，加强生态恢复及保护措施的实施</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p>
    <w:p w14:paraId="0491C4AE">
      <w:pPr>
        <w:widowControl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因此项目建设符合《黑龙江省生态功能区划》的要求。</w:t>
      </w:r>
    </w:p>
    <w:p w14:paraId="4D4E0A99">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2.3</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国民经济和社会发展规划符合性分析</w:t>
      </w:r>
    </w:p>
    <w:p w14:paraId="6B7A17B8">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spacing w:val="4"/>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黑龙江省国民经济和社会发展第十四个五年规划和二〇三五年远景目标纲要》（2021年3月2日黑龙江省十三届人大五次会议审议通过）中提出保障国家能源安全。当好标杆旗帜、建设“百年油田”，推进大庆油田常规油气资源抓稳油增气，页岩油、页岩气、致密油气等非常规油气资源抓勘探上产，推进页岩油气开发利用取得突破，老油田实现二次革命。</w:t>
      </w:r>
    </w:p>
    <w:p w14:paraId="7642AD6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绥化市国民经济和社会发展第十四个五年规划和二〇三五年远景目标纲要》（2021年7月5日）中提出：打造全省重要的精细化工基地。进一步壮大产业规模，形成独具特色的“化尾”产业承接平台，建成高附加值精细化工产业集群，推动产业向高端化、精细化发展。到2025年，全市精细化工产业产值达到300亿元。</w:t>
      </w:r>
    </w:p>
    <w:p w14:paraId="295A25D8">
      <w:pPr>
        <w:widowControl w:val="0"/>
        <w:adjustRightInd/>
        <w:snapToGrid/>
        <w:spacing w:after="0" w:line="360" w:lineRule="auto"/>
        <w:ind w:firstLine="480" w:firstLineChars="200"/>
        <w:jc w:val="both"/>
        <w:rPr>
          <w:rFonts w:hint="default" w:ascii="Times New Roman" w:hAnsi="Times New Roman" w:eastAsia="宋体" w:cs="Times New Roman"/>
          <w:snapToGrid/>
          <w:color w:val="000000" w:themeColor="text1"/>
          <w:spacing w:val="-3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《大庆市国民经济和社会发展第十四个五年规划和二〇三五年远景目标纲要》（庆政发[2021]13号）中</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提出</w:t>
      </w:r>
      <w:r>
        <w:rPr>
          <w:rFonts w:hint="default" w:ascii="Times New Roman" w:hAnsi="Times New Roman" w:eastAsia="宋体" w:cs="Times New Roman"/>
          <w:snapToGrid/>
          <w:color w:val="000000" w:themeColor="text1"/>
          <w:spacing w:val="-27"/>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加快体制机制创新，全力推动百年油田建设，支持油田打好“提质增效”攻坚战。全力服务油田产能建设，在环保、安全、自然资源利用等方面简化审批流程、开辟政务“绿色通道”，保障油气资源高质高效开发</w:t>
      </w:r>
      <w:r>
        <w:rPr>
          <w:rFonts w:hint="default" w:ascii="Times New Roman" w:hAnsi="Times New Roman" w:eastAsia="宋体" w:cs="Times New Roman"/>
          <w:snapToGrid/>
          <w:color w:val="000000" w:themeColor="text1"/>
          <w:spacing w:val="-36"/>
          <w:kern w:val="2"/>
          <w:sz w:val="24"/>
          <w:szCs w:val="24"/>
          <w:highlight w:val="none"/>
          <w:lang w:val="en-US" w:eastAsia="zh-CN" w:bidi="ar-SA"/>
          <w14:textFill>
            <w14:solidFill>
              <w14:schemeClr w14:val="tx1"/>
            </w14:solidFill>
          </w14:textFill>
        </w:rPr>
        <w:t>。</w:t>
      </w:r>
    </w:p>
    <w:p w14:paraId="3EC0586F">
      <w:pPr>
        <w:widowControl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本项目为油田内部集输管道改造工程，符</w:t>
      </w:r>
      <w:r>
        <w:rPr>
          <w:rFonts w:hint="default" w:ascii="Times New Roman" w:hAnsi="Times New Roman" w:eastAsia="宋体" w:cs="Times New Roman"/>
          <w:snapToGrid/>
          <w:color w:val="000000" w:themeColor="text1"/>
          <w:spacing w:val="-34"/>
          <w:kern w:val="2"/>
          <w:sz w:val="24"/>
          <w:szCs w:val="24"/>
          <w:highlight w:val="none"/>
          <w:lang w:val="en-US" w:eastAsia="zh-CN" w:bidi="ar-SA"/>
          <w14:textFill>
            <w14:solidFill>
              <w14:schemeClr w14:val="tx1"/>
            </w14:solidFill>
          </w14:textFill>
        </w:rPr>
        <w:t>合</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《黑龙江省国民经济和社会发展第十四个五年规划和二〇三五年远景目标纲要</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绥化市国民经济和社会发展第十四个五年规划和二〇三五年远景目标纲要</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大庆市国民经济和社会发展第十四个五年规划和二〇三五年远景目标纲要》</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要求</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p>
    <w:p w14:paraId="212B7507">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1.5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.2.4</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与</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国土空间总体规划符合性分析</w:t>
      </w:r>
    </w:p>
    <w:p w14:paraId="24926A52">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（1）与《黑龙江省国土空间总体规划（2021—2035年）》符合性分析</w:t>
      </w:r>
    </w:p>
    <w:p w14:paraId="767D5795">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黑龙江省国土空间总体规划（2021—2035年）》第四节科学布局能源资源空间：“保障主要能源开发、利用和储备空间。加强国家级重点勘查区地质调查和矿产勘查，形成一批新的资源接续区。加强煤炭清洁高效利用，提升电力保障能力。保障页岩油等陆相页岩油勘探开发项目用地，加快新区块勘探开发，进一步完善天然气网络布局。科学布局油气资源储备项目建设空间。”</w:t>
      </w:r>
    </w:p>
    <w:p w14:paraId="26CA1CB8">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本项目位于黑龙江省绥化市安达市昌德镇、升平镇，大庆市大同区祝三乡境内，拟更换的管道分布于大庆油田有限责任公司第八采油厂已开发区块宋芳屯油田和升平油田。</w:t>
      </w:r>
    </w:p>
    <w:p w14:paraId="35183030">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项目建成后将有效降低油田内部集输管道漏失风险，有利于稳定石油产量安全生产及环境保护。</w:t>
      </w:r>
    </w:p>
    <w:p w14:paraId="3BCC9569">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（2）与《大庆市国土空间总体规划（2021</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2035年）》符合性分析</w:t>
      </w:r>
    </w:p>
    <w:p w14:paraId="5C74B877">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本项目位于黑龙江省绥化市安达市昌德镇、升平镇，大庆市大同区祝三乡境内，拟更换的管道分布于大庆油田有限责任公司第八采油厂已开发区块宋芳屯油田和升平油田。</w:t>
      </w:r>
    </w:p>
    <w:p w14:paraId="21260466">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项目建成后将有效降低油田内部集输管道漏失风险，有利于稳定石油产量安全生产及环境保护。</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符合规划中“严格保护耕地，推进乡村全面振兴”相关要求。</w:t>
      </w:r>
    </w:p>
    <w:p w14:paraId="58879843">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（3）</w:t>
      </w:r>
      <w:r>
        <w:rPr>
          <w:rFonts w:hint="eastAsia"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t>与</w:t>
      </w:r>
      <w:r>
        <w:rPr>
          <w:rFonts w:hint="default"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t>大同区</w:t>
      </w:r>
      <w:r>
        <w:rPr>
          <w:rFonts w:hint="default"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t>国土空间总体规划（2021</w:t>
      </w:r>
      <w:r>
        <w:rPr>
          <w:rFonts w:hint="eastAsia"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t>2035年）》符合性分析</w:t>
      </w:r>
    </w:p>
    <w:p w14:paraId="5DBE802A">
      <w:pPr>
        <w:widowControl w:val="0"/>
        <w:adjustRightInd/>
        <w:snapToGrid/>
        <w:spacing w:after="0" w:line="360" w:lineRule="auto"/>
        <w:ind w:firstLine="476" w:firstLineChars="200"/>
        <w:jc w:val="both"/>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本项目位于黑龙江省绥化市安达市昌德镇、升平镇，大庆市大同区祝三乡境内，拟更换的管道分布于大庆油田有限责任公司第八采油厂已开发区块宋芳屯油田和升平油田。</w:t>
      </w:r>
    </w:p>
    <w:p w14:paraId="00F5DE6B">
      <w:pPr>
        <w:widowControl w:val="0"/>
        <w:adjustRightInd/>
        <w:snapToGrid/>
        <w:spacing w:after="0" w:line="360" w:lineRule="auto"/>
        <w:ind w:firstLine="476" w:firstLineChars="200"/>
        <w:jc w:val="both"/>
        <w:rPr>
          <w:rFonts w:hint="eastAsia" w:ascii="Times New Roman" w:hAnsi="Times New Roman" w:eastAsia="宋体" w:cs="Times New Roman"/>
          <w:color w:val="000000" w:themeColor="text1"/>
          <w:spacing w:val="-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项目建成后将有效降低油田内部集输管道漏失风险，有利于稳定石油产量安全生产及环境保护。</w:t>
      </w:r>
    </w:p>
    <w:p w14:paraId="7627B729">
      <w:pPr>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）《绥化市国土空间总体规划（2021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2035年）》</w:t>
      </w:r>
    </w:p>
    <w:p w14:paraId="0728C1B2">
      <w:pPr>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根据《绥化市国土空间总体规划（2021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2035年）》，矿产能源发展区是适应国家能源安全与矿业发展的重要区域，包括重要陆域采矿区、战略性矿产储量区等区域。绥化市矿产能源发展区集中分布在绥棱、安达、庆安等县市，其他县市有零星分布。矿产能源发展区允许矿产资源的勘探、开采、初加工以及相关的配套设施建设，禁止大规模的城镇建设。</w:t>
      </w:r>
      <w:r>
        <w:rPr>
          <w:rFonts w:hint="default" w:ascii="Times New Roman" w:hAnsi="Times New Roman" w:eastAsia="宋体" w:cs="Times New Roman"/>
          <w:color w:val="000000" w:themeColor="text1"/>
          <w:spacing w:val="-1"/>
          <w:sz w:val="24"/>
          <w:szCs w:val="28"/>
          <w:highlight w:val="none"/>
          <w:lang w:val="en-US" w:eastAsia="zh-CN" w:bidi="ar-SA"/>
          <w14:textFill>
            <w14:solidFill>
              <w14:schemeClr w14:val="tx1"/>
            </w14:solidFill>
          </w14:textFill>
        </w:rPr>
        <w:t>本项目属于</w:t>
      </w:r>
      <w:r>
        <w:rPr>
          <w:rFonts w:hint="eastAsia" w:ascii="Times New Roman" w:hAnsi="Times New Roman" w:eastAsia="宋体" w:cs="Times New Roman"/>
          <w:color w:val="000000" w:themeColor="text1"/>
          <w:spacing w:val="-1"/>
          <w:sz w:val="24"/>
          <w:szCs w:val="28"/>
          <w:highlight w:val="none"/>
          <w:lang w:val="en-US" w:eastAsia="zh-CN" w:bidi="ar-SA"/>
          <w14:textFill>
            <w14:solidFill>
              <w14:schemeClr w14:val="tx1"/>
            </w14:solidFill>
          </w14:textFill>
        </w:rPr>
        <w:t>油田内部集输管道改造项目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，符合</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《绥化市国土空间总体规划（2021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2035年）》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相关要求。</w:t>
      </w:r>
    </w:p>
    <w:p w14:paraId="1F3BBA60">
      <w:pPr>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安达</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市国土空间总体规划（2021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2035年）》</w:t>
      </w:r>
    </w:p>
    <w:p w14:paraId="43399054">
      <w:pPr>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根据《</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安达</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市国土空间总体规划（2021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2035年）》，</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优化矿产资源勘查、开采区域布局，增强矿产资源区域空间调控能力，有效保护资源，规划期内实行勘查规划分区控制管理。</w:t>
      </w:r>
    </w:p>
    <w:p w14:paraId="7F262200">
      <w:pPr>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选址不涉及国家公园、自然保护区、风景名胜区、世界文化和自然遗产地、海洋特别保护区、饮用水水源保护区、生态保护红线</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森林公园、地质公园、重要湿地、天然林，重点保护野生动物栖息地，重点保护野生植物生长繁殖地，重要水生生物的自然产卵场、索饵场、越冬场和洄游通道，天然渔场</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等区域，不涉及禁止开发区域</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符合</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安达</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市国土空间总体规划（2021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2035年）》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相关要求。</w:t>
      </w:r>
    </w:p>
    <w:p w14:paraId="42F29696">
      <w:pPr>
        <w:widowControl w:val="0"/>
        <w:adjustRightInd/>
        <w:snapToGrid/>
        <w:spacing w:after="0" w:line="360" w:lineRule="auto"/>
        <w:jc w:val="both"/>
        <w:outlineLvl w:val="3"/>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8"/>
          <w:highlight w:val="none"/>
          <w:lang w:val="en-US" w:eastAsia="zh-CN"/>
          <w14:textFill>
            <w14:solidFill>
              <w14:schemeClr w14:val="tx1"/>
            </w14:solidFill>
          </w14:textFill>
        </w:rPr>
        <w:t>1.5.2.</w:t>
      </w:r>
      <w:r>
        <w:rPr>
          <w:rFonts w:hint="eastAsia" w:ascii="Times New Roman" w:hAnsi="Times New Roman" w:eastAsia="宋体" w:cs="Times New Roman"/>
          <w:b/>
          <w:bCs w:val="0"/>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kern w:val="2"/>
          <w:sz w:val="24"/>
          <w:szCs w:val="28"/>
          <w:highlight w:val="none"/>
          <w:lang w:val="en-US" w:eastAsia="zh-CN"/>
          <w14:textFill>
            <w14:solidFill>
              <w14:schemeClr w14:val="tx1"/>
            </w14:solidFill>
          </w14:textFill>
        </w:rPr>
        <w:t>与用地相关政策符合性分析</w:t>
      </w:r>
    </w:p>
    <w:p w14:paraId="43E54F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t>①《中华人民共和国黑土地保护法》</w:t>
      </w:r>
    </w:p>
    <w:p w14:paraId="4DAA796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《中华人民共和国黑土地保护法》</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（2022年8月1日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中第21条有关规定“建设项目不得占用黑土地；确需占用的，应当依法严格审批，并补充数量和质量相当的耕地。建设项目占用黑土地的，应当按照规定的标准对耕作层的土壤进行剥离。剥离的黑土应当就近用于新开垦耕地和劣质耕地改良、被污染耕地的治理、高标准农田建设、土地复垦等。建设项目主体应当制定剥离黑土的再利用方案，报自然资源主管部门备案”。</w:t>
      </w:r>
    </w:p>
    <w:p w14:paraId="5B150FBD">
      <w:pPr>
        <w:widowControl w:val="0"/>
        <w:adjustRightInd/>
        <w:snapToGrid/>
        <w:spacing w:after="0"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油田内部集输管道改造项目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，根据油层地质勘查，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程占地无法避让黑土地，施工前需要征收土地，应报请相关主管部门同意，取得用地审批。工程尽可能减少占地，对占用的耕地，按照“占多少，垦多少”的原则，由建设单位负责开垦与所占用耕地的数量和质量相当的耕地，如果没有条件开垦时，按照省的规定缴纳耕地开垦费，专款用于开垦新的耕地。企业实施前编制建设项目占用耕地耕作层土壤剥离利用方案，统筹安排剥离、储存和再利用，表土剥离和利用严格执行《建设占用耕地耕作层土壤剥离利用技术规范》（DB23/T2913-2021），并报自</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然资源主管部门备案，在采取上述措施后，项目建设符合</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《中华人民共和国黑土地保护法》</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相关要求。</w:t>
      </w:r>
    </w:p>
    <w:p w14:paraId="17050433">
      <w:pPr>
        <w:keepNext w:val="0"/>
        <w:keepLines w:val="0"/>
        <w:pageBreakBefore w:val="0"/>
        <w:widowControl w:val="0"/>
        <w:kinsoku/>
        <w:wordWrap/>
        <w:overflowPunct w:val="0"/>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《基本农田保护条例》</w:t>
      </w:r>
    </w:p>
    <w:p w14:paraId="64AD778D">
      <w:pPr>
        <w:widowControl w:val="0"/>
        <w:overflowPunct w:val="0"/>
        <w:adjustRightInd w:val="0"/>
        <w:snapToGrid w:val="0"/>
        <w:spacing w:after="0" w:line="360" w:lineRule="auto"/>
        <w:ind w:firstLine="480" w:firstLineChars="200"/>
        <w:jc w:val="both"/>
        <w:rPr>
          <w:rFonts w:hint="default" w:ascii="Times New Roman" w:hAnsi="Times New Roman" w:eastAsia="宋体" w:cs="Times New Roman"/>
          <w:color w:val="000000" w:themeColor="text1"/>
          <w:kern w:val="0"/>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32"/>
          <w:highlight w:val="none"/>
          <w:lang w:val="en-US" w:eastAsia="zh-CN"/>
          <w14:textFill>
            <w14:solidFill>
              <w14:schemeClr w14:val="tx1"/>
            </w14:solidFill>
          </w14:textFill>
        </w:rPr>
        <w:t>根据本项目工程量拟建位置与</w:t>
      </w:r>
      <w:r>
        <w:rPr>
          <w:rFonts w:hint="default" w:ascii="Times New Roman" w:hAnsi="Times New Roman" w:eastAsia="宋体" w:cs="Times New Roman"/>
          <w:color w:val="000000" w:themeColor="text1"/>
          <w:kern w:val="0"/>
          <w:sz w:val="24"/>
          <w:szCs w:val="32"/>
          <w:highlight w:val="none"/>
          <w:lang w:val="en-US" w:eastAsia="zh-CN"/>
          <w14:textFill>
            <w14:solidFill>
              <w14:schemeClr w14:val="tx1"/>
            </w14:solidFill>
          </w14:textFill>
        </w:rPr>
        <w:t>永久基本农田查询平台</w:t>
      </w:r>
      <w:r>
        <w:rPr>
          <w:rFonts w:hint="eastAsia" w:ascii="Times New Roman" w:hAnsi="Times New Roman" w:eastAsia="宋体" w:cs="Times New Roman"/>
          <w:color w:val="000000" w:themeColor="text1"/>
          <w:kern w:val="0"/>
          <w:sz w:val="24"/>
          <w:szCs w:val="32"/>
          <w:highlight w:val="none"/>
          <w:lang w:val="en-US" w:eastAsia="zh-CN"/>
          <w14:textFill>
            <w14:solidFill>
              <w14:schemeClr w14:val="tx1"/>
            </w14:solidFill>
          </w14:textFill>
        </w:rPr>
        <w:t>查询结果，本项目芳3转油站外输油管道、升1-2集油阀组间6环集油管道位于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永久基本农田内，临时占用</w:t>
      </w:r>
      <w:r>
        <w:rPr>
          <w:rFonts w:hint="default" w:ascii="Times New Roman" w:hAnsi="Times New Roman" w:eastAsia="宋体" w:cs="Times New Roman"/>
          <w:snapToGrid w:val="0"/>
          <w:color w:val="000000" w:themeColor="text1"/>
          <w:kern w:val="2"/>
          <w:sz w:val="24"/>
          <w:szCs w:val="20"/>
          <w:highlight w:val="none"/>
          <w:vertAlign w:val="baseline"/>
          <w:lang w:val="en-US" w:eastAsia="zh-CN" w:bidi="ar-SA"/>
          <w14:textFill>
            <w14:solidFill>
              <w14:schemeClr w14:val="tx1"/>
            </w14:solidFill>
          </w14:textFill>
        </w:rPr>
        <w:t>基本农田</w:t>
      </w:r>
      <w:r>
        <w:rPr>
          <w:rFonts w:hint="eastAsia" w:ascii="Times New Roman" w:hAnsi="Times New Roman" w:eastAsia="宋体" w:cs="Times New Roman"/>
          <w:snapToGrid w:val="0"/>
          <w:color w:val="000000" w:themeColor="text1"/>
          <w:kern w:val="2"/>
          <w:sz w:val="24"/>
          <w:szCs w:val="20"/>
          <w:highlight w:val="none"/>
          <w:vertAlign w:val="baseline"/>
          <w:lang w:val="en-US" w:eastAsia="zh-CN" w:bidi="ar-SA"/>
          <w14:textFill>
            <w14:solidFill>
              <w14:schemeClr w14:val="tx1"/>
            </w14:solidFill>
          </w14:textFill>
        </w:rPr>
        <w:t>12.12hm</w:t>
      </w:r>
      <w:r>
        <w:rPr>
          <w:rFonts w:hint="default" w:ascii="Times New Roman" w:hAnsi="Times New Roman" w:eastAsia="宋体" w:cs="Times New Roman"/>
          <w:snapToGrid w:val="0"/>
          <w:color w:val="000000" w:themeColor="text1"/>
          <w:kern w:val="2"/>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p>
    <w:p w14:paraId="4882E078">
      <w:pPr>
        <w:widowControl w:val="0"/>
        <w:overflowPunct w:val="0"/>
        <w:adjustRightInd w:val="0"/>
        <w:snapToGrid w:val="0"/>
        <w:spacing w:after="0" w:line="360" w:lineRule="auto"/>
        <w:ind w:firstLine="480" w:firstLineChars="200"/>
        <w:jc w:val="both"/>
        <w:rPr>
          <w:rFonts w:hint="eastAsia" w:ascii="Times New Roman" w:hAnsi="Times New Roman" w:eastAsia="宋体" w:cs="Times New Roman"/>
          <w:color w:val="000000" w:themeColor="text1"/>
          <w:kern w:val="0"/>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根据《基本农田保护条例》（2011年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w:t>
      </w:r>
    </w:p>
    <w:p w14:paraId="6C5B112E">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油田内部集输管道改造项目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，属于能源附属基本设施建设，服务于国家能源设施重点建设，根据油层地质勘查，</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项目确实</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无法避让基本农田，本项目施工完毕后1年内，临时占地全部恢复原有植被类型，即占用农田全部恢复为耕地。临时占地恢复也可给予农民一定的费用补偿，由农民自行进行土地恢复</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3C4B36D1">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《黑龙江省黑土地保护利用条例》</w:t>
      </w:r>
    </w:p>
    <w:p w14:paraId="170B3ED2">
      <w:pPr>
        <w:widowControl w:val="0"/>
        <w:overflowPunct w:val="0"/>
        <w:adjustRightInd w:val="0"/>
        <w:snapToGrid w:val="0"/>
        <w:spacing w:after="0" w:line="360" w:lineRule="auto"/>
        <w:ind w:firstLine="480" w:firstLineChars="200"/>
        <w:jc w:val="both"/>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本项目与</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《黑龙江省黑土地保护利用条例》符合性分析见表1.5-</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w:t>
      </w:r>
    </w:p>
    <w:p w14:paraId="12BA1CA5">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sectPr>
          <w:pgSz w:w="11906" w:h="16838"/>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2742AD88">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2</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符合性分析一览表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5142"/>
        <w:gridCol w:w="7501"/>
        <w:gridCol w:w="901"/>
      </w:tblGrid>
      <w:tr w14:paraId="4210D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6" w:type="dxa"/>
            <w:tcBorders>
              <w:tl2br w:val="nil"/>
              <w:tr2bl w:val="nil"/>
            </w:tcBorders>
            <w:vAlign w:val="center"/>
          </w:tcPr>
          <w:p w14:paraId="41D336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序号</w:t>
            </w:r>
          </w:p>
        </w:tc>
        <w:tc>
          <w:tcPr>
            <w:tcW w:w="5142" w:type="dxa"/>
            <w:tcBorders>
              <w:tl2br w:val="nil"/>
              <w:tr2bl w:val="nil"/>
            </w:tcBorders>
            <w:vAlign w:val="center"/>
          </w:tcPr>
          <w:p w14:paraId="55172CA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相关</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要求</w:t>
            </w:r>
          </w:p>
        </w:tc>
        <w:tc>
          <w:tcPr>
            <w:tcW w:w="7501" w:type="dxa"/>
            <w:tcBorders>
              <w:tl2br w:val="nil"/>
              <w:tr2bl w:val="nil"/>
            </w:tcBorders>
            <w:vAlign w:val="center"/>
          </w:tcPr>
          <w:p w14:paraId="7E8700B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符合性分析</w:t>
            </w:r>
          </w:p>
        </w:tc>
        <w:tc>
          <w:tcPr>
            <w:tcW w:w="901" w:type="dxa"/>
            <w:tcBorders>
              <w:tl2br w:val="nil"/>
              <w:tr2bl w:val="nil"/>
            </w:tcBorders>
            <w:vAlign w:val="center"/>
          </w:tcPr>
          <w:p w14:paraId="7403331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2C955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6" w:type="dxa"/>
            <w:tcBorders>
              <w:tl2br w:val="nil"/>
              <w:tr2bl w:val="nil"/>
            </w:tcBorders>
            <w:vAlign w:val="center"/>
          </w:tcPr>
          <w:p w14:paraId="2B477F3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5142" w:type="dxa"/>
            <w:tcBorders>
              <w:tl2br w:val="nil"/>
              <w:tr2bl w:val="nil"/>
            </w:tcBorders>
            <w:shd w:val="clear" w:color="auto" w:fill="auto"/>
            <w:vAlign w:val="center"/>
          </w:tcPr>
          <w:p w14:paraId="3B879D0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第三十</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14:textFill>
                  <w14:solidFill>
                    <w14:schemeClr w14:val="tx1"/>
                  </w14:solidFill>
                </w14:textFill>
              </w:rPr>
              <w:t>三</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条</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14:textFill>
                  <w14:solidFill>
                    <w14:schemeClr w14:val="tx1"/>
                  </w14:solidFill>
                </w14:textFill>
              </w:rPr>
              <w:t xml:space="preserve"> 禁止向黑土地排放重金属或者其他有毒有害物质含量超标的污水、污泥，以及可能造成土壤污染的清淤底泥、尾矿、矿渣等；禁止将有毒有害废物用作肥料或者用于造田和土地复垦</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w:t>
            </w:r>
          </w:p>
        </w:tc>
        <w:tc>
          <w:tcPr>
            <w:tcW w:w="7501" w:type="dxa"/>
            <w:tcBorders>
              <w:tl2br w:val="nil"/>
              <w:tr2bl w:val="nil"/>
            </w:tcBorders>
            <w:shd w:val="clear" w:color="auto" w:fill="auto"/>
            <w:vAlign w:val="center"/>
          </w:tcPr>
          <w:p w14:paraId="15DDF235">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项目产生的污染物均已进行合理化处置，不涉及向</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14:textFill>
                  <w14:solidFill>
                    <w14:schemeClr w14:val="tx1"/>
                  </w14:solidFill>
                </w14:textFill>
              </w:rPr>
              <w:t>黑土地排放重金属或者其他有毒有害物质含量超标的污水、污泥，以及可能造成土壤污染的清淤底泥、尾矿、矿渣等；不涉及将有毒有害废物用作肥料或者用于造田和土地复垦。</w:t>
            </w:r>
          </w:p>
        </w:tc>
        <w:tc>
          <w:tcPr>
            <w:tcW w:w="901" w:type="dxa"/>
            <w:tcBorders>
              <w:tl2br w:val="nil"/>
              <w:tr2bl w:val="nil"/>
            </w:tcBorders>
            <w:shd w:val="clear" w:color="auto" w:fill="auto"/>
            <w:vAlign w:val="center"/>
          </w:tcPr>
          <w:p w14:paraId="51E8F35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2825B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6" w:type="dxa"/>
            <w:tcBorders>
              <w:tl2br w:val="nil"/>
              <w:tr2bl w:val="nil"/>
            </w:tcBorders>
            <w:vAlign w:val="center"/>
          </w:tcPr>
          <w:p w14:paraId="4D40B5E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5142" w:type="dxa"/>
            <w:tcBorders>
              <w:tl2br w:val="nil"/>
              <w:tr2bl w:val="nil"/>
            </w:tcBorders>
            <w:vAlign w:val="center"/>
          </w:tcPr>
          <w:p w14:paraId="667ED2D6">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第四十三条 在黑土地上禁止下列行为：（一）建窑、建坟；（二）擅自建房、挖砂、采石、采矿等；（三）向黑土地倾倒垃圾；（四）法律、法规规定的其他禁止行为。</w:t>
            </w:r>
          </w:p>
        </w:tc>
        <w:tc>
          <w:tcPr>
            <w:tcW w:w="7501" w:type="dxa"/>
            <w:tcBorders>
              <w:tl2br w:val="nil"/>
              <w:tr2bl w:val="nil"/>
            </w:tcBorders>
            <w:vAlign w:val="center"/>
          </w:tcPr>
          <w:p w14:paraId="32D4765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cs="Times New Roman" w:eastAsiaTheme="minorEastAsia"/>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油田内部集输管道改造项目</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，属于国家能源建设项目，</w:t>
            </w:r>
            <w:r>
              <w:rPr>
                <w:rFonts w:hint="eastAsia"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不涉及向</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黑土地倾倒垃圾，</w:t>
            </w:r>
            <w:r>
              <w:rPr>
                <w:rFonts w:hint="eastAsia"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不属于在黑土地上禁止的行为。</w:t>
            </w:r>
          </w:p>
        </w:tc>
        <w:tc>
          <w:tcPr>
            <w:tcW w:w="901" w:type="dxa"/>
            <w:tcBorders>
              <w:tl2br w:val="nil"/>
              <w:tr2bl w:val="nil"/>
            </w:tcBorders>
            <w:vAlign w:val="center"/>
          </w:tcPr>
          <w:p w14:paraId="284B958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0CF1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6" w:type="dxa"/>
            <w:tcBorders>
              <w:tl2br w:val="nil"/>
              <w:tr2bl w:val="nil"/>
            </w:tcBorders>
            <w:vAlign w:val="center"/>
          </w:tcPr>
          <w:p w14:paraId="5A9ED22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5142" w:type="dxa"/>
            <w:tcBorders>
              <w:tl2br w:val="nil"/>
              <w:tr2bl w:val="nil"/>
            </w:tcBorders>
            <w:shd w:val="clear" w:color="auto" w:fill="auto"/>
            <w:vAlign w:val="center"/>
          </w:tcPr>
          <w:p w14:paraId="4C2ACDD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第四十四条 建设项目不得占用黑土地；确需占用的，应当依法严格审批，并补充数量和质量相当的耕地。</w:t>
            </w:r>
          </w:p>
        </w:tc>
        <w:tc>
          <w:tcPr>
            <w:tcW w:w="7501" w:type="dxa"/>
            <w:tcBorders>
              <w:tl2br w:val="nil"/>
              <w:tr2bl w:val="nil"/>
            </w:tcBorders>
            <w:shd w:val="clear" w:color="auto" w:fill="auto"/>
            <w:vAlign w:val="center"/>
          </w:tcPr>
          <w:p w14:paraId="6B63059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根据地下储层特性，本项目部分管</w:t>
            </w: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道</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选址无法避让耕地（黑土地）。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临时占地</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12.12</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t>（基本农田</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w:t>
            </w:r>
          </w:p>
          <w:p w14:paraId="5CBD2B6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本项目在施工前需要征收土地，应报请相关主管部门同意，取得用地审批。本工程尽可能减少占地。本项目施工期约1个月，施工结束后，立即拆除施工设备，建设单位对临时占地进行地表恢复，对占用的耕地进行复垦，对占用的草地进行植被恢复，对移栽的林地进行恢复。</w:t>
            </w:r>
          </w:p>
        </w:tc>
        <w:tc>
          <w:tcPr>
            <w:tcW w:w="901" w:type="dxa"/>
            <w:tcBorders>
              <w:tl2br w:val="nil"/>
              <w:tr2bl w:val="nil"/>
            </w:tcBorders>
            <w:shd w:val="clear" w:color="auto" w:fill="auto"/>
            <w:vAlign w:val="center"/>
          </w:tcPr>
          <w:p w14:paraId="63B92F1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97C9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6" w:type="dxa"/>
            <w:tcBorders>
              <w:tl2br w:val="nil"/>
              <w:tr2bl w:val="nil"/>
            </w:tcBorders>
            <w:vAlign w:val="center"/>
          </w:tcPr>
          <w:p w14:paraId="3608949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5142" w:type="dxa"/>
            <w:tcBorders>
              <w:tl2br w:val="nil"/>
              <w:tr2bl w:val="nil"/>
            </w:tcBorders>
            <w:shd w:val="clear" w:color="auto" w:fill="auto"/>
            <w:vAlign w:val="center"/>
          </w:tcPr>
          <w:p w14:paraId="799644F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第四十</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14:textFill>
                  <w14:solidFill>
                    <w14:schemeClr w14:val="tx1"/>
                  </w14:solidFill>
                </w14:textFill>
              </w:rPr>
              <w:t>五</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条</w:t>
            </w:r>
            <w:r>
              <w:rPr>
                <w:rFonts w:hint="eastAsia" w:ascii="Times New Roman" w:hAnsi="Times New Roman" w:eastAsia="宋体" w:cs="Times New Roman"/>
                <w:i w:val="0"/>
                <w:iCs w:val="0"/>
                <w:caps w:val="0"/>
                <w:color w:val="000000" w:themeColor="text1"/>
                <w:spacing w:val="0"/>
                <w:kern w:val="0"/>
                <w:sz w:val="21"/>
                <w:szCs w:val="21"/>
                <w:highlight w:val="none"/>
                <w:shd w:val="clear" w:fill="FFFFFF"/>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建设项目占用黑土地的，应当按照规定的标准对耕作层的土壤进行剥离。剥离的黑土应当就近用于新开垦耕地和低质耕地改良、被污染耕地的治理、高标准农田建设、土地复垦等。建设项目主体应当制定剥离黑土的再利用方案，报自然资源主管部门备案。</w:t>
            </w:r>
          </w:p>
        </w:tc>
        <w:tc>
          <w:tcPr>
            <w:tcW w:w="7501" w:type="dxa"/>
            <w:tcBorders>
              <w:tl2br w:val="nil"/>
              <w:tr2bl w:val="nil"/>
            </w:tcBorders>
            <w:shd w:val="clear" w:color="auto" w:fill="auto"/>
            <w:vAlign w:val="center"/>
          </w:tcPr>
          <w:p w14:paraId="1938A2A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本工程实施前编制建设项目占用耕地耕作层土壤剥离利用方案，统筹安排剥离、储存和再利用。表土剥离和利用严格执行《建设占用耕地耕作层土壤剥离利用技术规范》</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DB23/T2913-2021</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采油八厂</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应当制定剥离黑土的再利用方案，报自然资源主管部门备案</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p w14:paraId="6C39DCB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本项目管道施工</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表土剥离厚度为30cm，剥离的表土放在置土带外侧，管沟挖方土放置在置土带内侧（靠近管沟侧），置土带采取先设置编织袋压护，</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再</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采用单行十字形压护，加强防护的方式防止水土流失施工结束后，采用分层回填压实，按生、熟土顺序填放，保护耕作层，回填后管沟上方留有自然沉降余量，管沟回填多余的土严禁大量集中弃置，应均匀分散在管道中心两侧，并使管沟与周围地表形成</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平滑过渡</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，不得形成汇水环境有效保护黑土地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901" w:type="dxa"/>
            <w:tcBorders>
              <w:tl2br w:val="nil"/>
              <w:tr2bl w:val="nil"/>
            </w:tcBorders>
            <w:shd w:val="clear" w:color="auto" w:fill="auto"/>
            <w:vAlign w:val="center"/>
          </w:tcPr>
          <w:p w14:paraId="7154C3A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3370A736">
      <w:pPr>
        <w:pStyle w:val="32"/>
        <w:rPr>
          <w:rFonts w:hint="default"/>
          <w:color w:val="000000" w:themeColor="text1"/>
          <w:highlight w:val="none"/>
          <w:lang w:val="en-US" w:eastAsia="zh-CN"/>
          <w14:textFill>
            <w14:solidFill>
              <w14:schemeClr w14:val="tx1"/>
            </w14:solidFill>
          </w14:textFill>
        </w:rPr>
        <w:sectPr>
          <w:pgSz w:w="16838" w:h="11906" w:orient="landscape"/>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49DABC96">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采取以上措施后，本项目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符合</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《黑龙江省黑土地保护利用条例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要求</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0769CD7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④《关于规范临时用地管理的通知》</w:t>
      </w:r>
    </w:p>
    <w:p w14:paraId="79AEE1E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根据《关于规范临时用地管理的通知》（自然资规〔2021〕2号）中四、落实临时用地恢复责任：临时用地使用人应当按照批准的用途使用土地，不得转让、出租、抵押临时用地。临时用地使用人应当自临时用地期满之日起一年内完成土地复垦，因气候、灾害等不可抗力因素影响复垦的，经批准可以适当延长复垦期限。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p w14:paraId="66E8B0C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本项目临时占地主要是管线工程占地，临时占地类型为耕地（基本农田）</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、草地（非基本草原）、林地</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p>
    <w:p w14:paraId="58009300">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本项目施工期约</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个月，施工结束后，立即拆除施工设备，建设单位对临时占地进行地表恢复，对占用的耕地进行复垦</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，对占用的草地进行植被恢复</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对移栽的林地进行恢复。</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符合《关于规范临时用地管理的通知》（自然资规〔2021〕2号）</w:t>
      </w:r>
    </w:p>
    <w:p w14:paraId="04508287">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⑤《自然资源部办公厅关于进一步加强黑土耕地保护的通知》（自然资办函[2022]1531号）</w:t>
      </w:r>
    </w:p>
    <w:p w14:paraId="322DC6F3">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sectPr>
          <w:pgSz w:w="11906" w:h="16838"/>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48130A54">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3</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符合性分析一览表</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3823"/>
        <w:gridCol w:w="8050"/>
        <w:gridCol w:w="1334"/>
      </w:tblGrid>
      <w:tr w14:paraId="316A7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tcBorders>
              <w:tl2br w:val="nil"/>
              <w:tr2bl w:val="nil"/>
            </w:tcBorders>
            <w:vAlign w:val="center"/>
          </w:tcPr>
          <w:p w14:paraId="1BF0150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序号</w:t>
            </w:r>
          </w:p>
        </w:tc>
        <w:tc>
          <w:tcPr>
            <w:tcW w:w="1344" w:type="pct"/>
            <w:tcBorders>
              <w:tl2br w:val="nil"/>
              <w:tr2bl w:val="nil"/>
            </w:tcBorders>
            <w:vAlign w:val="center"/>
          </w:tcPr>
          <w:p w14:paraId="38AA32F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相关</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要求</w:t>
            </w:r>
          </w:p>
        </w:tc>
        <w:tc>
          <w:tcPr>
            <w:tcW w:w="2830" w:type="pct"/>
            <w:tcBorders>
              <w:tl2br w:val="nil"/>
              <w:tr2bl w:val="nil"/>
            </w:tcBorders>
            <w:vAlign w:val="center"/>
          </w:tcPr>
          <w:p w14:paraId="3C99AC5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符合性分析</w:t>
            </w:r>
          </w:p>
        </w:tc>
        <w:tc>
          <w:tcPr>
            <w:tcW w:w="469" w:type="pct"/>
            <w:tcBorders>
              <w:tl2br w:val="nil"/>
              <w:tr2bl w:val="nil"/>
            </w:tcBorders>
            <w:vAlign w:val="center"/>
          </w:tcPr>
          <w:p w14:paraId="39D143B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381FF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tcBorders>
              <w:tl2br w:val="nil"/>
              <w:tr2bl w:val="nil"/>
            </w:tcBorders>
            <w:vAlign w:val="center"/>
          </w:tcPr>
          <w:p w14:paraId="0FB1718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344" w:type="pct"/>
            <w:tcBorders>
              <w:tl2br w:val="nil"/>
              <w:tr2bl w:val="nil"/>
            </w:tcBorders>
            <w:vAlign w:val="center"/>
          </w:tcPr>
          <w:p w14:paraId="3225594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从严控制建设项目占用黑土耕地。建设项目不得占用黑土耕地，确实难以避让的，在可行性研究阶段，必须对占用的必要性和合理性等情况进行严格论证</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纳入耕地踏勘论证报告；申请农用地转用时，应说明落实“占黑土补黑土”、耕作层土壤剥离再利用有关情况，按规定制定耕作层土壤剥离再利用方案，做到应剥离尽剥离，剥离后妥善储存，及时合理再利用。</w:t>
            </w:r>
          </w:p>
        </w:tc>
        <w:tc>
          <w:tcPr>
            <w:tcW w:w="2830" w:type="pct"/>
            <w:tcBorders>
              <w:tl2br w:val="nil"/>
              <w:tr2bl w:val="nil"/>
            </w:tcBorders>
            <w:vAlign w:val="center"/>
          </w:tcPr>
          <w:p w14:paraId="1B84586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本项目</w:t>
            </w: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油田内部集输管道改造项目</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，属于国家能源建设项目，</w:t>
            </w: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根据地下储层特性，</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本项目部分管</w:t>
            </w: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道</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选址无法避让</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耕地（黑土地）。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临时占地</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12.12</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t>（基本农田</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w:t>
            </w:r>
          </w:p>
          <w:p w14:paraId="741E583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本项目在施工前需要征收土地，应报请相关主管部门同意，取得用地审批。</w:t>
            </w:r>
          </w:p>
          <w:p w14:paraId="1B625196">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本项目施工过程中，需遵守《大庆油</w:t>
            </w:r>
            <w:r>
              <w:rPr>
                <w:rFonts w:hint="default"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气</w:t>
            </w:r>
            <w:r>
              <w:rPr>
                <w:rFonts w:hint="default"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田建设工程用地规范》规定，严格控制施工作业面积，加强施工管理，尽量减少占地面积，并规范行车路线及施工人员行为，严禁随意践踏、碾压施工区范围外的植被，不准乱挖、乱采野生植物，确保尽量少占优质黑</w:t>
            </w: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土地</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p w14:paraId="4EAE372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本工程建设过程中，对占用的</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黑土地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，按照“占</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土地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补黑土</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”的原则</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p w14:paraId="4717F56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在</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工程实施前编制建设项目占用耕地耕作层土壤剥离利用方案，统筹安排剥离、储存和再利用。表土剥离和利用严格执行《建设占用耕地耕作层土壤剥离利用技术规范》</w:t>
            </w:r>
            <w:r>
              <w:rPr>
                <w:rFonts w:hint="default"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DB23/T2913-2021</w:t>
            </w:r>
            <w:r>
              <w:rPr>
                <w:rFonts w:hint="default"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w:t>
            </w:r>
          </w:p>
          <w:p w14:paraId="0B88FF6D">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施工采取机械、人工分层开挖方式，管线施工作业带除去管线一侧设置的置土带外，管沟及设备区在施工前剥离表土，剥离的表土放在置土带外侧，管沟挖方土放置在置土带内侧，置土带采取先设置编织袋压护，</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再</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采用单行十字形压护</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，底土层另外堆放，</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管道施工结束后，采用分层回填压实，按生、熟土顺序填放，保护耕作层</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。并对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临时占地进行</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复垦</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恢复地表植被。</w:t>
            </w:r>
          </w:p>
        </w:tc>
        <w:tc>
          <w:tcPr>
            <w:tcW w:w="469" w:type="pct"/>
            <w:tcBorders>
              <w:tl2br w:val="nil"/>
              <w:tr2bl w:val="nil"/>
            </w:tcBorders>
            <w:vAlign w:val="center"/>
          </w:tcPr>
          <w:p w14:paraId="218BB48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78C9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5" w:type="pct"/>
            <w:tcBorders>
              <w:tl2br w:val="nil"/>
              <w:tr2bl w:val="nil"/>
            </w:tcBorders>
            <w:vAlign w:val="center"/>
          </w:tcPr>
          <w:p w14:paraId="104099D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344" w:type="pct"/>
            <w:tcBorders>
              <w:tl2br w:val="nil"/>
              <w:tr2bl w:val="nil"/>
            </w:tcBorders>
            <w:vAlign w:val="center"/>
          </w:tcPr>
          <w:p w14:paraId="7A48A20F">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严格落实黑土耕地占补平衡。确需占用黑土耕地的，实行“占黑土补黑土”，原则上在本县域落实补充耕地，县域内确实无法补充的，在省域内其他黑土区落实</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2830" w:type="pct"/>
            <w:tcBorders>
              <w:tl2br w:val="nil"/>
              <w:tr2bl w:val="nil"/>
            </w:tcBorders>
            <w:vAlign w:val="center"/>
          </w:tcPr>
          <w:p w14:paraId="2DCEC71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严格落实黑土耕地占补平衡</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实行“占黑土补黑土”，</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由建设单位负责开垦与所占用</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黑土地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的数量和质量相当的</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黑土地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，如果没有条件开垦时，按照省的规定缴纳耕地开垦费，专款用于开垦新的耕地</w:t>
            </w:r>
            <w:r>
              <w:rPr>
                <w:rFonts w:hint="default" w:ascii="Times New Roman" w:hAnsi="Times New Roman" w:cs="Times New Roman" w:eastAsiaTheme="minorEastAsia"/>
                <w:color w:val="000000" w:themeColor="text1"/>
                <w:kern w:val="2"/>
                <w:sz w:val="21"/>
                <w:szCs w:val="21"/>
                <w:highlight w:val="none"/>
                <w:lang w:val="en-US" w:eastAsia="zh-CN"/>
                <w14:textFill>
                  <w14:solidFill>
                    <w14:schemeClr w14:val="tx1"/>
                  </w14:solidFill>
                </w14:textFill>
              </w:rPr>
              <w:t>。</w:t>
            </w:r>
          </w:p>
        </w:tc>
        <w:tc>
          <w:tcPr>
            <w:tcW w:w="469" w:type="pct"/>
            <w:tcBorders>
              <w:tl2br w:val="nil"/>
              <w:tr2bl w:val="nil"/>
            </w:tcBorders>
            <w:vAlign w:val="center"/>
          </w:tcPr>
          <w:p w14:paraId="555AE38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19D304E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⑥</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与《黑龙江省“十四五”黑土地保护规划》符合性分析</w:t>
      </w:r>
    </w:p>
    <w:p w14:paraId="2146890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本项目与《黑龙江省“十四五”黑土地保护规划》相关要求符合性分析见表1.5-</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w:t>
      </w:r>
    </w:p>
    <w:p w14:paraId="5CD1A640">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4</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与《黑龙江省“十四五”黑土地保护规划》符合性分析一览表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4640"/>
        <w:gridCol w:w="7214"/>
        <w:gridCol w:w="1334"/>
      </w:tblGrid>
      <w:tr w14:paraId="6BB31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tcBorders>
              <w:tl2br w:val="nil"/>
              <w:tr2bl w:val="nil"/>
            </w:tcBorders>
            <w:vAlign w:val="center"/>
          </w:tcPr>
          <w:p w14:paraId="2B0B56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序号</w:t>
            </w:r>
          </w:p>
        </w:tc>
        <w:tc>
          <w:tcPr>
            <w:tcW w:w="1632" w:type="pct"/>
            <w:tcBorders>
              <w:tl2br w:val="nil"/>
              <w:tr2bl w:val="nil"/>
            </w:tcBorders>
            <w:vAlign w:val="center"/>
          </w:tcPr>
          <w:p w14:paraId="4281A9C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相关</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要求</w:t>
            </w:r>
          </w:p>
        </w:tc>
        <w:tc>
          <w:tcPr>
            <w:tcW w:w="2537" w:type="pct"/>
            <w:tcBorders>
              <w:tl2br w:val="nil"/>
              <w:tr2bl w:val="nil"/>
            </w:tcBorders>
            <w:vAlign w:val="center"/>
          </w:tcPr>
          <w:p w14:paraId="7DD493C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符合性分析</w:t>
            </w:r>
          </w:p>
        </w:tc>
        <w:tc>
          <w:tcPr>
            <w:tcW w:w="469" w:type="pct"/>
            <w:tcBorders>
              <w:tl2br w:val="nil"/>
              <w:tr2bl w:val="nil"/>
            </w:tcBorders>
            <w:vAlign w:val="center"/>
          </w:tcPr>
          <w:p w14:paraId="65CFB24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0E3DA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tcBorders>
              <w:tl2br w:val="nil"/>
              <w:tr2bl w:val="nil"/>
            </w:tcBorders>
            <w:vAlign w:val="center"/>
          </w:tcPr>
          <w:p w14:paraId="3D9217B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632" w:type="pct"/>
            <w:tcBorders>
              <w:tl2br w:val="nil"/>
              <w:tr2bl w:val="nil"/>
            </w:tcBorders>
            <w:vAlign w:val="center"/>
          </w:tcPr>
          <w:p w14:paraId="6330AE1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严控耕地保护红线。实行最严格的耕地保护制度，划定耕地保护红线和永久基本农田控制线，严格落实耕地占补平衡、易地补充耕地、土地复垦等政策，确保完成规划期内黑土耕地保有量和永久基本农田保护任务</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2537" w:type="pct"/>
            <w:tcBorders>
              <w:tl2br w:val="nil"/>
              <w:tr2bl w:val="nil"/>
            </w:tcBorders>
            <w:vAlign w:val="center"/>
          </w:tcPr>
          <w:p w14:paraId="3368302D">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本项目为油田内部集输管道改造项目，属于国家能源建设项目，根据地下储层特性，本项目部分管道选址无法避让耕地（黑土地）。临时占地12.12hm</w:t>
            </w:r>
            <w:r>
              <w:rPr>
                <w:rFonts w:hint="eastAsia"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（基本农田）。</w:t>
            </w:r>
          </w:p>
          <w:p w14:paraId="7CC46D09">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在施工前需要征收土地，应报请相关主管部门同意，取得用地审批。本工程尽可能减少占地。本工程建设过程中，对占用的耕地，按照“占多少，垦多少”的原则，由建设单位负责开垦与所占用耕地的数量和质量相当的耕地，如果没有条件开垦时，按照省的规定缴纳耕地开垦费，专款用于开垦新的耕地。</w:t>
            </w:r>
          </w:p>
        </w:tc>
        <w:tc>
          <w:tcPr>
            <w:tcW w:w="469" w:type="pct"/>
            <w:tcBorders>
              <w:tl2br w:val="nil"/>
              <w:tr2bl w:val="nil"/>
            </w:tcBorders>
            <w:vAlign w:val="center"/>
          </w:tcPr>
          <w:p w14:paraId="556A4BD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5BA16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tcBorders>
              <w:tl2br w:val="nil"/>
              <w:tr2bl w:val="nil"/>
            </w:tcBorders>
            <w:vAlign w:val="center"/>
          </w:tcPr>
          <w:p w14:paraId="78819F4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632" w:type="pct"/>
            <w:tcBorders>
              <w:tl2br w:val="nil"/>
              <w:tr2bl w:val="nil"/>
            </w:tcBorders>
            <w:vAlign w:val="center"/>
          </w:tcPr>
          <w:p w14:paraId="19065E8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kern w:val="0"/>
                <w:sz w:val="21"/>
                <w:szCs w:val="21"/>
                <w:highlight w:val="none"/>
                <w:shd w:val="clear" w:fill="FFFFFF"/>
                <w14:textFill>
                  <w14:solidFill>
                    <w14:schemeClr w14:val="tx1"/>
                  </w14:solidFill>
                </w14:textFill>
              </w:rPr>
              <w:t>严格国土空间用途管制。划定一般农业区，把优质黑土耕地优先划入一般农业区。制定用途管制规则，实行严格的用途管制，严控非农建设用地规模，尽量少占优质黑土地。强化对占用黑土地的管控约束，使得城镇发展等非农建设尽量避让优质黑土地</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w:t>
            </w:r>
          </w:p>
        </w:tc>
        <w:tc>
          <w:tcPr>
            <w:tcW w:w="2537" w:type="pct"/>
            <w:tcBorders>
              <w:tl2br w:val="nil"/>
              <w:tr2bl w:val="nil"/>
            </w:tcBorders>
            <w:vAlign w:val="center"/>
          </w:tcPr>
          <w:p w14:paraId="77A54C3D">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本项目施工过程中，需遵守《大庆油</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气</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田建设工程用地规范》规定，严格控制施工作业面积，加强施工管理，尽量减少占地面积，并规范行车路线及施工人员行为，严禁随意践踏、碾压施工区范围外的植被，不准乱挖、乱采野生植物，确保尽量少占优质黑</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土地。</w:t>
            </w:r>
          </w:p>
        </w:tc>
        <w:tc>
          <w:tcPr>
            <w:tcW w:w="469" w:type="pct"/>
            <w:tcBorders>
              <w:tl2br w:val="nil"/>
              <w:tr2bl w:val="nil"/>
            </w:tcBorders>
            <w:vAlign w:val="center"/>
          </w:tcPr>
          <w:p w14:paraId="218C994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77CA5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tcBorders>
              <w:tl2br w:val="nil"/>
              <w:tr2bl w:val="nil"/>
            </w:tcBorders>
            <w:vAlign w:val="center"/>
          </w:tcPr>
          <w:p w14:paraId="5F4D6D4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1632" w:type="pct"/>
            <w:tcBorders>
              <w:tl2br w:val="nil"/>
              <w:tr2bl w:val="nil"/>
            </w:tcBorders>
            <w:vAlign w:val="center"/>
          </w:tcPr>
          <w:p w14:paraId="0E71B85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kern w:val="0"/>
                <w:sz w:val="21"/>
                <w:szCs w:val="21"/>
                <w:highlight w:val="none"/>
                <w:shd w:val="clear" w:fill="FFFFFF"/>
                <w14:textFill>
                  <w14:solidFill>
                    <w14:schemeClr w14:val="tx1"/>
                  </w14:solidFill>
                </w14:textFill>
              </w:rPr>
              <w:t>严格土地执法。建设项目占用耕地的，应当按规定进行表土剥离和利用。全面加大黑土耕地保护违法违规问题执法力度，及时发现、严肃查处土地违法特别是乱占耕地、破坏耕地、盗挖黑土等行为</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w:t>
            </w:r>
          </w:p>
        </w:tc>
        <w:tc>
          <w:tcPr>
            <w:tcW w:w="2537" w:type="pct"/>
            <w:tcBorders>
              <w:tl2br w:val="nil"/>
              <w:tr2bl w:val="nil"/>
            </w:tcBorders>
            <w:vAlign w:val="center"/>
          </w:tcPr>
          <w:p w14:paraId="14D928C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本工程实施前编制建设项目占用耕地耕作层土壤剥离利用方案，统筹安排剥离、储存和再利用。表土剥离和利用严格执行《建设占用耕地耕作层土壤剥离利用技术规范》</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DB23/T2913-2021</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p w14:paraId="4564173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管道施工采取机械、人工分层开挖方式，管线施工作业带除去管线一侧设置的置土带外，管沟及设备区在施工前剥离表土，剥离的表土放在置土带外侧，管沟挖方土放置在置土带内侧，置土带采取先设置编织袋压护，</w:t>
            </w:r>
            <w:r>
              <w:rPr>
                <w:rFonts w:hint="eastAsia"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再</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采用单行十字形压护</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，底土层另外堆放，</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管道施工结束后，采用分层回填压实，按生、熟土顺序填放，保护耕作层，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复原时先填心、底土，后平覆表土，</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回填后管沟上方留有自然沉降余量，管沟回填多余的土严禁大量集中弃置，应均匀分散在管道中心两侧，并使管沟与周围地表形成</w:t>
            </w:r>
            <w:r>
              <w:rPr>
                <w:rFonts w:hint="eastAsia"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平滑过渡</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，不得形成汇水环境</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，以便尽快恢复植被</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，防止水土流失。</w:t>
            </w:r>
          </w:p>
          <w:p w14:paraId="236BCF42">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保护有耕作能力种植价值的表层土壤，</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并对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临时占地进行</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复垦</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恢复地表植被。</w:t>
            </w:r>
          </w:p>
        </w:tc>
        <w:tc>
          <w:tcPr>
            <w:tcW w:w="469" w:type="pct"/>
            <w:tcBorders>
              <w:tl2br w:val="nil"/>
              <w:tr2bl w:val="nil"/>
            </w:tcBorders>
            <w:vAlign w:val="center"/>
          </w:tcPr>
          <w:p w14:paraId="4E59817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75785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 w:type="pct"/>
            <w:tcBorders>
              <w:tl2br w:val="nil"/>
              <w:tr2bl w:val="nil"/>
            </w:tcBorders>
            <w:vAlign w:val="center"/>
          </w:tcPr>
          <w:p w14:paraId="751853C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632" w:type="pct"/>
            <w:tcBorders>
              <w:tl2br w:val="nil"/>
              <w:tr2bl w:val="nil"/>
            </w:tcBorders>
            <w:vAlign w:val="center"/>
          </w:tcPr>
          <w:p w14:paraId="75DB414D">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pPr>
            <w:r>
              <w:rPr>
                <w:rFonts w:hint="default" w:ascii="Times New Roman" w:hAnsi="Times New Roman" w:eastAsia="Helvetica" w:cs="Times New Roman"/>
                <w:i w:val="0"/>
                <w:iCs w:val="0"/>
                <w:caps w:val="0"/>
                <w:color w:val="000000" w:themeColor="text1"/>
                <w:spacing w:val="0"/>
                <w:kern w:val="0"/>
                <w:sz w:val="21"/>
                <w:szCs w:val="21"/>
                <w:highlight w:val="none"/>
                <w:shd w:val="clear" w:fill="FFFFFF"/>
                <w14:textFill>
                  <w14:solidFill>
                    <w14:schemeClr w14:val="tx1"/>
                  </w14:solidFill>
                </w14:textFill>
              </w:rPr>
              <w:t>实施耕地深松轮作。推行深松（翻）整地，打破犁底层，增加土壤通透性和耕层厚度，建立“土壤水库”，提高土壤抗旱防涝、蓄水保墒能力，实现春旱秋防</w:t>
            </w:r>
            <w:r>
              <w:rPr>
                <w:rFonts w:hint="default" w:ascii="Times New Roman" w:hAnsi="Times New Roman" w:eastAsia="宋体" w:cs="Times New Roman"/>
                <w:i w:val="0"/>
                <w:iCs w:val="0"/>
                <w:caps w:val="0"/>
                <w:color w:val="000000" w:themeColor="text1"/>
                <w:spacing w:val="0"/>
                <w:kern w:val="0"/>
                <w:sz w:val="21"/>
                <w:szCs w:val="21"/>
                <w:highlight w:val="none"/>
                <w:shd w:val="clear" w:fill="FFFFFF"/>
                <w:lang w:eastAsia="zh-CN"/>
                <w14:textFill>
                  <w14:solidFill>
                    <w14:schemeClr w14:val="tx1"/>
                  </w14:solidFill>
                </w14:textFill>
              </w:rPr>
              <w:t>。</w:t>
            </w:r>
          </w:p>
        </w:tc>
        <w:tc>
          <w:tcPr>
            <w:tcW w:w="2537" w:type="pct"/>
            <w:tcBorders>
              <w:tl2br w:val="nil"/>
              <w:tr2bl w:val="nil"/>
            </w:tcBorders>
            <w:vAlign w:val="center"/>
          </w:tcPr>
          <w:p w14:paraId="47C747A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对于管道临时占地采取分层开挖、分层堆放方式，剥离</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占地内0.3m的表土</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并对剥离表土采取苫布遮盖、定期洒水抑尘措施，</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施工结束后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及时用于回填，分层回填压实，保护有耕作能力种植价值的表层土壤</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并对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临时占地进行</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旋耕复垦</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恢复地表植被</w:t>
            </w: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p>
        </w:tc>
        <w:tc>
          <w:tcPr>
            <w:tcW w:w="469" w:type="pct"/>
            <w:tcBorders>
              <w:tl2br w:val="nil"/>
              <w:tr2bl w:val="nil"/>
            </w:tcBorders>
            <w:vAlign w:val="center"/>
          </w:tcPr>
          <w:p w14:paraId="3CEEB4B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17EF1F5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cs="Times New Roman" w:eastAsiaTheme="minorEastAsia"/>
          <w:color w:val="000000" w:themeColor="text1"/>
          <w:kern w:val="2"/>
          <w:sz w:val="24"/>
          <w:szCs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14:textFill>
            <w14:solidFill>
              <w14:schemeClr w14:val="tx1"/>
            </w14:solidFill>
          </w14:textFill>
        </w:rPr>
        <w:t>在采取以上措施后，本项目</w:t>
      </w:r>
      <w:r>
        <w:rPr>
          <w:rFonts w:hint="default" w:ascii="Times New Roman" w:hAnsi="Times New Roman" w:cs="Times New Roman" w:eastAsiaTheme="minorEastAsia"/>
          <w:color w:val="000000" w:themeColor="text1"/>
          <w:kern w:val="2"/>
          <w:sz w:val="24"/>
          <w:szCs w:val="24"/>
          <w:highlight w:val="none"/>
          <w14:textFill>
            <w14:solidFill>
              <w14:schemeClr w14:val="tx1"/>
            </w14:solidFill>
          </w14:textFill>
        </w:rPr>
        <w:t>符合《黑龙江省“十四五”黑土地保护规划》要求</w:t>
      </w:r>
      <w:r>
        <w:rPr>
          <w:rFonts w:hint="eastAsia" w:ascii="Times New Roman" w:hAnsi="Times New Roman" w:cs="Times New Roman" w:eastAsiaTheme="minorEastAsia"/>
          <w:color w:val="000000" w:themeColor="text1"/>
          <w:kern w:val="2"/>
          <w:sz w:val="24"/>
          <w:szCs w:val="24"/>
          <w:highlight w:val="none"/>
          <w:lang w:eastAsia="zh-CN"/>
          <w14:textFill>
            <w14:solidFill>
              <w14:schemeClr w14:val="tx1"/>
            </w14:solidFill>
          </w14:textFill>
        </w:rPr>
        <w:t>。</w:t>
      </w:r>
    </w:p>
    <w:p w14:paraId="20C6EBB4">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⑦</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与《黑龙江省黑土地保护工程实施方案（2021</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2025年）》的符合性分析</w:t>
      </w:r>
    </w:p>
    <w:p w14:paraId="077255A3">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项目与《黑龙江省黑土地保护工程实施方案（2021</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2025年）》的符合性分析见表1.5-</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p>
    <w:p w14:paraId="688873D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表1.5-</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与《黑龙江省黑土地保护工程实施方案（2021</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2025年）》的符合性分析</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955"/>
        <w:gridCol w:w="5843"/>
        <w:gridCol w:w="6304"/>
        <w:gridCol w:w="1115"/>
      </w:tblGrid>
      <w:tr w14:paraId="6EF09C9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36" w:type="pct"/>
            <w:tcBorders>
              <w:tl2br w:val="nil"/>
              <w:tr2bl w:val="nil"/>
            </w:tcBorders>
            <w:noWrap w:val="0"/>
            <w:vAlign w:val="center"/>
          </w:tcPr>
          <w:p w14:paraId="33B501A7">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2054" w:type="pct"/>
            <w:tcBorders>
              <w:tl2br w:val="nil"/>
              <w:tr2bl w:val="nil"/>
            </w:tcBorders>
            <w:noWrap w:val="0"/>
            <w:vAlign w:val="center"/>
          </w:tcPr>
          <w:p w14:paraId="21D4DE87">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要求</w:t>
            </w:r>
          </w:p>
        </w:tc>
        <w:tc>
          <w:tcPr>
            <w:tcW w:w="2216" w:type="pct"/>
            <w:tcBorders>
              <w:tl2br w:val="nil"/>
              <w:tr2bl w:val="nil"/>
            </w:tcBorders>
            <w:noWrap w:val="0"/>
            <w:vAlign w:val="center"/>
          </w:tcPr>
          <w:p w14:paraId="01BA144F">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符合性</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分析</w:t>
            </w:r>
          </w:p>
        </w:tc>
        <w:tc>
          <w:tcPr>
            <w:tcW w:w="392" w:type="pct"/>
            <w:tcBorders>
              <w:tl2br w:val="nil"/>
              <w:tr2bl w:val="nil"/>
            </w:tcBorders>
            <w:noWrap w:val="0"/>
            <w:vAlign w:val="center"/>
          </w:tcPr>
          <w:p w14:paraId="1CD0C1AE">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275056F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36" w:type="pct"/>
            <w:tcBorders>
              <w:tl2br w:val="nil"/>
              <w:tr2bl w:val="nil"/>
            </w:tcBorders>
            <w:noWrap w:val="0"/>
            <w:vAlign w:val="center"/>
          </w:tcPr>
          <w:p w14:paraId="02D9B472">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3816" w:type="dxa"/>
            <w:tcBorders>
              <w:tl2br w:val="nil"/>
              <w:tr2bl w:val="nil"/>
            </w:tcBorders>
            <w:noWrap w:val="0"/>
            <w:vAlign w:val="center"/>
          </w:tcPr>
          <w:p w14:paraId="6C079AE0">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加强耕地水土流失治理。坚持水土保持工程与耕作、生物措施相结合，实行“三治”结合，防治黑土耕地水土流失</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4117" w:type="dxa"/>
            <w:tcBorders>
              <w:tl2br w:val="nil"/>
              <w:tr2bl w:val="nil"/>
            </w:tcBorders>
            <w:noWrap w:val="0"/>
            <w:vAlign w:val="center"/>
          </w:tcPr>
          <w:p w14:paraId="663036F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管道施工采取机械、人工分层开挖方式，管线施工作业带除去管线一侧设置的置土带外，管沟及设备区在施工前剥离表土，剥离的表土放在置土带外侧，管沟挖方土放置在置土带内侧，置土带采取先设置编织袋压护，</w:t>
            </w:r>
            <w:r>
              <w:rPr>
                <w:rFonts w:hint="eastAsia"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再</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采用单行十字形压护</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，底土层另外堆放，</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管道施工结束后，采用分层回填压实，按生、熟土顺序填放，保护耕作层，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复原时先填心、底土，后平覆表土，</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回填后管沟上方留有自然沉降余量，管沟回填多余的土严禁大量集中弃置，应均匀分散在管道中心两侧，并使管沟与周围地表形成</w:t>
            </w:r>
            <w:r>
              <w:rPr>
                <w:rFonts w:hint="eastAsia"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平滑过渡</w:t>
            </w:r>
            <w:r>
              <w:rPr>
                <w:rFonts w:hint="default" w:ascii="Times New Roman" w:hAnsi="Times New Roman" w:eastAsia="宋体" w:cs="Times New Roman"/>
                <w:snapToGrid w:val="0"/>
                <w:color w:val="000000" w:themeColor="text1"/>
                <w:kern w:val="0"/>
                <w:sz w:val="21"/>
                <w:szCs w:val="21"/>
                <w:highlight w:val="none"/>
                <w:vertAlign w:val="baseline"/>
                <w:lang w:val="en-US" w:eastAsia="zh-CN" w:bidi="ar-SA"/>
                <w14:textFill>
                  <w14:solidFill>
                    <w14:schemeClr w14:val="tx1"/>
                  </w14:solidFill>
                </w14:textFill>
              </w:rPr>
              <w:t>，不得形成汇水环境</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，以便尽快恢复植被</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，防止水土流失</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392" w:type="pct"/>
            <w:tcBorders>
              <w:tl2br w:val="nil"/>
              <w:tr2bl w:val="nil"/>
            </w:tcBorders>
            <w:noWrap w:val="0"/>
            <w:vAlign w:val="center"/>
          </w:tcPr>
          <w:p w14:paraId="6AC3F581">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C66EBD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36" w:type="pct"/>
            <w:tcBorders>
              <w:tl2br w:val="nil"/>
              <w:tr2bl w:val="nil"/>
            </w:tcBorders>
            <w:noWrap w:val="0"/>
            <w:vAlign w:val="center"/>
          </w:tcPr>
          <w:p w14:paraId="5C75530D">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3816" w:type="dxa"/>
            <w:tcBorders>
              <w:tl2br w:val="nil"/>
              <w:tr2bl w:val="nil"/>
            </w:tcBorders>
            <w:noWrap w:val="0"/>
            <w:vAlign w:val="center"/>
          </w:tcPr>
          <w:p w14:paraId="2EC3E5AF">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坚持政府引导、社会参与。发挥政府投入引领作用，通过市场化运作，带动社会资本投入，引导农村集体经济组织、农户、新型经营主体、企业积极参与。健全黑土地保护责任体系，进一步明确省市县乡四级政府及相关部门黑土地保护职责，建立黑土地质量监测网络体系，形成黑土地保护建设长效机制。</w:t>
            </w:r>
          </w:p>
        </w:tc>
        <w:tc>
          <w:tcPr>
            <w:tcW w:w="4117" w:type="dxa"/>
            <w:tcBorders>
              <w:tl2br w:val="nil"/>
              <w:tr2bl w:val="nil"/>
            </w:tcBorders>
            <w:noWrap w:val="0"/>
            <w:vAlign w:val="center"/>
          </w:tcPr>
          <w:p w14:paraId="61118715">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本工程在政府引导下，建设单位积极参与，定期对本工程布设的土壤跟踪监测点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选择了</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表层土壤、</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外</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西侧</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30m表层土壤</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升1-2集油阀组间1环集油管线表层土壤、升1-2集油阀组间1环集油管线外西侧30m表层土壤</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进行跟踪监测，监测频次为1次/年，监测项目主要为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石油类、石油烃（C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）、砷、六价铬</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w:t>
            </w:r>
          </w:p>
        </w:tc>
        <w:tc>
          <w:tcPr>
            <w:tcW w:w="392" w:type="pct"/>
            <w:tcBorders>
              <w:tl2br w:val="nil"/>
              <w:tr2bl w:val="nil"/>
            </w:tcBorders>
            <w:noWrap w:val="0"/>
            <w:vAlign w:val="center"/>
          </w:tcPr>
          <w:p w14:paraId="2D41CB4D">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65BE9150">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⑧《</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关于建设占用耕地耕作层土壤剥离利用工作的指导意见（试行）》（黑政办规〔2021〕18号）</w:t>
      </w:r>
    </w:p>
    <w:p w14:paraId="25AE8528">
      <w:pPr>
        <w:widowControl w:val="0"/>
        <w:overflowPunct w:val="0"/>
        <w:spacing w:after="0" w:line="360" w:lineRule="auto"/>
        <w:ind w:firstLine="480" w:firstLineChars="200"/>
        <w:jc w:val="both"/>
        <w:rPr>
          <w:rFonts w:hint="eastAsia"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项目与《关于建设占用耕地耕作层土壤剥离利用工作的指导意见（试行）》（黑政办规[2021]18号）的符合性分析见表1.5-</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t>。</w:t>
      </w:r>
    </w:p>
    <w:p w14:paraId="07A5892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表1.5-</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与《关于建设占用耕地耕作层土壤剥离利用工作的指导意见（试行）》（黑政办规〔2021〕18号）的符合性分析</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1066"/>
        <w:gridCol w:w="8211"/>
        <w:gridCol w:w="3558"/>
        <w:gridCol w:w="1382"/>
      </w:tblGrid>
      <w:tr w14:paraId="2BAD6E9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75" w:type="pct"/>
            <w:tcBorders>
              <w:tl2br w:val="nil"/>
              <w:tr2bl w:val="nil"/>
            </w:tcBorders>
            <w:noWrap w:val="0"/>
            <w:vAlign w:val="center"/>
          </w:tcPr>
          <w:p w14:paraId="0BC7E24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2887" w:type="pct"/>
            <w:tcBorders>
              <w:tl2br w:val="nil"/>
              <w:tr2bl w:val="nil"/>
            </w:tcBorders>
            <w:noWrap w:val="0"/>
            <w:vAlign w:val="center"/>
          </w:tcPr>
          <w:p w14:paraId="5C5D78E3">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要求</w:t>
            </w:r>
          </w:p>
        </w:tc>
        <w:tc>
          <w:tcPr>
            <w:tcW w:w="1251" w:type="pct"/>
            <w:tcBorders>
              <w:tl2br w:val="nil"/>
              <w:tr2bl w:val="nil"/>
            </w:tcBorders>
            <w:noWrap w:val="0"/>
            <w:vAlign w:val="center"/>
          </w:tcPr>
          <w:p w14:paraId="6D411759">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符合性</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分析</w:t>
            </w:r>
          </w:p>
        </w:tc>
        <w:tc>
          <w:tcPr>
            <w:tcW w:w="486" w:type="pct"/>
            <w:tcBorders>
              <w:tl2br w:val="nil"/>
              <w:tr2bl w:val="nil"/>
            </w:tcBorders>
            <w:noWrap w:val="0"/>
            <w:vAlign w:val="center"/>
          </w:tcPr>
          <w:p w14:paraId="243717E3">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641C544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75" w:type="pct"/>
            <w:tcBorders>
              <w:tl2br w:val="nil"/>
              <w:tr2bl w:val="nil"/>
            </w:tcBorders>
            <w:noWrap w:val="0"/>
            <w:vAlign w:val="center"/>
          </w:tcPr>
          <w:p w14:paraId="6153822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2887" w:type="pct"/>
            <w:tcBorders>
              <w:tl2br w:val="nil"/>
              <w:tr2bl w:val="nil"/>
            </w:tcBorders>
            <w:noWrap w:val="0"/>
            <w:vAlign w:val="center"/>
          </w:tcPr>
          <w:p w14:paraId="52B9BD8F">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二、基本原则</w:t>
            </w:r>
          </w:p>
          <w:p w14:paraId="2893749C">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二）坚持统筹规划、合理利用。建设占用耕地耕作层土壤剥离利用工作应与农业生产、土地整治、生态修复工程等统筹规划衔接。结合建设项目实施计划，编制建设项目占用耕地耕作层土壤剥离利用方案，统筹安排剥离、运输、储存和再利用等工作。</w:t>
            </w:r>
          </w:p>
          <w:p w14:paraId="090B2EB8">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三）坚持“谁用地、谁承担，谁剥离、谁受益”。建设项目占用耕地耕作层土壤剥离利用工作由占用耕地所在县（市、区）政府或项目用地单位（个人）实施。鼓励采取市场化运作方式开展建设占用耕地耕作层土壤剥离利用，合理分配土壤增值收益。</w:t>
            </w:r>
          </w:p>
        </w:tc>
        <w:tc>
          <w:tcPr>
            <w:tcW w:w="1251" w:type="pct"/>
            <w:vMerge w:val="restart"/>
            <w:tcBorders>
              <w:tl2br w:val="nil"/>
              <w:tr2bl w:val="nil"/>
            </w:tcBorders>
            <w:noWrap w:val="0"/>
            <w:vAlign w:val="center"/>
          </w:tcPr>
          <w:p w14:paraId="0B8C032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根据现场勘查可知，本工程</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部分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管线占用</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耕地（基本农田）</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。结合建设项目实施计</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划，</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计</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划拟编制本工程占用耕地耕作层土壤剥离利用方案。项目在施工现场临时占地范围内设置单独堆存耕地耕作层土壤的区域，表土表面覆盖土工布，表土堆放区四周设置挡土板和排水沟，对临时占地剥离的耕作层土壤分层全部回填，对永久占地剥离的耕作层土壤按照要求运送至指定场所用于土地整治、高标准农田建设。其中，剥离、运输、存储等相关费用纳入本工程开发成本。建设单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应在施工前按照相关规定组织编制施工占地范围内的表土剥离方案。</w:t>
            </w:r>
          </w:p>
        </w:tc>
        <w:tc>
          <w:tcPr>
            <w:tcW w:w="486" w:type="pct"/>
            <w:tcBorders>
              <w:tl2br w:val="nil"/>
              <w:tr2bl w:val="nil"/>
            </w:tcBorders>
            <w:noWrap w:val="0"/>
            <w:vAlign w:val="center"/>
          </w:tcPr>
          <w:p w14:paraId="2DFF3CB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552A6B09">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75" w:type="pct"/>
            <w:tcBorders>
              <w:tl2br w:val="nil"/>
              <w:tr2bl w:val="nil"/>
            </w:tcBorders>
            <w:noWrap w:val="0"/>
            <w:vAlign w:val="center"/>
          </w:tcPr>
          <w:p w14:paraId="047CEE37">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2887" w:type="pct"/>
            <w:tcBorders>
              <w:tl2br w:val="nil"/>
              <w:tr2bl w:val="nil"/>
            </w:tcBorders>
            <w:noWrap w:val="0"/>
            <w:vAlign w:val="center"/>
          </w:tcPr>
          <w:p w14:paraId="72E35B7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三、实施范围和实施主体</w:t>
            </w:r>
          </w:p>
          <w:p w14:paraId="1A338EBC">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（一）实施范围。农用地转用项目新增建设用地占用的耕地、临时用地占用的耕地、设施农业用地涉及破坏耕作层的耕地，在项目建设占用前应实施耕作层土壤剥离利用。</w:t>
            </w:r>
          </w:p>
          <w:p w14:paraId="2EC49A9A">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（二）实施主体。建设占用耕地耕作层土壤剥离利用工作由各县（市、区）政府统一组织实施。</w:t>
            </w:r>
          </w:p>
          <w:p w14:paraId="51EF619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成片开发项目及城镇批次用地占用耕地的，耕作层土壤剥离利用的实施主体是项目所在地县（市、区）政府，土壤剥离、运输、存储、利用等费用纳入供地成本。单独选址项目占用耕地的，耕作层土壤剥离利用的实施主体是建设用地单位，剥离、运输、存储等相关费用纳入项目开发成本。使用农村集体建设用地占用耕地的，由用地主体负责实施耕作层土壤剥离，并承担相关费用。临时用地、设施农业用地需要剥离利用的，由项目用地单位（个人）实施耕作层土壤剥离，并承担相关费用。</w:t>
            </w:r>
          </w:p>
        </w:tc>
        <w:tc>
          <w:tcPr>
            <w:tcW w:w="1251" w:type="pct"/>
            <w:vMerge w:val="continue"/>
            <w:tcBorders>
              <w:tl2br w:val="nil"/>
              <w:tr2bl w:val="nil"/>
            </w:tcBorders>
            <w:noWrap w:val="0"/>
            <w:vAlign w:val="center"/>
          </w:tcPr>
          <w:p w14:paraId="698419B2">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86" w:type="pct"/>
            <w:tcBorders>
              <w:tl2br w:val="nil"/>
              <w:tr2bl w:val="nil"/>
            </w:tcBorders>
            <w:noWrap w:val="0"/>
            <w:vAlign w:val="center"/>
          </w:tcPr>
          <w:p w14:paraId="38AA2857">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bl>
    <w:p w14:paraId="7B5C41E8">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200"/>
        <w:jc w:val="both"/>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sectPr>
          <w:pgSz w:w="16838" w:h="11906" w:orient="landscape"/>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703A4812">
      <w:pPr>
        <w:keepNext w:val="0"/>
        <w:keepLines w:val="0"/>
        <w:pageBreakBefore w:val="0"/>
        <w:widowControl/>
        <w:kinsoku/>
        <w:wordWrap/>
        <w:overflowPunct/>
        <w:topLinePunct w:val="0"/>
        <w:autoSpaceDE/>
        <w:autoSpaceDN/>
        <w:bidi w:val="0"/>
        <w:adjustRightInd w:val="0"/>
        <w:snapToGrid w:val="0"/>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1.5.3与大庆油田相关规划符合性分析</w:t>
      </w:r>
    </w:p>
    <w:p w14:paraId="3C62A6C2">
      <w:pPr>
        <w:widowControl w:val="0"/>
        <w:overflowPunct w:val="0"/>
        <w:adjustRightInd w:val="0"/>
        <w:snapToGrid w:val="0"/>
        <w:spacing w:after="0" w:line="360" w:lineRule="auto"/>
        <w:ind w:firstLine="480" w:firstLineChars="200"/>
        <w:jc w:val="both"/>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pP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根据《</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新时代大庆油田当好标杆旗帜建设百年油田发展规划</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》规划总体目标：第一阶段（2023—2035年）：建成世界一流现代化油田。——到2025年，基本实现高质量发展。大庆本土能源产量油当量上产3500万吨，国内外合计4600万吨以上。</w:t>
      </w:r>
    </w:p>
    <w:p w14:paraId="466836D0">
      <w:pPr>
        <w:widowControl w:val="0"/>
        <w:overflowPunct w:val="0"/>
        <w:spacing w:after="0" w:line="360" w:lineRule="auto"/>
        <w:ind w:firstLine="480" w:firstLineChars="200"/>
        <w:jc w:val="both"/>
        <w:rPr>
          <w:rFonts w:hint="default"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油气生产指标已分解落实到</w:t>
      </w:r>
      <w:r>
        <w:rPr>
          <w:rFonts w:hint="eastAsia"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大庆油田有限责任公司第八采油厂</w:t>
      </w: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，根据</w:t>
      </w:r>
      <w:r>
        <w:rPr>
          <w:rFonts w:hint="eastAsia"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大庆油田有限责任公司第八采油厂</w:t>
      </w: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下发的原油产能投资计划和</w:t>
      </w:r>
      <w:r>
        <w:rPr>
          <w:rFonts w:hint="default"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第八采油厂2025年管网改造工程</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方案</w:t>
      </w: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本项目属于大庆油田生产建设规划的一部分，该项目的开发建设对稳定大庆原油产量具有重要的现实意义，故本项目符合</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新时代大庆油田当好标杆旗帜建设百年油田发展规划</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要求</w:t>
      </w:r>
      <w:r>
        <w:rPr>
          <w:rFonts w:hint="default"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t>。</w:t>
      </w:r>
    </w:p>
    <w:p w14:paraId="26797031">
      <w:pPr>
        <w:keepNext w:val="0"/>
        <w:keepLines w:val="0"/>
        <w:pageBreakBefore w:val="0"/>
        <w:widowControl w:val="0"/>
        <w:kinsoku/>
        <w:wordWrap/>
        <w:overflowPunct w:val="0"/>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三线一单</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符合性分析</w:t>
      </w:r>
    </w:p>
    <w:p w14:paraId="3E18D636">
      <w:pPr>
        <w:keepNext w:val="0"/>
        <w:keepLines w:val="0"/>
        <w:pageBreakBefore w:val="0"/>
        <w:widowControl w:val="0"/>
        <w:kinsoku/>
        <w:wordWrap/>
        <w:overflowPunct w:val="0"/>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1.5.4.1“三区三线”位置关系分析</w:t>
      </w:r>
    </w:p>
    <w:p w14:paraId="1ABC92BB">
      <w:pPr>
        <w:widowControl w:val="0"/>
        <w:overflowPunct w:val="0"/>
        <w:adjustRightInd w:val="0"/>
        <w:snapToGrid w:val="0"/>
        <w:spacing w:after="0" w:line="360" w:lineRule="auto"/>
        <w:ind w:firstLine="480" w:firstLineChars="200"/>
        <w:jc w:val="both"/>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根据《自然资源部办公厅关于辽宁等省启用“三区三线”划定成果作为报批建设项目用地用海依据的函》，本项</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目在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黑龙江省大庆市，属于“三区三线”划定启用的区域，其中的“三区”分别为城镇空间、农业空间、生态空间三种类型的国土空间；“三线”分别为城镇开发边界、永久基本农田、生态保护红线三条控制线。</w:t>
      </w:r>
    </w:p>
    <w:p w14:paraId="176CD4C5">
      <w:pPr>
        <w:keepNext w:val="0"/>
        <w:keepLines w:val="0"/>
        <w:pageBreakBefore w:val="0"/>
        <w:widowControl w:val="0"/>
        <w:kinsoku/>
        <w:wordWrap/>
        <w:overflowPunct w:val="0"/>
        <w:topLinePunct w:val="0"/>
        <w:bidi w:val="0"/>
        <w:adjustRightInd w:val="0"/>
        <w:snapToGrid w:val="0"/>
        <w:spacing w:after="0" w:line="360" w:lineRule="auto"/>
        <w:ind w:firstLine="480" w:firstLineChars="200"/>
        <w:jc w:val="both"/>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①永久基本农田：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根据永久基本农田查询平台APP查询结果，本项目芳3转油站外输油管道和升1-2集油阀组间6环集油管道位于永久基本农田内，</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临时占用</w:t>
      </w:r>
      <w:r>
        <w:rPr>
          <w:rFonts w:hint="default" w:ascii="Times New Roman" w:hAnsi="Times New Roman" w:eastAsia="宋体" w:cs="Times New Roman"/>
          <w:snapToGrid w:val="0"/>
          <w:color w:val="000000" w:themeColor="text1"/>
          <w:kern w:val="2"/>
          <w:sz w:val="24"/>
          <w:szCs w:val="20"/>
          <w:highlight w:val="none"/>
          <w:vertAlign w:val="baseline"/>
          <w:lang w:val="en-US" w:eastAsia="zh-CN" w:bidi="ar-SA"/>
          <w14:textFill>
            <w14:solidFill>
              <w14:schemeClr w14:val="tx1"/>
            </w14:solidFill>
          </w14:textFill>
        </w:rPr>
        <w:t>基本农田</w:t>
      </w:r>
      <w:r>
        <w:rPr>
          <w:rFonts w:hint="eastAsia" w:ascii="Times New Roman" w:hAnsi="Times New Roman" w:eastAsia="宋体" w:cs="Times New Roman"/>
          <w:snapToGrid w:val="0"/>
          <w:color w:val="000000" w:themeColor="text1"/>
          <w:kern w:val="2"/>
          <w:sz w:val="24"/>
          <w:szCs w:val="20"/>
          <w:highlight w:val="none"/>
          <w:vertAlign w:val="baseline"/>
          <w:lang w:val="en-US" w:eastAsia="zh-CN" w:bidi="ar-SA"/>
          <w14:textFill>
            <w14:solidFill>
              <w14:schemeClr w14:val="tx1"/>
            </w14:solidFill>
          </w14:textFill>
        </w:rPr>
        <w:t>12.12</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w:t>
      </w:r>
    </w:p>
    <w:p w14:paraId="67166468">
      <w:pPr>
        <w:keepNext w:val="0"/>
        <w:keepLines w:val="0"/>
        <w:pageBreakBefore w:val="0"/>
        <w:widowControl w:val="0"/>
        <w:kinsoku/>
        <w:wordWrap/>
        <w:overflowPunct w:val="0"/>
        <w:topLinePunct w:val="0"/>
        <w:bidi w:val="0"/>
        <w:adjustRightInd w:val="0"/>
        <w:snapToGrid w:val="0"/>
        <w:spacing w:after="0" w:line="360" w:lineRule="auto"/>
        <w:ind w:firstLine="480" w:firstLineChars="200"/>
        <w:jc w:val="both"/>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②生态保护红线：项目不涉及生态保护红线，距离最近的生态红线</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23.3km</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安达</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市松嫩平原生物多样性维护功能生态保护红线</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水源涵养生态功能重要区</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，分区编码</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YS2312811110001）。本项目在黑龙江省生态环境分区管控数据应用平台中与生态保护红线位置关系见附图1-</w:t>
      </w:r>
      <w:r>
        <w:rPr>
          <w:rFonts w:hint="eastAsia"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4</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w:t>
      </w:r>
    </w:p>
    <w:p w14:paraId="745720E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③城镇开发边界：本项目所在区域属于油气资源利用区，不涉及城镇开发边界。</w:t>
      </w:r>
    </w:p>
    <w:p w14:paraId="495CC250">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sectPr>
          <w:pgSz w:w="11906" w:h="16838"/>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2FD740CB">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1.5.4.2项目与《关于以改善环境质量为核心加强环境影响评价管理的通知》（环环评[2016]150号）符合性分析</w:t>
      </w:r>
    </w:p>
    <w:p w14:paraId="5D3D4AB9">
      <w:pPr>
        <w:keepNext w:val="0"/>
        <w:keepLines w:val="0"/>
        <w:pageBreakBefore w:val="0"/>
        <w:widowControl w:val="0"/>
        <w:kinsoku/>
        <w:wordWrap/>
        <w:overflowPunct/>
        <w:topLinePunct w:val="0"/>
        <w:autoSpaceDE/>
        <w:autoSpaceDN/>
        <w:bidi w:val="0"/>
        <w:adjustRightInd w:val="0"/>
        <w:snapToGrid/>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7</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本项目与《关于以改善环境质量为核心加强环境影响评价管理的通知》（环环评[2016]150号）符合性分析</w:t>
      </w:r>
    </w:p>
    <w:tbl>
      <w:tblPr>
        <w:tblStyle w:val="1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4582"/>
        <w:gridCol w:w="7703"/>
        <w:gridCol w:w="873"/>
      </w:tblGrid>
      <w:tr w14:paraId="58FA1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26289FD0">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名称</w:t>
            </w:r>
          </w:p>
        </w:tc>
        <w:tc>
          <w:tcPr>
            <w:tcW w:w="1612" w:type="pct"/>
            <w:tcBorders>
              <w:tl2br w:val="nil"/>
              <w:tr2bl w:val="nil"/>
            </w:tcBorders>
            <w:noWrap w:val="0"/>
            <w:vAlign w:val="center"/>
          </w:tcPr>
          <w:p w14:paraId="7B078DF4">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文件要求</w:t>
            </w:r>
          </w:p>
        </w:tc>
        <w:tc>
          <w:tcPr>
            <w:tcW w:w="2710" w:type="pct"/>
            <w:tcBorders>
              <w:tl2br w:val="nil"/>
              <w:tr2bl w:val="nil"/>
            </w:tcBorders>
            <w:noWrap w:val="0"/>
            <w:vAlign w:val="center"/>
          </w:tcPr>
          <w:p w14:paraId="7D7C43D6">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符合性分析</w:t>
            </w:r>
          </w:p>
        </w:tc>
        <w:tc>
          <w:tcPr>
            <w:tcW w:w="307" w:type="pct"/>
            <w:tcBorders>
              <w:tl2br w:val="nil"/>
              <w:tr2bl w:val="nil"/>
            </w:tcBorders>
            <w:noWrap w:val="0"/>
            <w:vAlign w:val="center"/>
          </w:tcPr>
          <w:p w14:paraId="43BF149A">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bCs/>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符合性</w:t>
            </w:r>
          </w:p>
        </w:tc>
      </w:tr>
      <w:tr w14:paraId="14B59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01932AD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生态保护红线</w:t>
            </w:r>
          </w:p>
        </w:tc>
        <w:tc>
          <w:tcPr>
            <w:tcW w:w="1612" w:type="pct"/>
            <w:tcBorders>
              <w:tl2br w:val="nil"/>
              <w:tr2bl w:val="nil"/>
            </w:tcBorders>
            <w:noWrap w:val="0"/>
            <w:vAlign w:val="center"/>
          </w:tcPr>
          <w:p w14:paraId="4A4CDBE0">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710" w:type="pct"/>
            <w:tcBorders>
              <w:tl2br w:val="nil"/>
              <w:tr2bl w:val="nil"/>
            </w:tcBorders>
            <w:noWrap w:val="0"/>
            <w:vAlign w:val="center"/>
          </w:tcPr>
          <w:p w14:paraId="1E4849F9">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结合《黑龙江省生态环境分区管控动态更新成果》（2023年版），（见附图1-</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）及生态环境分区管控分析报告见附件</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工程内容</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不涉及自然文化遗产、风景名胜区、文物古迹、生态红线、饮用水水源保护区、重要湿地等区域，</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拟建项目距离肇东市松嫩平原生物多样性维护功能生态保护红线－水源涵养生态功能重要区，分区编码YS2312811110001为23.3km</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，项目不占用生态保护红线，项目建设符合生态红线保护要求。</w:t>
            </w:r>
          </w:p>
        </w:tc>
        <w:tc>
          <w:tcPr>
            <w:tcW w:w="307" w:type="pct"/>
            <w:tcBorders>
              <w:tl2br w:val="nil"/>
              <w:tr2bl w:val="nil"/>
            </w:tcBorders>
            <w:noWrap w:val="0"/>
            <w:vAlign w:val="center"/>
          </w:tcPr>
          <w:p w14:paraId="1DF1A16E">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符合</w:t>
            </w:r>
          </w:p>
        </w:tc>
      </w:tr>
      <w:tr w14:paraId="07BEB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72BE1A3E">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环境质量底线</w:t>
            </w:r>
          </w:p>
        </w:tc>
        <w:tc>
          <w:tcPr>
            <w:tcW w:w="1612" w:type="pct"/>
            <w:tcBorders>
              <w:tl2br w:val="nil"/>
              <w:tr2bl w:val="nil"/>
            </w:tcBorders>
            <w:noWrap w:val="0"/>
            <w:vAlign w:val="center"/>
          </w:tcPr>
          <w:p w14:paraId="542593D1">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710" w:type="pct"/>
            <w:tcBorders>
              <w:tl2br w:val="nil"/>
              <w:tr2bl w:val="nil"/>
            </w:tcBorders>
            <w:noWrap w:val="0"/>
            <w:vAlign w:val="center"/>
          </w:tcPr>
          <w:p w14:paraId="7D6A15FC">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lang w:bidi="en-US"/>
                <w14:textFill>
                  <w14:solidFill>
                    <w14:schemeClr w14:val="tx1"/>
                  </w14:solidFill>
                </w14:textFill>
              </w:rPr>
              <w:t>本项目开发区域环境空气功能为二类区，根据大庆市生态环境局</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202</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5</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年6月5日发布</w:t>
            </w:r>
            <w:r>
              <w:rPr>
                <w:rFonts w:hint="default"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t>《</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202</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4</w:t>
            </w:r>
            <w:r>
              <w:rPr>
                <w:rFonts w:hint="default"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t>年大庆市生态环境状况公报》及环境空气质量现状的监测数据，项目</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大庆</w:t>
            </w:r>
            <w:r>
              <w:rPr>
                <w:rFonts w:hint="default"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t>区域环境空气质量能够满足《环境空气质量标准》（GB3095-2012）二级标准要求，空气质量好，尚有容量进行项目建设。</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绥化市</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区域</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除了颗粒物PM</w:t>
            </w:r>
            <w:r>
              <w:rPr>
                <w:rFonts w:hint="default" w:ascii="Times New Roman" w:hAnsi="Times New Roman" w:eastAsia="宋体" w:cs="Times New Roman"/>
                <w:color w:val="000000" w:themeColor="text1"/>
                <w:kern w:val="2"/>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，其余能够满足《环境空气质量标准》（GB3095-2012）二级标准要求，PM</w:t>
            </w:r>
            <w:r>
              <w:rPr>
                <w:rFonts w:hint="default" w:ascii="Times New Roman" w:hAnsi="Times New Roman" w:eastAsia="宋体" w:cs="Times New Roman"/>
                <w:color w:val="000000" w:themeColor="text1"/>
                <w:kern w:val="2"/>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超标的根源在采暖期重污染天气是导致全年PM</w:t>
            </w:r>
            <w:r>
              <w:rPr>
                <w:rFonts w:hint="default" w:ascii="Times New Roman" w:hAnsi="Times New Roman" w:eastAsia="宋体" w:cs="Times New Roman"/>
                <w:color w:val="000000" w:themeColor="text1"/>
                <w:kern w:val="2"/>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年均浓度大幅抬升的最主要因素。形成重污染天气主要是由秸秆大规模集中开放燃烧，相对湿度高、大气扩散条件差时燃煤等污染物排放累积等因素引起。</w:t>
            </w:r>
          </w:p>
          <w:p w14:paraId="0C568DF4">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lang w:bidi="en-US"/>
                <w14:textFill>
                  <w14:solidFill>
                    <w14:schemeClr w14:val="tx1"/>
                  </w14:solidFill>
                </w14:textFill>
              </w:rPr>
              <w:t>通过分析可知，本项目实施后对区域内的大气、水和土壤等环境质量影响较小，本项目区域内环境空气质量可以满足《环境空气质量标准》（GB3095-2012）二级标准要求</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w:t>
            </w:r>
          </w:p>
          <w:p w14:paraId="1995C078">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项目废水均不外排，均能得到合理处置，正常情况下，不会对</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周围</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水环境产生污染影响，非正常状况下，采取积极有效的措施，污染事件均可防可控，对</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周围</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水环境影响较小。</w:t>
            </w:r>
          </w:p>
          <w:p w14:paraId="18A456A7">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本项目评价范围内土壤敏感保护目标为</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耕地、</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草地</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、林地</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和村屯</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、居住区</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，根据土壤质量现状监测数据，</w:t>
            </w:r>
            <w:r>
              <w:rPr>
                <w:rFonts w:hint="eastAsia"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t>管线</w:t>
            </w:r>
            <w:r>
              <w:rPr>
                <w:rFonts w:hint="default" w:ascii="Times New Roman" w:hAnsi="Times New Roman" w:eastAsia="宋体" w:cs="Times New Roman"/>
                <w:bCs/>
                <w:iCs/>
                <w:color w:val="000000" w:themeColor="text1"/>
                <w:kern w:val="0"/>
                <w:sz w:val="21"/>
                <w:szCs w:val="21"/>
                <w:highlight w:val="none"/>
                <w:lang w:bidi="en-US"/>
                <w14:textFill>
                  <w14:solidFill>
                    <w14:schemeClr w14:val="tx1"/>
                  </w14:solidFill>
                </w14:textFill>
              </w:rPr>
              <w:t>占地内土壤可以满足《土壤环境质量 建设用地土壤污染风险管控标准（试行）》（GB36600-2018）中表1建设用地土壤污染风险筛选值（基本项目）中第二类用地筛选值标准，以及表2（其他项目）中第二类用地筛选值标准；评价范围内</w:t>
            </w:r>
            <w:r>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草地</w:t>
            </w: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、耕地、林地</w:t>
            </w:r>
            <w:r>
              <w:rPr>
                <w:rFonts w:hint="default" w:ascii="Times New Roman" w:hAnsi="Times New Roman" w:eastAsia="宋体" w:cs="Times New Roman"/>
                <w:bCs/>
                <w:iCs/>
                <w:color w:val="000000" w:themeColor="text1"/>
                <w:kern w:val="0"/>
                <w:sz w:val="21"/>
                <w:szCs w:val="21"/>
                <w:highlight w:val="none"/>
                <w:lang w:bidi="en-US"/>
                <w14:textFill>
                  <w14:solidFill>
                    <w14:schemeClr w14:val="tx1"/>
                  </w14:solidFill>
                </w14:textFill>
              </w:rPr>
              <w:t>土壤可以满足《土壤环境质量 农用地土壤污染风险管控标准（试行）》（GB15618-2018）表1农用地土壤风险筛选值（基本项目</w:t>
            </w:r>
            <w:r>
              <w:rPr>
                <w:rFonts w:hint="eastAsia"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t>）</w:t>
            </w:r>
            <w:r>
              <w:rPr>
                <w:rFonts w:hint="default" w:ascii="Times New Roman" w:hAnsi="Times New Roman" w:eastAsia="宋体" w:cs="Times New Roman"/>
                <w:bCs/>
                <w:iCs/>
                <w:color w:val="000000" w:themeColor="text1"/>
                <w:kern w:val="0"/>
                <w:sz w:val="21"/>
                <w:szCs w:val="21"/>
                <w:highlight w:val="none"/>
                <w:lang w:bidi="en-US"/>
                <w14:textFill>
                  <w14:solidFill>
                    <w14:schemeClr w14:val="tx1"/>
                  </w14:solidFill>
                </w14:textFill>
              </w:rPr>
              <w:t>标准</w:t>
            </w:r>
            <w:r>
              <w:rPr>
                <w:rFonts w:hint="eastAsia" w:ascii="Times New Roman" w:hAnsi="Times New Roman" w:eastAsia="宋体" w:cs="Times New Roman"/>
                <w:bCs/>
                <w:iCs/>
                <w:color w:val="000000" w:themeColor="text1"/>
                <w:kern w:val="0"/>
                <w:sz w:val="21"/>
                <w:szCs w:val="21"/>
                <w:highlight w:val="none"/>
                <w:lang w:eastAsia="zh-CN" w:bidi="en-US"/>
                <w14:textFill>
                  <w14:solidFill>
                    <w14:schemeClr w14:val="tx1"/>
                  </w14:solidFill>
                </w14:textFill>
              </w:rPr>
              <w:t>。</w:t>
            </w:r>
          </w:p>
          <w:p w14:paraId="0655C7CB">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pPr>
            <w:r>
              <w:rPr>
                <w:rFonts w:hint="eastAsia" w:ascii="Times New Roman" w:hAnsi="Times New Roman" w:eastAsia="宋体" w:cs="Times New Roman"/>
                <w:bCs/>
                <w:iCs/>
                <w:color w:val="000000" w:themeColor="text1"/>
                <w:kern w:val="0"/>
                <w:sz w:val="21"/>
                <w:szCs w:val="21"/>
                <w:highlight w:val="none"/>
                <w:lang w:val="en-US" w:eastAsia="zh-CN" w:bidi="en-US"/>
                <w14:textFill>
                  <w14:solidFill>
                    <w14:schemeClr w14:val="tx1"/>
                  </w14:solidFill>
                </w14:textFill>
              </w:rPr>
              <w:t>本项目位于大同区地下水环境二级管控区（编码为YS2306066220002）、安达市地下水环境二级管控区（编码为YS2312816220002）。应严格建设项目土壤环境影响评价制度。对涉及有毒有害物质可能造成土壤污染的新（改、扩）建项目，依法进行环境影响评价，提出并落实防腐蚀、防渗漏、防遗撒等土壤污染防治具体措施，符合《黑龙江省生态环境分区管控动态更新成果》（2023年版）相关要求。</w:t>
            </w:r>
          </w:p>
          <w:p w14:paraId="6ACF50A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kern w:val="0"/>
                <w:sz w:val="21"/>
                <w:szCs w:val="21"/>
                <w:highlight w:val="none"/>
                <w:lang w:bidi="en-US"/>
                <w14:textFill>
                  <w14:solidFill>
                    <w14:schemeClr w14:val="tx1"/>
                  </w14:solidFill>
                </w14:textFill>
              </w:rPr>
              <w:t>因此本项目建设符合环境质量底线要求。</w:t>
            </w:r>
          </w:p>
        </w:tc>
        <w:tc>
          <w:tcPr>
            <w:tcW w:w="307" w:type="pct"/>
            <w:tcBorders>
              <w:tl2br w:val="nil"/>
              <w:tr2bl w:val="nil"/>
            </w:tcBorders>
            <w:noWrap w:val="0"/>
            <w:vAlign w:val="center"/>
          </w:tcPr>
          <w:p w14:paraId="6DFC923B">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符合</w:t>
            </w:r>
          </w:p>
        </w:tc>
      </w:tr>
      <w:tr w14:paraId="69FE2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465D851A">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资源利用上线</w:t>
            </w:r>
          </w:p>
        </w:tc>
        <w:tc>
          <w:tcPr>
            <w:tcW w:w="1612" w:type="pct"/>
            <w:tcBorders>
              <w:tl2br w:val="nil"/>
              <w:tr2bl w:val="nil"/>
            </w:tcBorders>
            <w:noWrap w:val="0"/>
            <w:vAlign w:val="center"/>
          </w:tcPr>
          <w:p w14:paraId="3D572B0C">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710" w:type="pct"/>
            <w:tcBorders>
              <w:tl2br w:val="nil"/>
              <w:tr2bl w:val="nil"/>
            </w:tcBorders>
            <w:noWrap w:val="0"/>
            <w:vAlign w:val="center"/>
          </w:tcPr>
          <w:p w14:paraId="7E511FD4">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本项目位于大同区、安达市</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自然资源</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一般管控区</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本项目为管道</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改造</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工程，</w:t>
            </w:r>
            <w:r>
              <w:rPr>
                <w:rFonts w:hint="default" w:ascii="Times New Roman" w:hAnsi="Times New Roman" w:eastAsia="宋体" w:cs="Times New Roman"/>
                <w:b w:val="0"/>
                <w:bCs w:val="0"/>
                <w:color w:val="000000" w:themeColor="text1"/>
                <w:kern w:val="2"/>
                <w:sz w:val="21"/>
                <w:szCs w:val="21"/>
                <w:highlight w:val="none"/>
                <w:lang w:eastAsia="zh-CN"/>
                <w14:textFill>
                  <w14:solidFill>
                    <w14:schemeClr w14:val="tx1"/>
                  </w14:solidFill>
                </w14:textFill>
              </w:rPr>
              <w:t>尽可能减少对土地的占用，</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新增总占地面积为</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24.78hm</w:t>
            </w:r>
            <w:r>
              <w:rPr>
                <w:rFonts w:hint="default" w:ascii="Times New Roman" w:hAnsi="Times New Roman" w:eastAsia="宋体" w:cs="Times New Roman"/>
                <w:snapToGrid w:val="0"/>
                <w:color w:val="000000" w:themeColor="text1"/>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，均为临时占地，其中</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12.56hm</w:t>
            </w:r>
            <w:r>
              <w:rPr>
                <w:rFonts w:hint="default" w:ascii="Times New Roman" w:hAnsi="Times New Roman" w:eastAsia="宋体" w:cs="Times New Roman"/>
                <w:snapToGrid w:val="0"/>
                <w:color w:val="000000" w:themeColor="text1"/>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草地（非基本草原）、</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12.12</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耕地（基本农田）、</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0.1</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林地</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，不涉及永久占地</w:t>
            </w:r>
            <w:r>
              <w:rPr>
                <w:rFonts w:hint="default" w:ascii="Times New Roman" w:hAnsi="Times New Roman" w:eastAsia="宋体" w:cs="Times New Roman"/>
                <w:b w:val="0"/>
                <w:bCs w:val="0"/>
                <w:color w:val="000000" w:themeColor="text1"/>
                <w:kern w:val="2"/>
                <w:sz w:val="21"/>
                <w:szCs w:val="21"/>
                <w:highlight w:val="none"/>
                <w:lang w:eastAsia="zh-CN"/>
                <w14:textFill>
                  <w14:solidFill>
                    <w14:schemeClr w14:val="tx1"/>
                  </w14:solidFill>
                </w14:textFill>
              </w:rPr>
              <w:t>，土地资源消耗符合要求。</w:t>
            </w:r>
          </w:p>
          <w:p w14:paraId="447D8B39">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本项目位于高污染燃料禁燃区，本项目管道治理工程不涉及使用燃料，符合资源利用上线要求。</w:t>
            </w:r>
          </w:p>
          <w:p w14:paraId="5E5FB977">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综上所述，本项目建设符合资源利用上线要求。</w:t>
            </w:r>
          </w:p>
        </w:tc>
        <w:tc>
          <w:tcPr>
            <w:tcW w:w="307" w:type="pct"/>
            <w:tcBorders>
              <w:tl2br w:val="nil"/>
              <w:tr2bl w:val="nil"/>
            </w:tcBorders>
            <w:noWrap w:val="0"/>
            <w:vAlign w:val="center"/>
          </w:tcPr>
          <w:p w14:paraId="3BAF369D">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符合</w:t>
            </w:r>
          </w:p>
        </w:tc>
      </w:tr>
      <w:tr w14:paraId="42876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vAlign w:val="center"/>
          </w:tcPr>
          <w:p w14:paraId="1445FDDF">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生态</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环境准入清单</w:t>
            </w:r>
          </w:p>
        </w:tc>
        <w:tc>
          <w:tcPr>
            <w:tcW w:w="1612" w:type="pct"/>
            <w:tcBorders>
              <w:tl2br w:val="nil"/>
              <w:tr2bl w:val="nil"/>
            </w:tcBorders>
            <w:noWrap w:val="0"/>
            <w:vAlign w:val="center"/>
          </w:tcPr>
          <w:p w14:paraId="39F557A0">
            <w:pPr>
              <w:keepNext w:val="0"/>
              <w:keepLines w:val="0"/>
              <w:pageBreakBefore w:val="0"/>
              <w:widowControl w:val="0"/>
              <w:kinsoku/>
              <w:wordWrap/>
              <w:overflowPunct/>
              <w:topLinePunct w:val="0"/>
              <w:autoSpaceDE w:val="0"/>
              <w:autoSpaceDN w:val="0"/>
              <w:bidi w:val="0"/>
              <w:adjustRightInd w:val="0"/>
              <w:snapToGrid/>
              <w:spacing w:after="0" w:line="240" w:lineRule="auto"/>
              <w:ind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生态</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环境准入清单是基于生态保护红线、环境质量底线和资源利用上线，以清单方式列出的禁止、限制等差别化环境准入条件和要求。要在环评清单式管理试点的基础上，从布局选址、资源利用效率、资源配置方式等方面入手，制定环境准入负面清单，充分发挥负面清单对产业发展和项目准入的指导和约束作用。</w:t>
            </w:r>
          </w:p>
        </w:tc>
        <w:tc>
          <w:tcPr>
            <w:tcW w:w="2710" w:type="pct"/>
            <w:tcBorders>
              <w:tl2br w:val="nil"/>
              <w:tr2bl w:val="nil"/>
            </w:tcBorders>
            <w:noWrap w:val="0"/>
            <w:vAlign w:val="center"/>
          </w:tcPr>
          <w:p w14:paraId="7B2E6889">
            <w:pPr>
              <w:keepNext w:val="0"/>
              <w:keepLines w:val="0"/>
              <w:pageBreakBefore w:val="0"/>
              <w:widowControl w:val="0"/>
              <w:kinsoku/>
              <w:wordWrap/>
              <w:overflowPunct/>
              <w:topLinePunct w:val="0"/>
              <w:autoSpaceDE/>
              <w:autoSpaceDN/>
              <w:bidi w:val="0"/>
              <w:adjustRightInd w:val="0"/>
              <w:snapToGrid/>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根据《黑龙江省生态环境分区管控动态更新成果》（2023年版）、《大庆市生态环境准入清单（2023年版）</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》《绥化市生态环境准入清单（2023年版）》</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本项目位于优先保护单元、</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重点管控单元</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p w14:paraId="247AEB1C">
            <w:pPr>
              <w:keepNext w:val="0"/>
              <w:keepLines w:val="0"/>
              <w:pageBreakBefore w:val="0"/>
              <w:widowControl w:val="0"/>
              <w:kinsoku/>
              <w:wordWrap/>
              <w:overflowPunct/>
              <w:topLinePunct w:val="0"/>
              <w:autoSpaceDE/>
              <w:autoSpaceDN/>
              <w:bidi w:val="0"/>
              <w:adjustRightInd w:val="0"/>
              <w:snapToGrid/>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优先保护单元分区管控要求为：以生态环境保护为主，依法禁止或限制大规模、高强度的工业和城镇建设。在功能受损的优先保护单元，优先开展生态保护修复活动，恢复生态系统服务功能。</w:t>
            </w:r>
          </w:p>
          <w:p w14:paraId="03BDC023">
            <w:pPr>
              <w:keepNext w:val="0"/>
              <w:keepLines w:val="0"/>
              <w:pageBreakBefore w:val="0"/>
              <w:widowControl w:val="0"/>
              <w:kinsoku/>
              <w:wordWrap/>
              <w:overflowPunct/>
              <w:topLinePunct w:val="0"/>
              <w:autoSpaceDE/>
              <w:autoSpaceDN/>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重点管控单元分区管控要求为：重点管控单元突出污染物排放控制和环境风险防控，按照差别化的生态环境准入要求，优化空间和产业布局，不断提升资源利用效率，强化环境质量改善目标约束，解决局部生态环境质量不达标、生态环境风险高的问题。</w:t>
            </w:r>
          </w:p>
          <w:p w14:paraId="7259E8D2">
            <w:pPr>
              <w:keepNext w:val="0"/>
              <w:keepLines w:val="0"/>
              <w:pageBreakBefore w:val="0"/>
              <w:widowControl w:val="0"/>
              <w:kinsoku/>
              <w:wordWrap/>
              <w:overflowPunct/>
              <w:topLinePunct w:val="0"/>
              <w:autoSpaceDE/>
              <w:autoSpaceDN/>
              <w:bidi w:val="0"/>
              <w:adjustRightInd w:val="0"/>
              <w:snapToGrid/>
              <w:spacing w:after="0" w:line="240" w:lineRule="auto"/>
              <w:ind w:firstLine="42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本项目施工阶段及运营阶段产生的污染物均可得到有效治理，可控制污染物排放；废水、固体废物等均不外排</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，且施工结束后对临时占地进行恢复。在环境风险防控方面采取加强施工管理、制定岗位操作规程并定期培训学习、实行岗位责任制，及施工单位制定可行的突发环境事件环境应急预案等措施，</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符合重点管控单元要求。本项目遵循以生态环境保护为主，通过优化管道走向，减少了对土地资源的占用，符合优先保护单元要求。</w:t>
            </w:r>
          </w:p>
          <w:p w14:paraId="68870027">
            <w:pPr>
              <w:keepNext w:val="0"/>
              <w:keepLines w:val="0"/>
              <w:pageBreakBefore w:val="0"/>
              <w:widowControl w:val="0"/>
              <w:kinsoku/>
              <w:wordWrap/>
              <w:overflowPunct/>
              <w:topLinePunct w:val="0"/>
              <w:autoSpaceDE/>
              <w:autoSpaceDN/>
              <w:bidi w:val="0"/>
              <w:adjustRightInd w:val="0"/>
              <w:snapToGrid/>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本项目为油田内部集输</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工程，属于陆地石油开采项目的一部分，不属于高污染、高能耗的产业类型，为环境准入允许类别。根据《市场准入负面清单（2020年版）》，本项目不属于禁止准入类事项，因此，本项目符合生态环境准入条件。</w:t>
            </w:r>
          </w:p>
        </w:tc>
        <w:tc>
          <w:tcPr>
            <w:tcW w:w="307" w:type="pct"/>
            <w:tcBorders>
              <w:tl2br w:val="nil"/>
              <w:tr2bl w:val="nil"/>
            </w:tcBorders>
            <w:noWrap w:val="0"/>
            <w:vAlign w:val="center"/>
          </w:tcPr>
          <w:p w14:paraId="0A33F57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符合</w:t>
            </w:r>
          </w:p>
        </w:tc>
      </w:tr>
    </w:tbl>
    <w:p w14:paraId="47ED63CE">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1.5.</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4.3</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项目与生态环境分区管控的符合性分析</w:t>
      </w:r>
    </w:p>
    <w:p w14:paraId="0D55E784">
      <w:pPr>
        <w:widowControl w:val="0"/>
        <w:overflowPunct w:val="0"/>
        <w:adjustRightInd w:val="0"/>
        <w:snapToGrid w:val="0"/>
        <w:spacing w:after="0" w:line="360" w:lineRule="auto"/>
        <w:ind w:firstLine="480" w:firstLineChars="200"/>
        <w:jc w:val="both"/>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本项目位于大庆市</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大同区，绥化市安达市</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境内，根据《大庆市生态环境准入清单（2023年版）</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绥化市生态环境准入清单（2023年版）》</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本项目位于优先保护单元</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、重点管控单元</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，本项目与《大庆市生态环境准入清单（2023年版）》符合性分析见表1.5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大同区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生态环境准入清单相符性分析见表1.5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绥化</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市生态环境准入清单（2023年版）》符合性分析见表1.5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安达市</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生态环境准入清单相符性分析见表1.5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-11。</w:t>
      </w:r>
    </w:p>
    <w:p w14:paraId="695882E4">
      <w:pPr>
        <w:widowControl w:val="0"/>
        <w:tabs>
          <w:tab w:val="left" w:pos="180"/>
          <w:tab w:val="left" w:pos="1092"/>
          <w:tab w:val="left" w:pos="1686"/>
        </w:tabs>
        <w:adjustRightInd w:val="0"/>
        <w:snapToGrid w:val="0"/>
        <w:spacing w:after="0" w:line="240" w:lineRule="auto"/>
        <w:ind w:left="0" w:leftChars="0" w:firstLine="0" w:firstLineChars="0"/>
        <w:jc w:val="cente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8</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项目与《大庆市生态环境准入清单（2023年版）》大庆市相符性分析表</w:t>
      </w:r>
    </w:p>
    <w:tbl>
      <w:tblPr>
        <w:tblStyle w:val="4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380"/>
        <w:gridCol w:w="5846"/>
        <w:gridCol w:w="5109"/>
      </w:tblGrid>
      <w:tr w14:paraId="265F0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tcBorders>
              <w:tl2br w:val="nil"/>
              <w:tr2bl w:val="nil"/>
            </w:tcBorders>
            <w:vAlign w:val="center"/>
          </w:tcPr>
          <w:p w14:paraId="7AFF525B">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适用范围</w:t>
            </w:r>
          </w:p>
        </w:tc>
        <w:tc>
          <w:tcPr>
            <w:tcW w:w="485" w:type="pct"/>
            <w:tcBorders>
              <w:tl2br w:val="nil"/>
              <w:tr2bl w:val="nil"/>
            </w:tcBorders>
            <w:vAlign w:val="center"/>
          </w:tcPr>
          <w:p w14:paraId="43C10F64">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管控维度</w:t>
            </w:r>
          </w:p>
        </w:tc>
        <w:tc>
          <w:tcPr>
            <w:tcW w:w="2055" w:type="pct"/>
            <w:tcBorders>
              <w:tl2br w:val="nil"/>
              <w:tr2bl w:val="nil"/>
            </w:tcBorders>
            <w:vAlign w:val="center"/>
          </w:tcPr>
          <w:p w14:paraId="01BC9A04">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管控要求</w:t>
            </w:r>
          </w:p>
        </w:tc>
        <w:tc>
          <w:tcPr>
            <w:tcW w:w="1796" w:type="pct"/>
            <w:tcBorders>
              <w:tl2br w:val="nil"/>
              <w:tr2bl w:val="nil"/>
            </w:tcBorders>
            <w:vAlign w:val="center"/>
          </w:tcPr>
          <w:p w14:paraId="0F1D3F9F">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w:t>
            </w:r>
          </w:p>
        </w:tc>
      </w:tr>
      <w:tr w14:paraId="4BB36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tcBorders>
              <w:tl2br w:val="nil"/>
              <w:tr2bl w:val="nil"/>
            </w:tcBorders>
            <w:vAlign w:val="center"/>
          </w:tcPr>
          <w:p w14:paraId="23F70C09">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大庆市</w:t>
            </w:r>
          </w:p>
        </w:tc>
        <w:tc>
          <w:tcPr>
            <w:tcW w:w="485" w:type="pct"/>
            <w:tcBorders>
              <w:tl2br w:val="nil"/>
              <w:tr2bl w:val="nil"/>
            </w:tcBorders>
            <w:vAlign w:val="center"/>
          </w:tcPr>
          <w:p w14:paraId="7BA8C0F1">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空间布局约束</w:t>
            </w:r>
          </w:p>
        </w:tc>
        <w:tc>
          <w:tcPr>
            <w:tcW w:w="2055" w:type="pct"/>
            <w:tcBorders>
              <w:tl2br w:val="nil"/>
              <w:tr2bl w:val="nil"/>
            </w:tcBorders>
            <w:vAlign w:val="center"/>
          </w:tcPr>
          <w:p w14:paraId="68973F94">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禁止在居民区、学校、医疗和养老机构等周边新建有色金属冶炼、焦化等行业企业。</w:t>
            </w:r>
          </w:p>
          <w:p w14:paraId="0513A12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坚决遏制高耗能高排放项目盲目发展，严禁违规“两高”项目建设、运行。严把“两高”项目审批关和监督关，坚决遏制“两高”项目盲目发展。严格落实污染物排放区域消减要求。以钢铁、煤炭、水泥等行业为重点，依据能耗、环保、质量、安全、技术等五个标准依法依规推动落后产能退出。</w:t>
            </w:r>
          </w:p>
          <w:p w14:paraId="2D316B74">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严格控制在优先保护类耕地集中区域新建有色金属冶炼、石油加工、化工、焦化、电镀、制革等行业企业，现有相关行业企业要采用新技术、新工艺，加快提标升级改造步伐，对超标、超总量排放情形严重的，依法责令其停业、关闭。</w:t>
            </w:r>
          </w:p>
          <w:p w14:paraId="5C185881">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从严控制高能耗、高物耗、高水耗、低水平重复建设项目，以及涉危、涉重和其他重大环境风险项目。</w:t>
            </w:r>
          </w:p>
          <w:p w14:paraId="0778E2D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对严格管控类划定为特定农产品禁止生产区域的地块，禁止生产特定农产品。从严管控农药、化学等行业的重度污染地块规划用途，确需开发利用的，鼓励用于拓展生态空间。严格名录内地块的准入管理。未依法完成土壤污染状况调查和风险评估的地块，不得开工建设与风险管控和修复无关的项目。</w:t>
            </w:r>
          </w:p>
          <w:p w14:paraId="79FD46F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禁燃区内禁止新建、改建、扩建燃用高污染燃料的锅炉、炉窑、炉灶等燃烧设施（城市集中供热应急调峰锅炉除外）；禁止销售和燃用高污染燃料。</w:t>
            </w:r>
          </w:p>
          <w:p w14:paraId="5C36BAC5">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加大淘汰改造燃煤锅炉力度。一是县级及以上城市建成区原则上不再新建35蒸吨/小时及以下燃煤锅炉，其他地区原则上不再新建10蒸吨/小时以下燃煤锅炉。二是积极推进地级及以上城市建成区35蒸吨/小时及以下燃煤锅炉淘汰，到 2025 年基本完成淘汰。三是推进建成区65蒸吨及以上供热燃煤锅炉，以及年燃煤量在5万吨以上的燃煤大户实施超低排放改造。四是采取生物质锅炉替代的，需使用专用锅炉，配套布袋等高效除尘设施，若氮氧化物排放不能达标的需配备脱硝设施，使用过程中严禁掺烧煤炭、垃圾等其他物料。实施工业炉窑清洁能源替代，大力推进电能替代煤炭。</w:t>
            </w:r>
          </w:p>
          <w:p w14:paraId="70F60A8D">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大力发展新能源和清洁能源，逐步实现非化石能源成为能源消费增量主体并实施存量替代。严控煤炭消费增长，推进煤炭清洁高效利用。</w:t>
            </w:r>
          </w:p>
          <w:p w14:paraId="3BA78253">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严控煤电项目审批，不再核准自备燃煤电厂项目。</w:t>
            </w:r>
          </w:p>
          <w:p w14:paraId="0334768B">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严格控制生产和使用高挥发性有机物含量溶剂型涂料、油墨、胶粘剂、清洗剂，提高水性、高固体分、无溶剂、粉末等低挥发性有机物含量产品比重。</w:t>
            </w:r>
          </w:p>
        </w:tc>
        <w:tc>
          <w:tcPr>
            <w:tcW w:w="1796" w:type="pct"/>
            <w:tcBorders>
              <w:tl2br w:val="nil"/>
              <w:tr2bl w:val="nil"/>
            </w:tcBorders>
            <w:vAlign w:val="center"/>
          </w:tcPr>
          <w:p w14:paraId="47844A6F">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本项目属于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管线改造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项目，不属于有色金属冶炼、焦化等行业企业亦不属于煤电类项目。</w:t>
            </w:r>
          </w:p>
          <w:p w14:paraId="722D32FA">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本项目不属于“两高”项目。</w:t>
            </w:r>
          </w:p>
          <w:p w14:paraId="43E1A7CC">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本项目不属于有色金属冶炼、石油加工、化工、焦化、电镀、制革等行业企业。</w:t>
            </w:r>
          </w:p>
          <w:p w14:paraId="775A11A0">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本项目不属于高能耗、高物耗、高水耗、低水平重复建设项目，不属于涉危、涉重和其他重大环境风险项目。</w:t>
            </w:r>
          </w:p>
          <w:p w14:paraId="7AAB9E68">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本项目不涉及生产农产品，不涉及种植食用农产品。</w:t>
            </w:r>
          </w:p>
          <w:p w14:paraId="09D1EBA1">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本项目所在区域不属于禁燃区，不涉及新建、改建、扩建燃用高污染燃料的锅炉、炉窑、炉灶等燃烧设施</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城市集中供热应急调峰锅炉除外</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﹔不涉及销售和燃用高污染燃料。</w:t>
            </w:r>
          </w:p>
          <w:p w14:paraId="250CB072">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本项目不涉及燃煤锅炉，无煤炭消费。</w:t>
            </w:r>
          </w:p>
          <w:p w14:paraId="701F767A">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本项目不涉及高挥发性有机物含量溶剂型涂料、油墨、胶粘剂、清洗剂，提高水性、高固体分、无溶剂、粉末等。</w:t>
            </w:r>
          </w:p>
          <w:p w14:paraId="094E4BD3">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因此，本项目符合空间布局约束要求。</w:t>
            </w:r>
          </w:p>
        </w:tc>
      </w:tr>
      <w:tr w14:paraId="27006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tcBorders>
              <w:tl2br w:val="nil"/>
              <w:tr2bl w:val="nil"/>
            </w:tcBorders>
            <w:vAlign w:val="center"/>
          </w:tcPr>
          <w:p w14:paraId="6A26A10F">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p>
        </w:tc>
        <w:tc>
          <w:tcPr>
            <w:tcW w:w="485" w:type="pct"/>
            <w:tcBorders>
              <w:tl2br w:val="nil"/>
              <w:tr2bl w:val="nil"/>
            </w:tcBorders>
            <w:vAlign w:val="center"/>
          </w:tcPr>
          <w:p w14:paraId="473132B2">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污染物</w:t>
            </w:r>
          </w:p>
          <w:p w14:paraId="11CE8A79">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排放管控</w:t>
            </w:r>
          </w:p>
        </w:tc>
        <w:tc>
          <w:tcPr>
            <w:tcW w:w="2055" w:type="pct"/>
            <w:tcBorders>
              <w:tl2br w:val="nil"/>
              <w:tr2bl w:val="nil"/>
            </w:tcBorders>
            <w:vAlign w:val="center"/>
          </w:tcPr>
          <w:p w14:paraId="25F59A1C">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2025年和2035年全市大气污染物氮氧化物和VOCs重点工程削减量不低于省政府确定的削减量。</w:t>
            </w:r>
          </w:p>
          <w:p w14:paraId="69E71D00">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2025年和2035年全市水污染物化学需氧量和氨氮削减量不低于省政府确定的削减量。到2025年，全市地表水体消除劣V类，县级城市建成区基本消除黑臭水体。</w:t>
            </w:r>
          </w:p>
        </w:tc>
        <w:tc>
          <w:tcPr>
            <w:tcW w:w="1796" w:type="pct"/>
            <w:tcBorders>
              <w:tl2br w:val="nil"/>
              <w:tr2bl w:val="nil"/>
            </w:tcBorders>
            <w:vAlign w:val="center"/>
          </w:tcPr>
          <w:p w14:paraId="0A68C9DD">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本项目施工期产生的废气主要为施工扬尘、施工机械设备、运输车辆尾气和管道焊接烟尘，施工扬尘采取运输道路及施工场地定时洒水抑尘，运输车辆采取苫布遮盖措施，土方开挖采取遮盖、围挡、洒水等防尘措施，管道焊接采用环保焊材，且项目位于室外，空气扩散条件较好，对大气环境影响较小。本项目为油田内部集输</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改造工程，不产生二氧化硫、氮氧化物以及VOCs等废气。</w:t>
            </w:r>
          </w:p>
          <w:p w14:paraId="0A7FF0C2">
            <w:pPr>
              <w:widowControl w:val="0"/>
              <w:bidi w:val="0"/>
              <w:adjustRightInd w:val="0"/>
              <w:snapToGrid w:val="0"/>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本项目施工期废水均不外排，无总量增加；正常情况下运营期无废水产生及排放。</w:t>
            </w:r>
          </w:p>
        </w:tc>
      </w:tr>
      <w:tr w14:paraId="3797F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tcBorders>
              <w:tl2br w:val="nil"/>
              <w:tr2bl w:val="nil"/>
            </w:tcBorders>
            <w:vAlign w:val="center"/>
          </w:tcPr>
          <w:p w14:paraId="5B7FD145">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p>
        </w:tc>
        <w:tc>
          <w:tcPr>
            <w:tcW w:w="485" w:type="pct"/>
            <w:tcBorders>
              <w:tl2br w:val="nil"/>
              <w:tr2bl w:val="nil"/>
            </w:tcBorders>
            <w:vAlign w:val="center"/>
          </w:tcPr>
          <w:p w14:paraId="0E5141EE">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资源利用效率要求</w:t>
            </w:r>
          </w:p>
        </w:tc>
        <w:tc>
          <w:tcPr>
            <w:tcW w:w="2055" w:type="pct"/>
            <w:tcBorders>
              <w:tl2br w:val="nil"/>
              <w:tr2bl w:val="nil"/>
            </w:tcBorders>
            <w:vAlign w:val="center"/>
          </w:tcPr>
          <w:p w14:paraId="583976AF">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全市2025年用水总量不得超过34.38亿立方米，2030年用水总量控制指标不高于省政府确定的指标。</w:t>
            </w:r>
          </w:p>
          <w:p w14:paraId="7DA18EE1">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全市2025和2035年耕地保有量不低于规划指标。</w:t>
            </w:r>
          </w:p>
          <w:p w14:paraId="52A5C1D1">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全市2025年和2035年煤炭消费上线不高于省政府确定的指标。</w:t>
            </w:r>
          </w:p>
        </w:tc>
        <w:tc>
          <w:tcPr>
            <w:tcW w:w="1796" w:type="pct"/>
            <w:tcBorders>
              <w:tl2br w:val="nil"/>
              <w:tr2bl w:val="nil"/>
            </w:tcBorders>
            <w:vAlign w:val="center"/>
          </w:tcPr>
          <w:p w14:paraId="7081507A">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本项目施工期用水为</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废弃</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管道清洗用水、新建管道试压用水和生活用水，用水量相对较少；运行期无水资源消耗。</w:t>
            </w:r>
          </w:p>
          <w:p w14:paraId="75F9FEF6">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本项目临时占用耕地、草地</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、林地</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，施工结束后及时进行耕地复垦、草地植被恢复</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，对移栽的林木进行恢复</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w:t>
            </w:r>
          </w:p>
          <w:p w14:paraId="6ADC738D">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本项目不涉及煤炭使用。</w:t>
            </w:r>
          </w:p>
          <w:p w14:paraId="14568608">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因此，本项目建设不会突破资源利用效率要求。</w:t>
            </w:r>
          </w:p>
        </w:tc>
      </w:tr>
      <w:tr w14:paraId="5CE9E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tcBorders>
              <w:tl2br w:val="nil"/>
              <w:tr2bl w:val="nil"/>
            </w:tcBorders>
            <w:vAlign w:val="center"/>
          </w:tcPr>
          <w:p w14:paraId="0501CDE7">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p>
        </w:tc>
        <w:tc>
          <w:tcPr>
            <w:tcW w:w="485" w:type="pct"/>
            <w:tcBorders>
              <w:tl2br w:val="nil"/>
              <w:tr2bl w:val="nil"/>
            </w:tcBorders>
            <w:vAlign w:val="center"/>
          </w:tcPr>
          <w:p w14:paraId="7F142D7C">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高污染燃料禁燃区资源利用效率要求</w:t>
            </w:r>
          </w:p>
        </w:tc>
        <w:tc>
          <w:tcPr>
            <w:tcW w:w="2055" w:type="pct"/>
            <w:tcBorders>
              <w:tl2br w:val="nil"/>
              <w:tr2bl w:val="nil"/>
            </w:tcBorders>
            <w:vAlign w:val="top"/>
          </w:tcPr>
          <w:p w14:paraId="423E8C7A">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禁燃区内禁止新建、改建、扩建燃用高污染燃料的锅炉、炉窑、炉灶等燃烧设施（城市集中供热应急调峰锅炉除外）；禁止销售和燃用高污染燃料。</w:t>
            </w:r>
          </w:p>
          <w:p w14:paraId="4A86F78D">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禁燃区内对20蒸吨/小时以下锅炉及民用燃煤设备燃煤质量严格控制，稳步推进清洁能源替代改造。</w:t>
            </w:r>
          </w:p>
          <w:p w14:paraId="0A58DE67">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禁燃区内已建成使用高污染燃料设施在限期拆除或完成改造前，应采取燃用优质煤炭、改善燃烧工况、提高烟气治理设施效率等措施，使其排放的大气污染物达到国家相关标准要求。</w:t>
            </w:r>
          </w:p>
        </w:tc>
        <w:tc>
          <w:tcPr>
            <w:tcW w:w="1796" w:type="pct"/>
            <w:tcBorders>
              <w:tl2br w:val="nil"/>
              <w:tr2bl w:val="nil"/>
            </w:tcBorders>
            <w:vAlign w:val="center"/>
          </w:tcPr>
          <w:p w14:paraId="0A2B72A1">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项目不涉及新建、改建、扩建燃用高污染燃料的锅炉、炉窑、炉灶等燃烧设施，不涉及销售和燃用高污染燃料。本项目不涉及20蒸吨/小时以下锅炉及民用燃煤设备。</w:t>
            </w:r>
          </w:p>
        </w:tc>
      </w:tr>
    </w:tbl>
    <w:p w14:paraId="2C13EDE8">
      <w:pPr>
        <w:widowControl w:val="0"/>
        <w:tabs>
          <w:tab w:val="left" w:pos="180"/>
          <w:tab w:val="left" w:pos="1092"/>
          <w:tab w:val="left" w:pos="1686"/>
        </w:tabs>
        <w:adjustRightInd w:val="0"/>
        <w:snapToGrid w:val="0"/>
        <w:spacing w:after="0" w:line="240" w:lineRule="auto"/>
        <w:ind w:left="0" w:leftChars="0" w:firstLine="0" w:firstLineChars="0"/>
        <w:jc w:val="cente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9</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项目与《大庆市生态环境准入清单（2023年版）》</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大同区</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相符性分析表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790"/>
        <w:gridCol w:w="535"/>
        <w:gridCol w:w="589"/>
        <w:gridCol w:w="4447"/>
        <w:gridCol w:w="5565"/>
        <w:gridCol w:w="643"/>
      </w:tblGrid>
      <w:tr w14:paraId="77065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0" w:type="pct"/>
            <w:tcBorders>
              <w:tl2br w:val="nil"/>
              <w:tr2bl w:val="nil"/>
            </w:tcBorders>
            <w:vAlign w:val="center"/>
          </w:tcPr>
          <w:p w14:paraId="44DE8E90">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环境管控</w:t>
            </w:r>
          </w:p>
          <w:p w14:paraId="6E86B3EE">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单元编码</w:t>
            </w:r>
          </w:p>
        </w:tc>
        <w:tc>
          <w:tcPr>
            <w:tcW w:w="278" w:type="pct"/>
            <w:tcBorders>
              <w:tl2br w:val="nil"/>
              <w:tr2bl w:val="nil"/>
            </w:tcBorders>
            <w:vAlign w:val="center"/>
          </w:tcPr>
          <w:p w14:paraId="34244CAA">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名称</w:t>
            </w:r>
          </w:p>
        </w:tc>
        <w:tc>
          <w:tcPr>
            <w:tcW w:w="188" w:type="pct"/>
            <w:tcBorders>
              <w:tl2br w:val="nil"/>
              <w:tr2bl w:val="nil"/>
            </w:tcBorders>
            <w:vAlign w:val="center"/>
          </w:tcPr>
          <w:p w14:paraId="2384ED4A">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类别</w:t>
            </w:r>
          </w:p>
        </w:tc>
        <w:tc>
          <w:tcPr>
            <w:tcW w:w="1770" w:type="pct"/>
            <w:gridSpan w:val="2"/>
            <w:tcBorders>
              <w:tl2br w:val="nil"/>
              <w:tr2bl w:val="nil"/>
            </w:tcBorders>
            <w:vAlign w:val="center"/>
          </w:tcPr>
          <w:p w14:paraId="53657BA0">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管控要求</w:t>
            </w:r>
          </w:p>
        </w:tc>
        <w:tc>
          <w:tcPr>
            <w:tcW w:w="1956" w:type="pct"/>
            <w:tcBorders>
              <w:tl2br w:val="nil"/>
              <w:tr2bl w:val="nil"/>
            </w:tcBorders>
            <w:vAlign w:val="center"/>
          </w:tcPr>
          <w:p w14:paraId="08D06B9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w:t>
            </w:r>
          </w:p>
        </w:tc>
        <w:tc>
          <w:tcPr>
            <w:tcW w:w="226" w:type="pct"/>
            <w:tcBorders>
              <w:tl2br w:val="nil"/>
              <w:tr2bl w:val="nil"/>
            </w:tcBorders>
            <w:vAlign w:val="center"/>
          </w:tcPr>
          <w:p w14:paraId="300F4D1F">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是否</w:t>
            </w:r>
          </w:p>
          <w:p w14:paraId="51E199F0">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符合</w:t>
            </w:r>
          </w:p>
        </w:tc>
      </w:tr>
      <w:tr w14:paraId="0850B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pct"/>
            <w:tcBorders>
              <w:tl2br w:val="nil"/>
              <w:tr2bl w:val="nil"/>
            </w:tcBorders>
            <w:vAlign w:val="center"/>
          </w:tcPr>
          <w:p w14:paraId="58528AF2">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ZH23060610002</w:t>
            </w:r>
          </w:p>
        </w:tc>
        <w:tc>
          <w:tcPr>
            <w:tcW w:w="278" w:type="pct"/>
            <w:tcBorders>
              <w:tl2br w:val="nil"/>
              <w:tr2bl w:val="nil"/>
            </w:tcBorders>
            <w:vAlign w:val="center"/>
          </w:tcPr>
          <w:p w14:paraId="36341209">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大同区</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一般生态空间区</w:t>
            </w:r>
          </w:p>
        </w:tc>
        <w:tc>
          <w:tcPr>
            <w:tcW w:w="188" w:type="pct"/>
            <w:tcBorders>
              <w:tl2br w:val="nil"/>
              <w:tr2bl w:val="nil"/>
            </w:tcBorders>
            <w:vAlign w:val="center"/>
          </w:tcPr>
          <w:p w14:paraId="1ACD5BC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优先保护单元</w:t>
            </w:r>
          </w:p>
        </w:tc>
        <w:tc>
          <w:tcPr>
            <w:tcW w:w="207" w:type="pct"/>
            <w:tcBorders>
              <w:tl2br w:val="nil"/>
              <w:tr2bl w:val="nil"/>
            </w:tcBorders>
            <w:vAlign w:val="center"/>
          </w:tcPr>
          <w:p w14:paraId="685C0F02">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空间布局约束</w:t>
            </w:r>
          </w:p>
        </w:tc>
        <w:tc>
          <w:tcPr>
            <w:tcW w:w="1562" w:type="pct"/>
            <w:tcBorders>
              <w:tl2br w:val="nil"/>
              <w:tr2bl w:val="nil"/>
            </w:tcBorders>
            <w:vAlign w:val="center"/>
          </w:tcPr>
          <w:p w14:paraId="7B29118E">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原则上按限制开发区域的要求进行管理。严格限制与生态功能不一致的开发建设活动。符合区域准入条件的新增建设项目，涉及占用生态空间中的林地、草原等，按有关法律法规规定办理；涉及占用生态空间中其他未作明确规定的用地，应当加强论证和管理。符合条件的农业开发项目，须依法由市县级及以上地方人民政府统筹安排。除符合国家生态退耕条件的耕地，并纳入国家生态退耕总体安排，或因国家重大生态工程建设需要外，不得随意转用。</w:t>
            </w:r>
          </w:p>
          <w:p w14:paraId="51FAB26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对依法保护的生态空间实行承载力控制，防止过度垦殖、放牧、采伐、取水、渔猎、旅游等对生态功能造成损害，确保自然生态系统的稳定。</w:t>
            </w:r>
          </w:p>
          <w:p w14:paraId="7904274A">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避免开发建设活动损害其生态服务功能和生态产品质量。</w:t>
            </w:r>
          </w:p>
          <w:p w14:paraId="5DF222A2">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已经侵占生态空间的，应建立退出机制、制定治理方案及时间表。</w:t>
            </w:r>
          </w:p>
        </w:tc>
        <w:tc>
          <w:tcPr>
            <w:tcW w:w="1956" w:type="pct"/>
            <w:tcBorders>
              <w:tl2br w:val="nil"/>
              <w:tr2bl w:val="nil"/>
            </w:tcBorders>
            <w:vAlign w:val="center"/>
          </w:tcPr>
          <w:p w14:paraId="341319F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优先保护单元分区管控要求为：以生态环境保护为主，依法禁止或限制大规模、高强度的工业和城镇建设，在功能受损的优先保护单元，优先开展生态保护修复活动，恢复生态系统服务功能。</w:t>
            </w:r>
          </w:p>
          <w:p w14:paraId="5B210C15">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本项目为油田产能建设工程，属于</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管线改造</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项目，遵循以生态环境保护为主，通过</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优化</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管道布局减少了对土地资源的占用，符合优先保护单元要求。本项目属于国家能源重点建设项目，项目开工建设前依据《基本农田保护条例》等法律法规，到相关部门办理用地审批</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手续</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。本项目施工完毕后1年内，临时占地全部恢复原有植被类型，即占用农田全部恢复为耕地。临时占地恢复也可给予农民一定的费用补偿，由农民自行进行土地恢复。草地撒播草籽</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，对移栽的林木进行恢复。</w:t>
            </w:r>
          </w:p>
          <w:p w14:paraId="46669CB0">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本项目不属于垦殖、放牧、采伐、取水、渔猎、旅游等对生态功能造成损害的项目，不涉及损害生态服务功能和生态产品质量，不涉及侵占生态空间。</w:t>
            </w:r>
          </w:p>
        </w:tc>
        <w:tc>
          <w:tcPr>
            <w:tcW w:w="226" w:type="pct"/>
            <w:tcBorders>
              <w:tl2br w:val="nil"/>
              <w:tr2bl w:val="nil"/>
            </w:tcBorders>
            <w:vAlign w:val="center"/>
          </w:tcPr>
          <w:p w14:paraId="32202356">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符合</w:t>
            </w:r>
          </w:p>
        </w:tc>
      </w:tr>
      <w:tr w14:paraId="0120E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80" w:type="pct"/>
            <w:vMerge w:val="restart"/>
            <w:tcBorders>
              <w:tl2br w:val="nil"/>
              <w:tr2bl w:val="nil"/>
            </w:tcBorders>
            <w:vAlign w:val="center"/>
          </w:tcPr>
          <w:p w14:paraId="0555DAE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ZH23060620004</w:t>
            </w:r>
          </w:p>
        </w:tc>
        <w:tc>
          <w:tcPr>
            <w:tcW w:w="278" w:type="pct"/>
            <w:vMerge w:val="restart"/>
            <w:tcBorders>
              <w:tl2br w:val="nil"/>
              <w:tr2bl w:val="nil"/>
            </w:tcBorders>
            <w:vAlign w:val="center"/>
          </w:tcPr>
          <w:p w14:paraId="0095EABE">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大同区水环境城镇生活</w:t>
            </w:r>
          </w:p>
          <w:p w14:paraId="132B30D9">
            <w:pPr>
              <w:widowControl/>
              <w:adjustRightInd/>
              <w:snapToGrid/>
              <w:spacing w:after="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污染重点管控区</w:t>
            </w:r>
          </w:p>
        </w:tc>
        <w:tc>
          <w:tcPr>
            <w:tcW w:w="188" w:type="pct"/>
            <w:vMerge w:val="restart"/>
            <w:tcBorders>
              <w:tl2br w:val="nil"/>
              <w:tr2bl w:val="nil"/>
            </w:tcBorders>
            <w:vAlign w:val="center"/>
          </w:tcPr>
          <w:p w14:paraId="07983BAB">
            <w:pPr>
              <w:widowControl/>
              <w:adjustRightInd/>
              <w:snapToGrid/>
              <w:spacing w:after="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重点</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管控单元</w:t>
            </w:r>
          </w:p>
        </w:tc>
        <w:tc>
          <w:tcPr>
            <w:tcW w:w="207" w:type="pct"/>
            <w:tcBorders>
              <w:tl2br w:val="nil"/>
              <w:tr2bl w:val="nil"/>
            </w:tcBorders>
            <w:vAlign w:val="center"/>
          </w:tcPr>
          <w:p w14:paraId="7488C97F">
            <w:pPr>
              <w:widowControl w:val="0"/>
              <w:adjustRightInd/>
              <w:snapToGrid/>
              <w:spacing w:after="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空间布局约束</w:t>
            </w:r>
          </w:p>
        </w:tc>
        <w:tc>
          <w:tcPr>
            <w:tcW w:w="1562" w:type="pct"/>
            <w:tcBorders>
              <w:tl2br w:val="nil"/>
              <w:tr2bl w:val="nil"/>
            </w:tcBorders>
            <w:vAlign w:val="center"/>
          </w:tcPr>
          <w:p w14:paraId="09D1D40A">
            <w:pPr>
              <w:keepNext w:val="0"/>
              <w:keepLines w:val="0"/>
              <w:pageBreakBefore w:val="0"/>
              <w:widowControl w:val="0"/>
              <w:kinsoku/>
              <w:wordWrap/>
              <w:overflowPunct/>
              <w:topLinePunct w:val="0"/>
              <w:bidi w:val="0"/>
              <w:adjustRightInd/>
              <w:snapToGrid/>
              <w:spacing w:after="0"/>
              <w:ind w:right="0" w:rightChars="0" w:firstLine="408" w:firstLineChars="200"/>
              <w:jc w:val="both"/>
              <w:textAlignment w:val="auto"/>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除干旱地区外，新建城区应全面实行雨污分流，鼓励对初期雨水进行收集、处理和资源化利</w:t>
            </w:r>
          </w:p>
          <w:p w14:paraId="486593AB">
            <w:pPr>
              <w:keepNext w:val="0"/>
              <w:keepLines w:val="0"/>
              <w:pageBreakBefore w:val="0"/>
              <w:widowControl w:val="0"/>
              <w:kinsoku/>
              <w:wordWrap/>
              <w:overflowPunct/>
              <w:topLinePunct w:val="0"/>
              <w:bidi w:val="0"/>
              <w:adjustRightInd/>
              <w:snapToGrid/>
              <w:spacing w:after="0"/>
              <w:ind w:right="0" w:rightChars="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用</w:t>
            </w:r>
            <w:r>
              <w:rPr>
                <w:rFonts w:hint="eastAsia"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w:t>
            </w:r>
          </w:p>
        </w:tc>
        <w:tc>
          <w:tcPr>
            <w:tcW w:w="1956" w:type="pct"/>
            <w:vMerge w:val="restart"/>
            <w:tcBorders>
              <w:tl2br w:val="nil"/>
              <w:tr2bl w:val="nil"/>
            </w:tcBorders>
            <w:vAlign w:val="center"/>
          </w:tcPr>
          <w:p w14:paraId="1D2437B1">
            <w:pPr>
              <w:keepNext w:val="0"/>
              <w:keepLines w:val="0"/>
              <w:pageBreakBefore w:val="0"/>
              <w:widowControl w:val="0"/>
              <w:numPr>
                <w:ilvl w:val="0"/>
                <w:numId w:val="4"/>
              </w:numPr>
              <w:kinsoku/>
              <w:wordWrap/>
              <w:overflowPunct/>
              <w:topLinePunct w:val="0"/>
              <w:autoSpaceDE/>
              <w:autoSpaceDN/>
              <w:bidi w:val="0"/>
              <w:adjustRightInd/>
              <w:snapToGrid/>
              <w:spacing w:after="0"/>
              <w:ind w:left="0" w:leftChars="0" w:right="0"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本项目为油田内部集输</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改造工程</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运营期采用密闭集输工艺输送</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含水原油</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，均采用资源利用率高以及污染物产生量少的清洁生产技术、工艺和设备。</w:t>
            </w:r>
          </w:p>
          <w:p w14:paraId="61078733">
            <w:pPr>
              <w:keepNext w:val="0"/>
              <w:keepLines w:val="0"/>
              <w:pageBreakBefore w:val="0"/>
              <w:widowControl w:val="0"/>
              <w:numPr>
                <w:ilvl w:val="0"/>
                <w:numId w:val="4"/>
              </w:numPr>
              <w:kinsoku/>
              <w:wordWrap/>
              <w:overflowPunct/>
              <w:topLinePunct w:val="0"/>
              <w:autoSpaceDE/>
              <w:autoSpaceDN/>
              <w:bidi w:val="0"/>
              <w:adjustRightInd/>
              <w:snapToGrid/>
              <w:spacing w:after="0"/>
              <w:ind w:left="0" w:leftChars="0" w:right="0"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施工期、退役期废弃管道清管废水、新建管道试压废水由罐车拉运至</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进行处理，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处理后的污水指标满足《大庆油田地面工程建设设计规定》</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（Q/SYDQ0639-2015）、《碎屑岩油藏注水水质指标技术要求及分析方法》（SY/T5329-2022）标准要求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后回注地下开采油层，不外排。</w:t>
            </w:r>
          </w:p>
          <w:p w14:paraId="043D39A2">
            <w:pPr>
              <w:keepLines w:val="0"/>
              <w:pageBreakBefore w:val="0"/>
              <w:widowControl w:val="0"/>
              <w:topLinePunct w:val="0"/>
              <w:autoSpaceDE w:val="0"/>
              <w:autoSpaceDN w:val="0"/>
              <w:bidi w:val="0"/>
              <w:adjustRightInd w:val="0"/>
              <w:snapToGrid/>
              <w:spacing w:after="0" w:line="240" w:lineRule="auto"/>
              <w:ind w:firstLine="420" w:firstLineChars="200"/>
              <w:jc w:val="both"/>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3.施工期生活污水排入附近计量间、场站等已建防渗旱厕，经排污罐车抽排至高平4号污水站，排入大庆市净源环保科技有限公司处理。</w:t>
            </w:r>
          </w:p>
        </w:tc>
        <w:tc>
          <w:tcPr>
            <w:tcW w:w="226" w:type="pct"/>
            <w:tcBorders>
              <w:tl2br w:val="nil"/>
              <w:tr2bl w:val="nil"/>
            </w:tcBorders>
            <w:vAlign w:val="center"/>
          </w:tcPr>
          <w:p w14:paraId="05C1C91A">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符合</w:t>
            </w:r>
          </w:p>
        </w:tc>
      </w:tr>
      <w:tr w14:paraId="632DB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80" w:type="pct"/>
            <w:vMerge w:val="continue"/>
            <w:tcBorders>
              <w:tl2br w:val="nil"/>
              <w:tr2bl w:val="nil"/>
            </w:tcBorders>
            <w:vAlign w:val="center"/>
          </w:tcPr>
          <w:p w14:paraId="07389631">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p>
        </w:tc>
        <w:tc>
          <w:tcPr>
            <w:tcW w:w="278" w:type="pct"/>
            <w:vMerge w:val="continue"/>
            <w:tcBorders>
              <w:tl2br w:val="nil"/>
              <w:tr2bl w:val="nil"/>
            </w:tcBorders>
            <w:vAlign w:val="center"/>
          </w:tcPr>
          <w:p w14:paraId="099735BD">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88" w:type="pct"/>
            <w:vMerge w:val="continue"/>
            <w:tcBorders>
              <w:tl2br w:val="nil"/>
              <w:tr2bl w:val="nil"/>
            </w:tcBorders>
            <w:vAlign w:val="center"/>
          </w:tcPr>
          <w:p w14:paraId="6459C080">
            <w:pPr>
              <w:widowControl/>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07" w:type="pct"/>
            <w:tcBorders>
              <w:tl2br w:val="nil"/>
              <w:tr2bl w:val="nil"/>
            </w:tcBorders>
            <w:vAlign w:val="center"/>
          </w:tcPr>
          <w:p w14:paraId="69F6D38D">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污染物排放管控</w:t>
            </w:r>
          </w:p>
        </w:tc>
        <w:tc>
          <w:tcPr>
            <w:tcW w:w="1562" w:type="pct"/>
            <w:tcBorders>
              <w:tl2br w:val="nil"/>
              <w:tr2bl w:val="nil"/>
            </w:tcBorders>
            <w:vAlign w:val="center"/>
          </w:tcPr>
          <w:p w14:paraId="7E4D072C">
            <w:pPr>
              <w:keepNext w:val="0"/>
              <w:keepLines w:val="0"/>
              <w:pageBreakBefore w:val="0"/>
              <w:widowControl w:val="0"/>
              <w:kinsoku/>
              <w:wordWrap/>
              <w:overflowPunct/>
              <w:topLinePunct w:val="0"/>
              <w:bidi w:val="0"/>
              <w:adjustRightInd/>
              <w:snapToGrid/>
              <w:spacing w:after="0"/>
              <w:ind w:right="0" w:rightChars="0" w:firstLine="408" w:firstLineChars="200"/>
              <w:jc w:val="both"/>
              <w:textAlignment w:val="auto"/>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新区污水管网规划建设应当与城市开发同步推进，除</w:t>
            </w:r>
            <w:r>
              <w:rPr>
                <w:rFonts w:hint="eastAsia"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干旱地区</w:t>
            </w: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外均实行雨污分流。2.强</w:t>
            </w:r>
          </w:p>
          <w:p w14:paraId="7FF58517">
            <w:pPr>
              <w:keepNext w:val="0"/>
              <w:keepLines w:val="0"/>
              <w:pageBreakBefore w:val="0"/>
              <w:widowControl w:val="0"/>
              <w:kinsoku/>
              <w:wordWrap/>
              <w:overflowPunct/>
              <w:topLinePunct w:val="0"/>
              <w:bidi w:val="0"/>
              <w:adjustRightInd/>
              <w:snapToGrid/>
              <w:spacing w:after="0"/>
              <w:ind w:right="0" w:rightChars="0"/>
              <w:jc w:val="both"/>
              <w:textAlignment w:val="auto"/>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化城中村、老旧城区和城乡结合部污水截流、收集。3.推进合流制排水系统雨污分流改造，难以改造的，应采取截流、调蓄和治理等措施：推进现有污水处理设施配套管网建设：进一步提高城市、县城生活污水收集处理效能。4县级以上人民政府应当根据国土空间、水污染防治、城镇排水与污水处理等规划，合理确定城镇排水与污水处理设施建设标准，统筹安排管网、泵站、污水处理厂以及污泥处理处置、再生水利用、雨水调蓄和排放等排水与污水处理设施建设和改造，提高城镇污水收集率和处理率。</w:t>
            </w:r>
          </w:p>
        </w:tc>
        <w:tc>
          <w:tcPr>
            <w:tcW w:w="1956" w:type="pct"/>
            <w:vMerge w:val="continue"/>
            <w:tcBorders>
              <w:tl2br w:val="nil"/>
              <w:tr2bl w:val="nil"/>
            </w:tcBorders>
            <w:vAlign w:val="center"/>
          </w:tcPr>
          <w:p w14:paraId="3E57C9CD">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3E949345">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bl>
    <w:p w14:paraId="53D9D7BD">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10</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项目与《</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绥化市</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生态环境准入清单（2023年版）》</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绥化市</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相符性分析表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012"/>
        <w:gridCol w:w="1024"/>
        <w:gridCol w:w="3927"/>
        <w:gridCol w:w="7603"/>
        <w:gridCol w:w="654"/>
      </w:tblGrid>
      <w:tr w14:paraId="11E7D45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55" w:type="pct"/>
            <w:tcBorders>
              <w:tl2br w:val="nil"/>
              <w:tr2bl w:val="nil"/>
            </w:tcBorders>
            <w:vAlign w:val="center"/>
          </w:tcPr>
          <w:p w14:paraId="6BD0CE6A">
            <w:pPr>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适用范围</w:t>
            </w:r>
          </w:p>
        </w:tc>
        <w:tc>
          <w:tcPr>
            <w:tcW w:w="360" w:type="pct"/>
            <w:tcBorders>
              <w:tl2br w:val="nil"/>
              <w:tr2bl w:val="nil"/>
            </w:tcBorders>
            <w:vAlign w:val="center"/>
          </w:tcPr>
          <w:p w14:paraId="2A27221C">
            <w:pPr>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管控</w:t>
            </w:r>
          </w:p>
          <w:p w14:paraId="364E80C4">
            <w:pPr>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维度</w:t>
            </w:r>
          </w:p>
        </w:tc>
        <w:tc>
          <w:tcPr>
            <w:tcW w:w="1380" w:type="pct"/>
            <w:tcBorders>
              <w:tl2br w:val="nil"/>
              <w:tr2bl w:val="nil"/>
            </w:tcBorders>
            <w:vAlign w:val="center"/>
          </w:tcPr>
          <w:p w14:paraId="7235DA4B">
            <w:pPr>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管控要求</w:t>
            </w:r>
          </w:p>
        </w:tc>
        <w:tc>
          <w:tcPr>
            <w:tcW w:w="2673" w:type="pct"/>
            <w:tcBorders>
              <w:tl2br w:val="nil"/>
              <w:tr2bl w:val="nil"/>
            </w:tcBorders>
            <w:vAlign w:val="center"/>
          </w:tcPr>
          <w:p w14:paraId="6BF62505">
            <w:pPr>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本项目</w:t>
            </w:r>
          </w:p>
        </w:tc>
        <w:tc>
          <w:tcPr>
            <w:tcW w:w="229" w:type="pct"/>
            <w:tcBorders>
              <w:tl2br w:val="nil"/>
              <w:tr2bl w:val="nil"/>
            </w:tcBorders>
            <w:vAlign w:val="center"/>
          </w:tcPr>
          <w:p w14:paraId="3444826F">
            <w:pPr>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符合性</w:t>
            </w:r>
          </w:p>
        </w:tc>
      </w:tr>
      <w:tr w14:paraId="0356895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55" w:type="pct"/>
            <w:vMerge w:val="restart"/>
            <w:tcBorders>
              <w:tl2br w:val="nil"/>
              <w:tr2bl w:val="nil"/>
            </w:tcBorders>
            <w:vAlign w:val="center"/>
          </w:tcPr>
          <w:p w14:paraId="287EF534">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总体</w:t>
            </w:r>
          </w:p>
          <w:p w14:paraId="36CB5EB1">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要求</w:t>
            </w:r>
          </w:p>
        </w:tc>
        <w:tc>
          <w:tcPr>
            <w:tcW w:w="360" w:type="pct"/>
            <w:tcBorders>
              <w:tl2br w:val="nil"/>
              <w:tr2bl w:val="nil"/>
            </w:tcBorders>
            <w:vAlign w:val="center"/>
          </w:tcPr>
          <w:p w14:paraId="742751A3">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1380" w:type="pct"/>
            <w:tcBorders>
              <w:tl2br w:val="nil"/>
              <w:tr2bl w:val="nil"/>
            </w:tcBorders>
            <w:vAlign w:val="center"/>
          </w:tcPr>
          <w:p w14:paraId="63BDE6F5">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加大黑土地保护；农产品禁止生产区域，禁止种植食用农产品；禁止处理处置不达标的污泥进入耕地，取缔非法污泥堆放点。</w:t>
            </w:r>
          </w:p>
          <w:p w14:paraId="504577D7">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both"/>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严禁以任何名义、任何方式备案产能严重过剩行业的增加产能项目。对电力、钢铁、建材、有色、化工、石油石化、煤炭、印染、造纸、制革、染料、焦化、电镀等行业中，环保、能耗、安全、质量等不达标或生产、使用淘汰类产品的企业和产能，要依法依规有序退出。严控“两高”行业产能，严格执行钢铁、水泥等行业产能转换</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673" w:type="pct"/>
            <w:tcBorders>
              <w:tl2br w:val="nil"/>
              <w:tr2bl w:val="nil"/>
            </w:tcBorders>
            <w:vAlign w:val="center"/>
          </w:tcPr>
          <w:p w14:paraId="6D91167E">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本项目为</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管线改造工程</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，属于国家能源建设项目，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本项目升1-2集油阀组间6环集油管线位于绥化市基本农田内</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项目选址无法避让耕地（黑土地）。本项目在施工前需要征收土地，应报请相关主管部门同意，取得用地审批。本工程尽可能减少占地。本工程建设过程中，无法避让基本农田，根据《基本农田保护条例》（2011年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本工程实施前编制建设项目占用耕地耕作层土壤剥离利用方案，统筹安</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排剥离、储存和再利用。表土剥离和利用严格执行《建设占用耕地耕作层土壤剥离利用技术规范》（DB23/T2913-2021）。</w:t>
            </w:r>
          </w:p>
          <w:p w14:paraId="77F82C89">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管线改造项目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，属于陆地石油开采项目，不属于有色、石油加工、化工、焦化、电镀、制革等行业企业。不属于高污染、高能耗行业。</w:t>
            </w:r>
          </w:p>
        </w:tc>
        <w:tc>
          <w:tcPr>
            <w:tcW w:w="229" w:type="pct"/>
            <w:vMerge w:val="restart"/>
            <w:tcBorders>
              <w:tl2br w:val="nil"/>
              <w:tr2bl w:val="nil"/>
            </w:tcBorders>
            <w:vAlign w:val="center"/>
          </w:tcPr>
          <w:p w14:paraId="62F30B78">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14:paraId="36D459A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55" w:type="pct"/>
            <w:vMerge w:val="continue"/>
            <w:tcBorders>
              <w:tl2br w:val="nil"/>
              <w:tr2bl w:val="nil"/>
            </w:tcBorders>
            <w:vAlign w:val="center"/>
          </w:tcPr>
          <w:p w14:paraId="3C624471">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60" w:type="pct"/>
            <w:tcBorders>
              <w:tl2br w:val="nil"/>
              <w:tr2bl w:val="nil"/>
            </w:tcBorders>
            <w:vAlign w:val="center"/>
          </w:tcPr>
          <w:p w14:paraId="76BD406D">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污染物排放管控</w:t>
            </w:r>
          </w:p>
        </w:tc>
        <w:tc>
          <w:tcPr>
            <w:tcW w:w="1380" w:type="pct"/>
            <w:tcBorders>
              <w:tl2br w:val="nil"/>
              <w:tr2bl w:val="nil"/>
            </w:tcBorders>
            <w:vAlign w:val="center"/>
          </w:tcPr>
          <w:p w14:paraId="182A7AA0">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相比于2017年，2025年和2035年全市大气污染物二氧化硫、氮氧化物、一次细颗粒物和VOCs削减比例不低于省政府确定的削减比例。</w:t>
            </w:r>
          </w:p>
          <w:p w14:paraId="0350356A">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相比于2017年，2025年和2035年全市水污染物化学需氧量和氨氮削减比例不低于省政府确定的削减比例。</w:t>
            </w:r>
          </w:p>
        </w:tc>
        <w:tc>
          <w:tcPr>
            <w:tcW w:w="2673" w:type="pct"/>
            <w:tcBorders>
              <w:tl2br w:val="nil"/>
              <w:tr2bl w:val="nil"/>
            </w:tcBorders>
            <w:vAlign w:val="center"/>
          </w:tcPr>
          <w:p w14:paraId="641F999C">
            <w:pPr>
              <w:pStyle w:val="39"/>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施工扬尘采取施工现场洒水抑尘、运输车辆及物料加盖防尘布等方式降低扬尘污染。</w:t>
            </w:r>
          </w:p>
          <w:p w14:paraId="1E495637">
            <w:pPr>
              <w:pStyle w:val="39"/>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集输</w:t>
            </w:r>
            <w:r>
              <w:rPr>
                <w:rFonts w:hint="default" w:ascii="Times New Roman" w:hAnsi="Times New Roman" w:eastAsia="宋体" w:cs="Times New Roman"/>
                <w:color w:val="000000" w:themeColor="text1"/>
                <w:highlight w:val="none"/>
                <w:lang w:val="en-US" w:eastAsia="zh-CN"/>
                <w14:textFill>
                  <w14:solidFill>
                    <w14:schemeClr w14:val="tx1"/>
                  </w14:solidFill>
                </w14:textFill>
              </w:rPr>
              <w:t>管道为密闭集输，对大气环境影响主要为施工期扬尘、焊接烟尘、施工机械及运输车辆尾气等，由于施工场地周边较为空旷，有利于扬尘的扩散，且施工期环境影响随着施工的结束随即消失，因此，施工期内不会对区域环境空气质量产生较大影响。</w:t>
            </w:r>
          </w:p>
          <w:p w14:paraId="7C276DBF">
            <w:pPr>
              <w:pStyle w:val="39"/>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项目运营期</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集输</w:t>
            </w:r>
            <w:r>
              <w:rPr>
                <w:rFonts w:hint="default" w:ascii="Times New Roman" w:hAnsi="Times New Roman" w:eastAsia="宋体" w:cs="Times New Roman"/>
                <w:color w:val="000000" w:themeColor="text1"/>
                <w:highlight w:val="none"/>
                <w:lang w:val="en-US" w:eastAsia="zh-CN"/>
                <w14:textFill>
                  <w14:solidFill>
                    <w14:schemeClr w14:val="tx1"/>
                  </w14:solidFill>
                </w14:textFill>
              </w:rPr>
              <w:t>管道采用密闭集输工艺输送</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含水污油</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，不产生废气。</w:t>
            </w:r>
          </w:p>
          <w:p w14:paraId="67CF3280">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本项目投产后，依托场站不新增员工，无新增生活污水。</w:t>
            </w:r>
          </w:p>
        </w:tc>
        <w:tc>
          <w:tcPr>
            <w:tcW w:w="229" w:type="pct"/>
            <w:vMerge w:val="continue"/>
            <w:tcBorders>
              <w:tl2br w:val="nil"/>
              <w:tr2bl w:val="nil"/>
            </w:tcBorders>
            <w:vAlign w:val="center"/>
          </w:tcPr>
          <w:p w14:paraId="6F7391F8">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76B2CB4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355" w:type="pct"/>
            <w:vMerge w:val="continue"/>
            <w:tcBorders>
              <w:tl2br w:val="nil"/>
              <w:tr2bl w:val="nil"/>
            </w:tcBorders>
            <w:vAlign w:val="center"/>
          </w:tcPr>
          <w:p w14:paraId="1A07F75A">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60" w:type="pct"/>
            <w:tcBorders>
              <w:tl2br w:val="nil"/>
              <w:tr2bl w:val="nil"/>
            </w:tcBorders>
            <w:vAlign w:val="center"/>
          </w:tcPr>
          <w:p w14:paraId="4E4DCDFE">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环境风险防控</w:t>
            </w:r>
          </w:p>
        </w:tc>
        <w:tc>
          <w:tcPr>
            <w:tcW w:w="1380" w:type="pct"/>
            <w:tcBorders>
              <w:tl2br w:val="nil"/>
              <w:tr2bl w:val="nil"/>
            </w:tcBorders>
            <w:vAlign w:val="center"/>
          </w:tcPr>
          <w:p w14:paraId="32DB7315">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各级人民政府及其有关部门和企业事业单位，应当依照《中华人民共和国突发事件应对法》的规定，做好突发环境事件的风险控制、应急准备、应急处置和事后恢复等工作。</w:t>
            </w:r>
          </w:p>
        </w:tc>
        <w:tc>
          <w:tcPr>
            <w:tcW w:w="2673" w:type="pct"/>
            <w:tcBorders>
              <w:tl2br w:val="nil"/>
              <w:tr2bl w:val="nil"/>
            </w:tcBorders>
            <w:vAlign w:val="center"/>
          </w:tcPr>
          <w:p w14:paraId="79F477C6">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制定有《</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环境突发事件专项应急预案》（2023版），主要包括应急组织机构及职责明确、监测与预警、应急处置与应急响应、恢复与重建、应急保障与培训等内容，</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并在2023年6月进行备案，备案编号230621-2023-010-L</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（备案文件见附件</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p w14:paraId="30E780A9">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目前</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已建立较完善的应急预案体系，还针对不同的事故分别编制了《环境突发事件专项应急预案</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井喷突发事件专项应急预案</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油气泄漏事件专项应急预案</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输油系统突发事件专项预案》等专项应急预案并定期开展应急演练。建议增加事故应急监测及事故评估等规定内容并定期演习，避免重大污染事故的发生。</w:t>
            </w:r>
          </w:p>
        </w:tc>
        <w:tc>
          <w:tcPr>
            <w:tcW w:w="229" w:type="pct"/>
            <w:vMerge w:val="continue"/>
            <w:tcBorders>
              <w:tl2br w:val="nil"/>
              <w:tr2bl w:val="nil"/>
            </w:tcBorders>
            <w:vAlign w:val="center"/>
          </w:tcPr>
          <w:p w14:paraId="6F84114C">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7804B32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355" w:type="pct"/>
            <w:vMerge w:val="continue"/>
            <w:tcBorders>
              <w:tl2br w:val="nil"/>
              <w:tr2bl w:val="nil"/>
            </w:tcBorders>
            <w:vAlign w:val="center"/>
          </w:tcPr>
          <w:p w14:paraId="6898F860">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60" w:type="pct"/>
            <w:tcBorders>
              <w:tl2br w:val="nil"/>
              <w:tr2bl w:val="nil"/>
            </w:tcBorders>
            <w:vAlign w:val="center"/>
          </w:tcPr>
          <w:p w14:paraId="4688915F">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资源利用效率要求</w:t>
            </w:r>
          </w:p>
        </w:tc>
        <w:tc>
          <w:tcPr>
            <w:tcW w:w="1380" w:type="pct"/>
            <w:tcBorders>
              <w:tl2br w:val="nil"/>
              <w:tr2bl w:val="nil"/>
            </w:tcBorders>
            <w:vAlign w:val="center"/>
          </w:tcPr>
          <w:p w14:paraId="0C1D9FBD">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水资源：全市2030年用水总量控制指标不高于省政府确定的指标。</w:t>
            </w:r>
          </w:p>
          <w:p w14:paraId="444EEC2E">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土地资源：全市2025年及2035年建设用地开发上线不高于省政府确定的指标，耕地资源保护下线不低于省政府确定的指标。</w:t>
            </w:r>
          </w:p>
          <w:p w14:paraId="2B6AE3F0">
            <w:pPr>
              <w:keepNext w:val="0"/>
              <w:keepLines w:val="0"/>
              <w:pageBreakBefore w:val="0"/>
              <w:widowControl w:val="0"/>
              <w:tabs>
                <w:tab w:val="center" w:pos="4153"/>
                <w:tab w:val="right" w:pos="8306"/>
              </w:tabs>
              <w:kinsoku/>
              <w:wordWrap/>
              <w:overflowPunct/>
              <w:topLinePunct w:val="0"/>
              <w:autoSpaceDE/>
              <w:autoSpaceDN/>
              <w:bidi w:val="0"/>
              <w:adjustRightInd/>
              <w:snapToGrid/>
              <w:spacing w:after="0" w:line="240" w:lineRule="auto"/>
              <w:ind w:firstLine="420" w:firstLineChars="200"/>
              <w:jc w:val="left"/>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能源：2025年和2035年，全市煤炭消费上线不高于省政府确定的指标。</w:t>
            </w:r>
          </w:p>
        </w:tc>
        <w:tc>
          <w:tcPr>
            <w:tcW w:w="2673" w:type="pct"/>
            <w:tcBorders>
              <w:tl2br w:val="nil"/>
              <w:tr2bl w:val="nil"/>
            </w:tcBorders>
            <w:vAlign w:val="center"/>
          </w:tcPr>
          <w:p w14:paraId="3B45ACA2">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投产后，依托场站不新增员工，不</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新</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增生活用水量。</w:t>
            </w:r>
          </w:p>
          <w:p w14:paraId="4A538938">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本项目升1-2集油阀组间6环集油管线位于绥化市基本农田内</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项目选址无法避让耕地（黑土地）。本项目在施工前需要征收土地，应报请相关主管部门同意，取得用地审批。本工程尽可能减少占地。本工程建设过程中，无法避让基本农田，根据《基本农田保护条例》（2011年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w:t>
            </w:r>
            <w:r>
              <w:rPr>
                <w:rFonts w:hint="default" w:ascii="Times New Roman" w:hAnsi="Times New Roman" w:cs="Times New Roman" w:eastAsiaTheme="minorEastAsia"/>
                <w:color w:val="000000" w:themeColor="text1"/>
                <w:kern w:val="2"/>
                <w:sz w:val="21"/>
                <w:szCs w:val="21"/>
                <w:highlight w:val="none"/>
                <w:vertAlign w:val="baseline"/>
                <w:lang w:val="en-US" w:eastAsia="zh-CN" w:bidi="ar-SA"/>
                <w14:textFill>
                  <w14:solidFill>
                    <w14:schemeClr w14:val="tx1"/>
                  </w14:solidFill>
                </w14:textFill>
              </w:rPr>
              <w:t>满足省政府确定的指标。</w:t>
            </w:r>
          </w:p>
          <w:p w14:paraId="655C5D62">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本项目不涉及煤炭使用。</w:t>
            </w:r>
          </w:p>
        </w:tc>
        <w:tc>
          <w:tcPr>
            <w:tcW w:w="229" w:type="pct"/>
            <w:vMerge w:val="continue"/>
            <w:tcBorders>
              <w:tl2br w:val="nil"/>
              <w:tr2bl w:val="nil"/>
            </w:tcBorders>
            <w:vAlign w:val="center"/>
          </w:tcPr>
          <w:p w14:paraId="70C9099B">
            <w:pPr>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bl>
    <w:p w14:paraId="0330A049">
      <w:pPr>
        <w:widowControl w:val="0"/>
        <w:tabs>
          <w:tab w:val="left" w:pos="180"/>
          <w:tab w:val="left" w:pos="1092"/>
          <w:tab w:val="left" w:pos="1686"/>
        </w:tabs>
        <w:adjustRightInd w:val="0"/>
        <w:snapToGrid w:val="0"/>
        <w:spacing w:after="0" w:line="240" w:lineRule="auto"/>
        <w:ind w:left="0" w:leftChars="0" w:firstLine="0" w:firstLineChars="0"/>
        <w:jc w:val="cente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表1.5-</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11</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 xml:space="preserve">  项目与《</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绥化市</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生态环境准入清单（2023年版）》</w:t>
      </w:r>
      <w:r>
        <w:rPr>
          <w:rFonts w:hint="eastAsia"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安达市</w:t>
      </w:r>
      <w:r>
        <w:rPr>
          <w:rFonts w:hint="default" w:ascii="Times New Roman" w:hAnsi="Times New Roman" w:eastAsia="宋体" w:cs="Times New Roman"/>
          <w:b/>
          <w:color w:val="000000" w:themeColor="text1"/>
          <w:kern w:val="2"/>
          <w:sz w:val="24"/>
          <w:szCs w:val="24"/>
          <w:highlight w:val="none"/>
          <w:lang w:val="en-US" w:eastAsia="zh-CN" w:bidi="en-US"/>
          <w14:textFill>
            <w14:solidFill>
              <w14:schemeClr w14:val="tx1"/>
            </w14:solidFill>
          </w14:textFill>
        </w:rPr>
        <w:t>相符性分析表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777"/>
        <w:gridCol w:w="527"/>
        <w:gridCol w:w="589"/>
        <w:gridCol w:w="6264"/>
        <w:gridCol w:w="3768"/>
        <w:gridCol w:w="644"/>
      </w:tblGrid>
      <w:tr w14:paraId="43FDB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0" w:type="pct"/>
            <w:tcBorders>
              <w:tl2br w:val="nil"/>
              <w:tr2bl w:val="nil"/>
            </w:tcBorders>
            <w:vAlign w:val="center"/>
          </w:tcPr>
          <w:p w14:paraId="578B1901">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环境管控</w:t>
            </w:r>
          </w:p>
          <w:p w14:paraId="0954B25F">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单元编码</w:t>
            </w:r>
          </w:p>
        </w:tc>
        <w:tc>
          <w:tcPr>
            <w:tcW w:w="273" w:type="pct"/>
            <w:tcBorders>
              <w:tl2br w:val="nil"/>
              <w:tr2bl w:val="nil"/>
            </w:tcBorders>
            <w:vAlign w:val="center"/>
          </w:tcPr>
          <w:p w14:paraId="16A52192">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名称</w:t>
            </w:r>
          </w:p>
        </w:tc>
        <w:tc>
          <w:tcPr>
            <w:tcW w:w="185" w:type="pct"/>
            <w:tcBorders>
              <w:tl2br w:val="nil"/>
              <w:tr2bl w:val="nil"/>
            </w:tcBorders>
            <w:vAlign w:val="center"/>
          </w:tcPr>
          <w:p w14:paraId="6FD65AC4">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类别</w:t>
            </w:r>
          </w:p>
        </w:tc>
        <w:tc>
          <w:tcPr>
            <w:tcW w:w="2408" w:type="pct"/>
            <w:gridSpan w:val="2"/>
            <w:tcBorders>
              <w:tl2br w:val="nil"/>
              <w:tr2bl w:val="nil"/>
            </w:tcBorders>
            <w:vAlign w:val="center"/>
          </w:tcPr>
          <w:p w14:paraId="7A2B2EE6">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管控要求</w:t>
            </w:r>
          </w:p>
        </w:tc>
        <w:tc>
          <w:tcPr>
            <w:tcW w:w="1324" w:type="pct"/>
            <w:tcBorders>
              <w:tl2br w:val="nil"/>
              <w:tr2bl w:val="nil"/>
            </w:tcBorders>
            <w:vAlign w:val="center"/>
          </w:tcPr>
          <w:p w14:paraId="2BB5CE77">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本项目</w:t>
            </w:r>
          </w:p>
        </w:tc>
        <w:tc>
          <w:tcPr>
            <w:tcW w:w="226" w:type="pct"/>
            <w:tcBorders>
              <w:tl2br w:val="nil"/>
              <w:tr2bl w:val="nil"/>
            </w:tcBorders>
            <w:vAlign w:val="center"/>
          </w:tcPr>
          <w:p w14:paraId="4F000B3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是否</w:t>
            </w:r>
          </w:p>
          <w:p w14:paraId="5A12F191">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符合</w:t>
            </w:r>
          </w:p>
        </w:tc>
      </w:tr>
      <w:tr w14:paraId="5512B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pct"/>
            <w:tcBorders>
              <w:tl2br w:val="nil"/>
              <w:tr2bl w:val="nil"/>
            </w:tcBorders>
            <w:vAlign w:val="center"/>
          </w:tcPr>
          <w:p w14:paraId="0987B126">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ZH23128110002</w:t>
            </w:r>
          </w:p>
        </w:tc>
        <w:tc>
          <w:tcPr>
            <w:tcW w:w="273" w:type="pct"/>
            <w:tcBorders>
              <w:tl2br w:val="nil"/>
              <w:tr2bl w:val="nil"/>
            </w:tcBorders>
            <w:vAlign w:val="center"/>
          </w:tcPr>
          <w:p w14:paraId="07DF4A71">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安达市</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一般生态空间区</w:t>
            </w:r>
          </w:p>
        </w:tc>
        <w:tc>
          <w:tcPr>
            <w:tcW w:w="185" w:type="pct"/>
            <w:tcBorders>
              <w:tl2br w:val="nil"/>
              <w:tr2bl w:val="nil"/>
            </w:tcBorders>
            <w:vAlign w:val="center"/>
          </w:tcPr>
          <w:p w14:paraId="3829C0E6">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优先保护单元</w:t>
            </w:r>
          </w:p>
        </w:tc>
        <w:tc>
          <w:tcPr>
            <w:tcW w:w="207" w:type="pct"/>
            <w:tcBorders>
              <w:tl2br w:val="nil"/>
              <w:tr2bl w:val="nil"/>
            </w:tcBorders>
            <w:vAlign w:val="center"/>
          </w:tcPr>
          <w:p w14:paraId="10F9F806">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空间布局约束</w:t>
            </w:r>
          </w:p>
        </w:tc>
        <w:tc>
          <w:tcPr>
            <w:tcW w:w="2201" w:type="pct"/>
            <w:tcBorders>
              <w:tl2br w:val="nil"/>
              <w:tr2bl w:val="nil"/>
            </w:tcBorders>
            <w:vAlign w:val="center"/>
          </w:tcPr>
          <w:p w14:paraId="630BD19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1.区域执行（1）原则上按限制开发区域的要求进行管理。严格限制与生态功能不一致的开发建设活动。符合区域准入条件的新增建设项目，涉及占用生态空间中的林地、草原等，按有关法律法规规定办理：涉及占用生态空间中其他未作明确规定的用地，应当加强论证和管理。符合条件的农业开发项目，须依法由市县级及以上地方人民政府统筹安排。除符合国家生态退耕条件的耕地，并纳入国家生态退耕总体安排，或因国家重大生态工程建设需要外，不得随意转用。（2）对依法保护的生态空间实行承载力控制，防止过度垦殖、放牧、采伐、取水、渔猎、旅游等对生态功能造成损害，确保自然生态系统的稳定</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（3）避免开发建设活动损害其生态服务功能和生态产品质量。（4）已经侵占生态空间的，应建立退出机制、制定治理方案及时间表。</w:t>
            </w:r>
          </w:p>
          <w:p w14:paraId="4BA8A94F">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2.大庆市红旗水库饮用水水源、大庆市大庆水库饮用水水源、大庆市东城水库饮用水水源同时执行（1）饮用水地表水源各级保护区及准保护区内均必须遵守下列规定：《1&gt;禁止一切破坏水环境生态平衡的活动以及破坏水源林、护岸林、与水源保护相关植被的活动。《2&gt;禁止向水域倾倒工业废渣、城市垃圾、粪便及</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废弃物。&lt;3&gt;运输有毒有害物质、油类、粪便的船舶和车辆一般不准进入保护区，必须进入者应事先申请并经有关部门批准、登记并设置防渗、防溢、防漏设施。《4&gt;禁止使用剧毒和高残留农药，不得滥用化肥，不得使用炸药、毒品捕杀鱼类。《5&gt;禁止建设畜禽养殖场、养殖小区。&lt;6&gt;禁止设置排污口。（2）饮用水地表水源各级保护区及准保护区内必须分别遵守下列规定：&lt;1&gt;一级保护区内：禁止新建、扩建与供水设施和保护水源无关的建设项目，已建成的与供水设施和保护水源无关的建设项目，由县级以上人民政府责令拆除或者关闭：禁止向水域排放污水，已设置的排污口必须拆除：不得设置与供水需要无关的码头，禁止停靠船舶：禁止堆置和存放工业废渣、城市垃圾、粪便和其他废弃物：禁止设置油库：禁止从事种植、放养畜禽和网箱养殖活动：禁止可能污染水源的旅游活动和其他活动。&lt;2&gt;二级保护区内：禁止新建、改建、扩建排放污染物的建设项目，已建成的排放污染物的建设项目，由县级以上人民政府责令拆除或者关闭：原有排污口依法拆除或者关闭：禁止设立装卸垃圾、粪便、油类和有毒物品的码头。&lt;3&gt;准保护区内：禁止新建、扩建对水体污染严重的建设项目：改建建设项目，不得增加排污量。（3）国务院和省、自治区、直辖市人民政府根据水环境保护的需要，可以规定在饮用水水源保护区内，采取禁止或者限制使用含磷洗涤剂、化肥、农药以及限制种植养殖等措施。（4）饮用水地下水源各级保护区及准保护区内均必须遵守下列规定：禁止利用渗坑、渗井、裂隙、溶洞等排放污水和</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有害废弃物：禁止利用透水层孔隙、裂隙、溶洞及废弃矿坑储存石油、天然气、放射性物质、有毒有害化工原料、农药等：实行人工回灌地下水时不得污染当地地下水源。〈1&gt;一级保护区内：禁止建设与取水设施无关的建筑物：禁止从事农牧业活动：禁止倾倒、堆放工业废渣及城市垃圾、粪便和</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有害废弃物：禁止输送污水的渠道、管道及输油管道通过本区：禁止建设油库：禁止建立墓地。&lt;2&gt;二级保护区内：1）对于潜水含水层地下水水源地：禁止建设化工、电镀、皮革、造纸、制浆、冶炼、放射性、印染、染料、炼焦、炼油及</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2）对于承压含水层地下水水源地：禁止承压水和潜水的混合开采，</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做好</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潜水的止水措施。&lt;3&gt;准保护区内：禁止建设城市垃圾、粪便和易溶、有毒有害废弃物的堆放场站，因特殊需要设立转运站的，必须经有关部门批准，并采取防渗漏措施：当补给源为地表水体时，该地表水体水质不应低于《地表水环境质量标准》ш类标准：不得使用不符合《</w:t>
            </w: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农田灌溉</w:t>
            </w: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水质标准》的污水进行灌溉，合理使用化肥：保护水源林，禁止毁林开荒，禁止非更新砍伐水源林。</w:t>
            </w:r>
          </w:p>
        </w:tc>
        <w:tc>
          <w:tcPr>
            <w:tcW w:w="1324" w:type="pct"/>
            <w:tcBorders>
              <w:tl2br w:val="nil"/>
              <w:tr2bl w:val="nil"/>
            </w:tcBorders>
            <w:vAlign w:val="center"/>
          </w:tcPr>
          <w:p w14:paraId="098B6BB7">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管线占用基本农田</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属于国家能源重点建设项目，项目开工建设前依据《基本农田保护条例》等法律法规，到相关部门办理用地审批手续。本项目施工完毕后1年内，临时占地全部恢复原有植被类型，即占用农田全部恢复为耕地。临时占地恢复也可给予农民一定的费用补偿，由农民自行进行土地恢复。</w:t>
            </w:r>
          </w:p>
          <w:p w14:paraId="5F6E8202">
            <w:pPr>
              <w:keepNext w:val="0"/>
              <w:keepLines w:val="0"/>
              <w:pageBreakBefore w:val="0"/>
              <w:widowControl w:val="0"/>
              <w:numPr>
                <w:ilvl w:val="0"/>
                <w:numId w:val="0"/>
              </w:numPr>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本项目不属于垦殖、放牧、采伐、取水、渔猎、旅游等对生态功能造成损害的项目，不涉及损害生态服务功能和生态产品质量，不涉及侵占生态空间。</w:t>
            </w:r>
          </w:p>
          <w:p w14:paraId="505E7868">
            <w:pPr>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420"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本项目不涉及大庆市红旗水库饮用水水源、大庆市大庆水库饮用水水源、大庆市东城水库饮用水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水源</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施工期、退役期废弃管道清管废水、新建管道试压废水由罐车拉运至</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进行处理，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处理后的污水指标满足《大庆油田地面工程建设设计规定》</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（Q/SYDQ0639-2015）、《碎屑岩油藏注水水质指标技术要求及分析方法》（SY/T5329-2022）标准要求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后回注地下开采油层，不外排。</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施工期生活污水排入附近计量间、场站等已建防渗旱厕，经排污罐车抽排至高平4号污水站，排入大庆市净源环保科技有限公司处理。</w:t>
            </w:r>
          </w:p>
        </w:tc>
        <w:tc>
          <w:tcPr>
            <w:tcW w:w="226" w:type="pct"/>
            <w:tcBorders>
              <w:tl2br w:val="nil"/>
              <w:tr2bl w:val="nil"/>
            </w:tcBorders>
            <w:vAlign w:val="center"/>
          </w:tcPr>
          <w:p w14:paraId="055C00C3">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符合</w:t>
            </w:r>
          </w:p>
        </w:tc>
      </w:tr>
      <w:tr w14:paraId="09807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80" w:type="pct"/>
            <w:vMerge w:val="restart"/>
            <w:tcBorders>
              <w:tl2br w:val="nil"/>
              <w:tr2bl w:val="nil"/>
            </w:tcBorders>
            <w:vAlign w:val="center"/>
          </w:tcPr>
          <w:p w14:paraId="518053BA">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ZH23128120004</w:t>
            </w:r>
          </w:p>
        </w:tc>
        <w:tc>
          <w:tcPr>
            <w:tcW w:w="273" w:type="pct"/>
            <w:vMerge w:val="restart"/>
            <w:tcBorders>
              <w:tl2br w:val="nil"/>
              <w:tr2bl w:val="nil"/>
            </w:tcBorders>
            <w:vAlign w:val="center"/>
          </w:tcPr>
          <w:p w14:paraId="4101719E">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安达市水环境城镇生活</w:t>
            </w:r>
          </w:p>
          <w:p w14:paraId="15079879">
            <w:pPr>
              <w:widowControl/>
              <w:adjustRightInd/>
              <w:snapToGrid/>
              <w:spacing w:after="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污染重点管控区</w:t>
            </w:r>
          </w:p>
        </w:tc>
        <w:tc>
          <w:tcPr>
            <w:tcW w:w="185" w:type="pct"/>
            <w:vMerge w:val="restart"/>
            <w:tcBorders>
              <w:tl2br w:val="nil"/>
              <w:tr2bl w:val="nil"/>
            </w:tcBorders>
            <w:vAlign w:val="center"/>
          </w:tcPr>
          <w:p w14:paraId="66DC833D">
            <w:pPr>
              <w:widowControl/>
              <w:adjustRightInd/>
              <w:snapToGrid/>
              <w:spacing w:after="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重点</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管控单元</w:t>
            </w:r>
          </w:p>
        </w:tc>
        <w:tc>
          <w:tcPr>
            <w:tcW w:w="207" w:type="pct"/>
            <w:tcBorders>
              <w:tl2br w:val="nil"/>
              <w:tr2bl w:val="nil"/>
            </w:tcBorders>
            <w:vAlign w:val="center"/>
          </w:tcPr>
          <w:p w14:paraId="4EE95CA2">
            <w:pPr>
              <w:widowControl w:val="0"/>
              <w:adjustRightInd/>
              <w:snapToGrid/>
              <w:spacing w:after="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空间布局约束</w:t>
            </w:r>
          </w:p>
        </w:tc>
        <w:tc>
          <w:tcPr>
            <w:tcW w:w="2201" w:type="pct"/>
            <w:tcBorders>
              <w:tl2br w:val="nil"/>
              <w:tr2bl w:val="nil"/>
            </w:tcBorders>
            <w:vAlign w:val="center"/>
          </w:tcPr>
          <w:p w14:paraId="6D051247">
            <w:pPr>
              <w:keepNext w:val="0"/>
              <w:keepLines w:val="0"/>
              <w:pageBreakBefore w:val="0"/>
              <w:widowControl w:val="0"/>
              <w:kinsoku/>
              <w:wordWrap/>
              <w:overflowPunct/>
              <w:topLinePunct w:val="0"/>
              <w:bidi w:val="0"/>
              <w:adjustRightInd/>
              <w:snapToGrid/>
              <w:spacing w:after="0"/>
              <w:ind w:right="0" w:rightChars="0" w:firstLine="408" w:firstLineChars="200"/>
              <w:jc w:val="both"/>
              <w:textAlignment w:val="auto"/>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1.执行除</w:t>
            </w:r>
            <w:r>
              <w:rPr>
                <w:rFonts w:hint="eastAsia"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干旱地区</w:t>
            </w:r>
            <w:r>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t>外，新建城区应全面实行雨污分流，鼓励对初期雨水进行收集、处理和资源化利用。2.大气环境布局敏感重点管控区同时执行（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c>
          <w:tcPr>
            <w:tcW w:w="1324" w:type="pct"/>
            <w:vMerge w:val="restart"/>
            <w:tcBorders>
              <w:tl2br w:val="nil"/>
              <w:tr2bl w:val="nil"/>
            </w:tcBorders>
            <w:vAlign w:val="center"/>
          </w:tcPr>
          <w:p w14:paraId="1C501573">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本项目不涉及销售、燃用高污染燃料，未建设高污染燃料的设施。</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不属于</w:t>
            </w:r>
            <w:r>
              <w:rPr>
                <w:rFonts w:hint="default" w:ascii="Times New Roman" w:hAnsi="Times New Roman" w:eastAsia="宋体" w:cs="Times New Roman"/>
                <w:color w:val="000000" w:themeColor="text1"/>
                <w:kern w:val="0"/>
                <w:sz w:val="21"/>
                <w:szCs w:val="21"/>
                <w:highlight w:val="none"/>
                <w:lang w:val="zh-CN" w:eastAsia="zh-CN"/>
                <w14:textFill>
                  <w14:solidFill>
                    <w14:schemeClr w14:val="tx1"/>
                  </w14:solidFill>
                </w14:textFill>
              </w:rPr>
              <w:t>“两高”行业</w:t>
            </w:r>
            <w:r>
              <w:rPr>
                <w:rFonts w:hint="eastAsia" w:ascii="Times New Roman" w:hAnsi="Times New Roman" w:eastAsia="宋体" w:cs="Times New Roman"/>
                <w:color w:val="000000" w:themeColor="text1"/>
                <w:kern w:val="0"/>
                <w:sz w:val="21"/>
                <w:szCs w:val="21"/>
                <w:highlight w:val="none"/>
                <w:lang w:val="zh-CN" w:eastAsia="zh-CN"/>
                <w14:textFill>
                  <w14:solidFill>
                    <w14:schemeClr w14:val="tx1"/>
                  </w14:solidFill>
                </w14:textFill>
              </w:rPr>
              <w:t>。</w:t>
            </w:r>
          </w:p>
          <w:p w14:paraId="2782554E">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施工期、退役期废弃管道清管废水、新建管道试压废水由罐车拉运至</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进行处理，</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处理后的污水指标满足《大庆油田地面工程建设设计规定》</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（Q/SYDQ0639-2015）、《碎屑岩油藏注水水质指标技术要求及分析方法》（SY/T5329-2022）标准要求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后回注地下开采油层，不外排。</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施工期生活污水排入附近计量间、场站等已建防渗旱厕，经排污罐车抽排至高平4号污水站，排入大庆市净源环保科技有限公司处理。</w:t>
            </w:r>
          </w:p>
          <w:p w14:paraId="5549552A">
            <w:pPr>
              <w:widowControl w:val="0"/>
              <w:autoSpaceDE w:val="0"/>
              <w:autoSpaceDN w:val="0"/>
              <w:adjustRightInd w:val="0"/>
              <w:snapToGrid/>
              <w:spacing w:beforeLines="50" w:after="0" w:afterLines="20" w:line="360" w:lineRule="auto"/>
              <w:ind w:firstLine="0" w:firstLineChars="0"/>
              <w:jc w:val="center"/>
              <w:textAlignment w:val="baseline"/>
              <w:rPr>
                <w:rFonts w:hint="eastAsia" w:ascii="宋体" w:hAnsi="Times New Roman" w:eastAsia="宋体" w:cs="宋体"/>
                <w:b/>
                <w:color w:val="000000" w:themeColor="text1"/>
                <w:kern w:val="2"/>
                <w:sz w:val="24"/>
                <w:szCs w:val="24"/>
                <w:highlight w:val="none"/>
                <w:lang w:val="en-US" w:eastAsia="zh-CN" w:bidi="ar-SA"/>
                <w14:textFill>
                  <w14:solidFill>
                    <w14:schemeClr w14:val="tx1"/>
                  </w14:solidFill>
                </w14:textFill>
              </w:rPr>
            </w:pPr>
          </w:p>
        </w:tc>
        <w:tc>
          <w:tcPr>
            <w:tcW w:w="226" w:type="pct"/>
            <w:tcBorders>
              <w:tl2br w:val="nil"/>
              <w:tr2bl w:val="nil"/>
            </w:tcBorders>
            <w:vAlign w:val="center"/>
          </w:tcPr>
          <w:p w14:paraId="44FB8F3F">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符</w:t>
            </w:r>
          </w:p>
          <w:p w14:paraId="08E8407E">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合</w:t>
            </w:r>
          </w:p>
        </w:tc>
      </w:tr>
      <w:tr w14:paraId="191A0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80" w:type="pct"/>
            <w:vMerge w:val="continue"/>
            <w:tcBorders>
              <w:tl2br w:val="nil"/>
              <w:tr2bl w:val="nil"/>
            </w:tcBorders>
            <w:vAlign w:val="center"/>
          </w:tcPr>
          <w:p w14:paraId="2B5E1B03">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p>
        </w:tc>
        <w:tc>
          <w:tcPr>
            <w:tcW w:w="273" w:type="pct"/>
            <w:vMerge w:val="continue"/>
            <w:tcBorders>
              <w:tl2br w:val="nil"/>
              <w:tr2bl w:val="nil"/>
            </w:tcBorders>
            <w:vAlign w:val="center"/>
          </w:tcPr>
          <w:p w14:paraId="2F2DFEDC">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85" w:type="pct"/>
            <w:vMerge w:val="continue"/>
            <w:tcBorders>
              <w:tl2br w:val="nil"/>
              <w:tr2bl w:val="nil"/>
            </w:tcBorders>
            <w:vAlign w:val="center"/>
          </w:tcPr>
          <w:p w14:paraId="7A9392D1">
            <w:pPr>
              <w:widowControl/>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07" w:type="pct"/>
            <w:tcBorders>
              <w:tl2br w:val="nil"/>
              <w:tr2bl w:val="nil"/>
            </w:tcBorders>
            <w:vAlign w:val="center"/>
          </w:tcPr>
          <w:p w14:paraId="17E9C2D6">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污染物排放管控</w:t>
            </w:r>
          </w:p>
        </w:tc>
        <w:tc>
          <w:tcPr>
            <w:tcW w:w="2201" w:type="pct"/>
            <w:tcBorders>
              <w:tl2br w:val="nil"/>
              <w:tr2bl w:val="nil"/>
            </w:tcBorders>
            <w:vAlign w:val="center"/>
          </w:tcPr>
          <w:p w14:paraId="46747466">
            <w:pPr>
              <w:keepNext w:val="0"/>
              <w:keepLines w:val="0"/>
              <w:pageBreakBefore w:val="0"/>
              <w:widowControl w:val="0"/>
              <w:kinsoku/>
              <w:wordWrap/>
              <w:overflowPunct/>
              <w:topLinePunct w:val="0"/>
              <w:bidi w:val="0"/>
              <w:adjustRightInd/>
              <w:snapToGrid/>
              <w:spacing w:after="0"/>
              <w:ind w:right="0" w:rightChars="0" w:firstLine="408" w:firstLineChars="200"/>
              <w:jc w:val="both"/>
              <w:textAlignment w:val="auto"/>
              <w:rPr>
                <w:rFonts w:hint="default" w:ascii="Times New Roman" w:hAnsi="Times New Roman" w:eastAsia="宋体" w:cs="Times New Roman"/>
                <w:color w:val="000000" w:themeColor="text1"/>
                <w:spacing w:val="-3"/>
                <w:kern w:val="0"/>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t>1.（1）新区污水管网规划建设应当与城市开发同步推进，除干旱地区外均实行雨污分流。</w:t>
            </w:r>
            <w:r>
              <w:rPr>
                <w:rFonts w:hint="eastAsia"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t>强化城中村、老旧城区和城乡结合部污水截流、收集。（3）推进合流制排水系统雨污分流改造，难以改造的，应采取截流、调蓄和治理等措施：推进现有污水处理设施配套管网建设：进一步提高城市、县城生活污水收集处理效能。（4）县级以上人民政府应当合理确定城镇排水与污水处理设施建设标准，统筹安排管网、泵站、污水处理厂以及污泥处理处置、再生水利用、雨水调蓄和排放等排水与污水处理设施建设和改造，提高城镇污水收集率和处理率。2.大气环境布局敏感重点管控区同时执行（1）对以煤、石焦油、渣油、重油等为燃料的锅炉和工业炉窑，加快使用清洁低碳能源以及工厂余热、电力热力等进行替代。（3）到2025年，在用65蒸吨/小时以上的燃煤锅炉（含电力）实现超低排放，钢铁企业基本实现超低排放。</w:t>
            </w:r>
          </w:p>
        </w:tc>
        <w:tc>
          <w:tcPr>
            <w:tcW w:w="1324" w:type="pct"/>
            <w:vMerge w:val="continue"/>
            <w:tcBorders>
              <w:tl2br w:val="nil"/>
              <w:tr2bl w:val="nil"/>
            </w:tcBorders>
            <w:vAlign w:val="center"/>
          </w:tcPr>
          <w:p w14:paraId="4730441B">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0E2C3960">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w:t>
            </w:r>
          </w:p>
          <w:p w14:paraId="0A385D94">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合</w:t>
            </w:r>
          </w:p>
        </w:tc>
      </w:tr>
      <w:tr w14:paraId="69CA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80" w:type="pct"/>
            <w:vMerge w:val="continue"/>
            <w:tcBorders>
              <w:tl2br w:val="nil"/>
              <w:tr2bl w:val="nil"/>
            </w:tcBorders>
            <w:vAlign w:val="center"/>
          </w:tcPr>
          <w:p w14:paraId="00BE5AC8">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p>
        </w:tc>
        <w:tc>
          <w:tcPr>
            <w:tcW w:w="273" w:type="pct"/>
            <w:vMerge w:val="continue"/>
            <w:tcBorders>
              <w:tl2br w:val="nil"/>
              <w:tr2bl w:val="nil"/>
            </w:tcBorders>
            <w:vAlign w:val="center"/>
          </w:tcPr>
          <w:p w14:paraId="3DDCD2CB">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85" w:type="pct"/>
            <w:vMerge w:val="continue"/>
            <w:tcBorders>
              <w:tl2br w:val="nil"/>
              <w:tr2bl w:val="nil"/>
            </w:tcBorders>
            <w:vAlign w:val="center"/>
          </w:tcPr>
          <w:p w14:paraId="01A9781A">
            <w:pPr>
              <w:widowControl/>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07" w:type="pct"/>
            <w:tcBorders>
              <w:tl2br w:val="nil"/>
              <w:tr2bl w:val="nil"/>
            </w:tcBorders>
            <w:vAlign w:val="center"/>
          </w:tcPr>
          <w:p w14:paraId="6BC1164F">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环境风险防控</w:t>
            </w:r>
          </w:p>
        </w:tc>
        <w:tc>
          <w:tcPr>
            <w:tcW w:w="2201" w:type="pct"/>
            <w:tcBorders>
              <w:tl2br w:val="nil"/>
              <w:tr2bl w:val="nil"/>
            </w:tcBorders>
            <w:vAlign w:val="center"/>
          </w:tcPr>
          <w:p w14:paraId="1439E793">
            <w:pPr>
              <w:keepNext w:val="0"/>
              <w:keepLines w:val="0"/>
              <w:pageBreakBefore w:val="0"/>
              <w:widowControl w:val="0"/>
              <w:kinsoku/>
              <w:wordWrap/>
              <w:overflowPunct/>
              <w:topLinePunct w:val="0"/>
              <w:bidi w:val="0"/>
              <w:adjustRightInd/>
              <w:snapToGrid/>
              <w:spacing w:after="0"/>
              <w:ind w:right="0" w:rightChars="0" w:firstLine="408" w:firstLineChars="200"/>
              <w:jc w:val="both"/>
              <w:textAlignment w:val="auto"/>
              <w:rPr>
                <w:rFonts w:hint="default"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t>1.大气环境布局敏感重点管控区同时执行禁止在居民区、学校、医疗和养老机构等周边新建有色金属冶炼、焦化等行业企业。2.高污染燃料禁燃区同时执行（1）在禁燃区内，禁止销售、燃用高污染燃料：禁止新建、扩建燃用高污染燃料的设施，已建成的，应当在城市人民政府规定的期限内改用天然气、页岩气、液化石油气、电或者其他清洁能源。（2）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1324" w:type="pct"/>
            <w:vMerge w:val="continue"/>
            <w:tcBorders>
              <w:tl2br w:val="nil"/>
              <w:tr2bl w:val="nil"/>
            </w:tcBorders>
            <w:vAlign w:val="center"/>
          </w:tcPr>
          <w:p w14:paraId="42066BE7">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26" w:type="pct"/>
            <w:tcBorders>
              <w:tl2br w:val="nil"/>
              <w:tr2bl w:val="nil"/>
            </w:tcBorders>
            <w:vAlign w:val="center"/>
          </w:tcPr>
          <w:p w14:paraId="5BFFD4C9">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w:t>
            </w:r>
          </w:p>
          <w:p w14:paraId="71CB4542">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合</w:t>
            </w:r>
          </w:p>
        </w:tc>
      </w:tr>
      <w:tr w14:paraId="73E52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80" w:type="pct"/>
            <w:vMerge w:val="restart"/>
            <w:tcBorders>
              <w:tl2br w:val="nil"/>
              <w:tr2bl w:val="nil"/>
            </w:tcBorders>
            <w:vAlign w:val="center"/>
          </w:tcPr>
          <w:p w14:paraId="52809159">
            <w:pPr>
              <w:keepLines w:val="0"/>
              <w:pageBreakBefore w:val="0"/>
              <w:widowControl w:val="0"/>
              <w:topLinePunct w:val="0"/>
              <w:autoSpaceDE w:val="0"/>
              <w:autoSpaceDN w:val="0"/>
              <w:bidi w:val="0"/>
              <w:adjustRightInd w:val="0"/>
              <w:snapToGrid/>
              <w:spacing w:after="0" w:line="240" w:lineRule="auto"/>
              <w:ind w:firstLine="0" w:firstLineChars="0"/>
              <w:jc w:val="cente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ZH23128120005</w:t>
            </w:r>
          </w:p>
        </w:tc>
        <w:tc>
          <w:tcPr>
            <w:tcW w:w="273" w:type="pct"/>
            <w:vMerge w:val="restart"/>
            <w:tcBorders>
              <w:tl2br w:val="nil"/>
              <w:tr2bl w:val="nil"/>
            </w:tcBorders>
            <w:vAlign w:val="center"/>
          </w:tcPr>
          <w:p w14:paraId="06F9CA56">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安达市水环境农业污染 </w:t>
            </w:r>
          </w:p>
          <w:p w14:paraId="3152C9FE">
            <w:pPr>
              <w:widowControl/>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重点管控区</w:t>
            </w:r>
          </w:p>
        </w:tc>
        <w:tc>
          <w:tcPr>
            <w:tcW w:w="185" w:type="pct"/>
            <w:vMerge w:val="restart"/>
            <w:tcBorders>
              <w:tl2br w:val="nil"/>
              <w:tr2bl w:val="nil"/>
            </w:tcBorders>
            <w:vAlign w:val="center"/>
          </w:tcPr>
          <w:p w14:paraId="5AE5EAB3">
            <w:pPr>
              <w:widowControl/>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重点管控单元</w:t>
            </w:r>
          </w:p>
          <w:p w14:paraId="1AF79DB1">
            <w:pPr>
              <w:widowControl/>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07" w:type="pct"/>
            <w:tcBorders>
              <w:tl2br w:val="nil"/>
              <w:tr2bl w:val="nil"/>
            </w:tcBorders>
            <w:vAlign w:val="center"/>
          </w:tcPr>
          <w:p w14:paraId="5398B102">
            <w:pPr>
              <w:widowControl w:val="0"/>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空间布局约束</w:t>
            </w:r>
          </w:p>
        </w:tc>
        <w:tc>
          <w:tcPr>
            <w:tcW w:w="2201" w:type="pct"/>
            <w:tcBorders>
              <w:tl2br w:val="nil"/>
              <w:tr2bl w:val="nil"/>
            </w:tcBorders>
            <w:vAlign w:val="center"/>
          </w:tcPr>
          <w:p w14:paraId="3DFA8244">
            <w:pPr>
              <w:keepNext w:val="0"/>
              <w:keepLines w:val="0"/>
              <w:pageBreakBefore w:val="0"/>
              <w:widowControl w:val="0"/>
              <w:kinsoku/>
              <w:wordWrap/>
              <w:overflowPunct/>
              <w:topLinePunct w:val="0"/>
              <w:bidi w:val="0"/>
              <w:adjustRightInd/>
              <w:snapToGrid/>
              <w:spacing w:after="0"/>
              <w:ind w:right="0" w:rightChars="0" w:firstLine="408" w:firstLineChars="200"/>
              <w:jc w:val="both"/>
              <w:textAlignment w:val="auto"/>
              <w:rPr>
                <w:rFonts w:hint="default"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kern w:val="0"/>
                <w:sz w:val="21"/>
                <w:szCs w:val="21"/>
                <w:highlight w:val="none"/>
                <w:lang w:val="en-US" w:eastAsia="zh-CN"/>
                <w14:textFill>
                  <w14:solidFill>
                    <w14:schemeClr w14:val="tx1"/>
                  </w14:solidFill>
                </w14:textFill>
              </w:rPr>
              <w:t>执行1.科学划定畜禽养殖禁养区。2.加快农业结构调整。松嫩平原和三江平原等地下水易受污染地区优先种植需肥需药量低、环境效益突出的农作物；在西部干旱区发展谷子、高粱等耐旱杂粮种植；在北部四、五积温区开展米豆麦轮作，促进化肥需求低的农作物面积恢复性增长。</w:t>
            </w:r>
          </w:p>
        </w:tc>
        <w:tc>
          <w:tcPr>
            <w:tcW w:w="1324" w:type="pct"/>
            <w:tcBorders>
              <w:tl2br w:val="nil"/>
              <w:tr2bl w:val="nil"/>
            </w:tcBorders>
            <w:vAlign w:val="center"/>
          </w:tcPr>
          <w:p w14:paraId="09773A95">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本项目为管道改造工程，属于陆地石油开采项目的一部分，遵循以生态环境保护为主，减少了对土地资源的占用。管道施工临时占用的草地</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（非基本草原）、耕地（基本农田）、林地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，在施工结束后及时平整进行人工植被恢复，播撒适应当地环境生长的草籽，耕地进行复垦</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，对移栽的林木进行恢复</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226" w:type="pct"/>
            <w:tcBorders>
              <w:tl2br w:val="nil"/>
              <w:tr2bl w:val="nil"/>
            </w:tcBorders>
            <w:vAlign w:val="center"/>
          </w:tcPr>
          <w:p w14:paraId="3AA4F626">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w:t>
            </w:r>
          </w:p>
          <w:p w14:paraId="29825A34">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合</w:t>
            </w:r>
          </w:p>
        </w:tc>
      </w:tr>
      <w:tr w14:paraId="7194B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80" w:type="pct"/>
            <w:vMerge w:val="continue"/>
            <w:tcBorders>
              <w:tl2br w:val="nil"/>
              <w:tr2bl w:val="nil"/>
            </w:tcBorders>
            <w:vAlign w:val="center"/>
          </w:tcPr>
          <w:p w14:paraId="63F255E6">
            <w:pPr>
              <w:keepLines w:val="0"/>
              <w:pageBreakBefore w:val="0"/>
              <w:widowControl w:val="0"/>
              <w:topLinePunct w:val="0"/>
              <w:autoSpaceDE w:val="0"/>
              <w:autoSpaceDN w:val="0"/>
              <w:bidi w:val="0"/>
              <w:adjustRightInd w:val="0"/>
              <w:snapToGrid/>
              <w:spacing w:after="0" w:line="240" w:lineRule="auto"/>
              <w:ind w:firstLine="0" w:firstLineChars="0"/>
              <w:jc w:val="center"/>
              <w:rPr>
                <w:color w:val="000000" w:themeColor="text1"/>
                <w14:textFill>
                  <w14:solidFill>
                    <w14:schemeClr w14:val="tx1"/>
                  </w14:solidFill>
                </w14:textFill>
              </w:rPr>
            </w:pPr>
          </w:p>
        </w:tc>
        <w:tc>
          <w:tcPr>
            <w:tcW w:w="273" w:type="pct"/>
            <w:vMerge w:val="continue"/>
            <w:tcBorders>
              <w:tl2br w:val="nil"/>
              <w:tr2bl w:val="nil"/>
            </w:tcBorders>
            <w:vAlign w:val="center"/>
          </w:tcPr>
          <w:p w14:paraId="6CEA8A6B">
            <w:pPr>
              <w:keepLines w:val="0"/>
              <w:pageBreakBefore w:val="0"/>
              <w:widowControl w:val="0"/>
              <w:topLinePunct w:val="0"/>
              <w:autoSpaceDE w:val="0"/>
              <w:autoSpaceDN w:val="0"/>
              <w:bidi w:val="0"/>
              <w:adjustRightInd w:val="0"/>
              <w:snapToGrid/>
              <w:spacing w:after="0" w:line="240" w:lineRule="auto"/>
              <w:ind w:firstLine="0" w:firstLineChars="0"/>
              <w:jc w:val="center"/>
              <w:rPr>
                <w:color w:val="000000" w:themeColor="text1"/>
                <w14:textFill>
                  <w14:solidFill>
                    <w14:schemeClr w14:val="tx1"/>
                  </w14:solidFill>
                </w14:textFill>
              </w:rPr>
            </w:pPr>
          </w:p>
        </w:tc>
        <w:tc>
          <w:tcPr>
            <w:tcW w:w="185" w:type="pct"/>
            <w:vMerge w:val="continue"/>
            <w:tcBorders>
              <w:tl2br w:val="nil"/>
              <w:tr2bl w:val="nil"/>
            </w:tcBorders>
            <w:vAlign w:val="center"/>
          </w:tcPr>
          <w:p w14:paraId="3F42BE6A">
            <w:pPr>
              <w:keepLines w:val="0"/>
              <w:pageBreakBefore w:val="0"/>
              <w:widowControl w:val="0"/>
              <w:topLinePunct w:val="0"/>
              <w:autoSpaceDE w:val="0"/>
              <w:autoSpaceDN w:val="0"/>
              <w:bidi w:val="0"/>
              <w:adjustRightInd w:val="0"/>
              <w:snapToGrid/>
              <w:spacing w:after="0" w:line="240" w:lineRule="auto"/>
              <w:ind w:firstLine="0" w:firstLineChars="0"/>
              <w:jc w:val="center"/>
              <w:rPr>
                <w:color w:val="000000" w:themeColor="text1"/>
                <w14:textFill>
                  <w14:solidFill>
                    <w14:schemeClr w14:val="tx1"/>
                  </w14:solidFill>
                </w14:textFill>
              </w:rPr>
            </w:pPr>
          </w:p>
        </w:tc>
        <w:tc>
          <w:tcPr>
            <w:tcW w:w="207" w:type="pct"/>
            <w:tcBorders>
              <w:tl2br w:val="nil"/>
              <w:tr2bl w:val="nil"/>
            </w:tcBorders>
            <w:vAlign w:val="center"/>
          </w:tcPr>
          <w:p w14:paraId="7E1DE4AB">
            <w:pPr>
              <w:widowControl w:val="0"/>
              <w:adjustRightInd/>
              <w:snapToGrid/>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污染物排放管控</w:t>
            </w:r>
          </w:p>
        </w:tc>
        <w:tc>
          <w:tcPr>
            <w:tcW w:w="2201" w:type="pct"/>
            <w:tcBorders>
              <w:tl2br w:val="nil"/>
              <w:tr2bl w:val="nil"/>
            </w:tcBorders>
            <w:vAlign w:val="center"/>
          </w:tcPr>
          <w:p w14:paraId="2CF9F4F9">
            <w:pPr>
              <w:keepNext w:val="0"/>
              <w:keepLines w:val="0"/>
              <w:pageBreakBefore w:val="0"/>
              <w:widowControl w:val="0"/>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 xml:space="preserve">  执行 1.支持规模化畜禽养殖场（小区）开展标准化改造和建设，提高畜禽粪污收集和处理机械化水平，实施雨污分流、粪污资源化利用，控制畜禽养殖污染排放。 2.畜禽散养密集区所在地县级人民政府应当组织对畜禽粪便、污水进行集中处理利用，督促乡镇人民政府建设或者配备污染防治配套设施。3.全面加强农业面源污染防控，科学合理使用农业投入品，提高使用效率，减少农业内源性污染。</w:t>
            </w:r>
          </w:p>
        </w:tc>
        <w:tc>
          <w:tcPr>
            <w:tcW w:w="1324" w:type="pct"/>
            <w:tcBorders>
              <w:tl2br w:val="nil"/>
              <w:tr2bl w:val="nil"/>
            </w:tcBorders>
            <w:vAlign w:val="center"/>
          </w:tcPr>
          <w:p w14:paraId="52D6D59B">
            <w:pPr>
              <w:keepLines w:val="0"/>
              <w:pageBreakBefore w:val="0"/>
              <w:widowControl w:val="0"/>
              <w:topLinePunct w:val="0"/>
              <w:autoSpaceDE w:val="0"/>
              <w:autoSpaceDN w:val="0"/>
              <w:bidi w:val="0"/>
              <w:adjustRightInd w:val="0"/>
              <w:snapToGrid/>
              <w:spacing w:after="0" w:line="240" w:lineRule="auto"/>
              <w:ind w:firstLine="420" w:firstLineChars="200"/>
              <w:jc w:val="both"/>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项目施工期、退役期废弃管道清管废水、新建管道试压废水由罐车拉运至宋一联含油污水处理站进行处理，处理后的污水指标满足《大庆油田地面工程建设设计规定》（Q/SYDQ0639-2015）、《碎屑岩油藏注水水质指标技术要求及分析方法》（SY/T5329-2022）标准要求后回注地下开采油层，不外排。施工期生活污水排入附近计量间、场站等已建防渗旱厕，经排污罐车抽排至高平4号污水站，排入大庆市净源环保科技有限公司处理。</w:t>
            </w:r>
          </w:p>
        </w:tc>
        <w:tc>
          <w:tcPr>
            <w:tcW w:w="226" w:type="pct"/>
            <w:tcBorders>
              <w:tl2br w:val="nil"/>
              <w:tr2bl w:val="nil"/>
            </w:tcBorders>
            <w:vAlign w:val="center"/>
          </w:tcPr>
          <w:p w14:paraId="28682DDF">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w:t>
            </w:r>
          </w:p>
          <w:p w14:paraId="0DFC57B0">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合</w:t>
            </w:r>
          </w:p>
        </w:tc>
      </w:tr>
      <w:tr w14:paraId="5B84C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580" w:type="pct"/>
            <w:vMerge w:val="continue"/>
            <w:tcBorders>
              <w:tl2br w:val="nil"/>
              <w:tr2bl w:val="nil"/>
            </w:tcBorders>
            <w:vAlign w:val="center"/>
          </w:tcPr>
          <w:p w14:paraId="0724A6D1">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73" w:type="pct"/>
            <w:vMerge w:val="continue"/>
            <w:tcBorders>
              <w:tl2br w:val="nil"/>
              <w:tr2bl w:val="nil"/>
            </w:tcBorders>
            <w:vAlign w:val="center"/>
          </w:tcPr>
          <w:p w14:paraId="37BAC03E">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185" w:type="pct"/>
            <w:vMerge w:val="continue"/>
            <w:tcBorders>
              <w:tl2br w:val="nil"/>
              <w:tr2bl w:val="nil"/>
            </w:tcBorders>
            <w:vAlign w:val="center"/>
          </w:tcPr>
          <w:p w14:paraId="15EC7CBE">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207" w:type="pct"/>
            <w:tcBorders>
              <w:tl2br w:val="nil"/>
              <w:tr2bl w:val="nil"/>
            </w:tcBorders>
            <w:vAlign w:val="center"/>
          </w:tcPr>
          <w:p w14:paraId="7095CECF">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资源开发效率要求</w:t>
            </w:r>
          </w:p>
        </w:tc>
        <w:tc>
          <w:tcPr>
            <w:tcW w:w="2201" w:type="pct"/>
            <w:tcBorders>
              <w:tl2br w:val="nil"/>
              <w:tr2bl w:val="nil"/>
            </w:tcBorders>
            <w:vAlign w:val="center"/>
          </w:tcPr>
          <w:p w14:paraId="37C4EB03">
            <w:pPr>
              <w:keepNext w:val="0"/>
              <w:keepLines w:val="0"/>
              <w:pageBreakBefore w:val="0"/>
              <w:widowControl/>
              <w:suppressLineNumbers w:val="0"/>
              <w:kinsoku/>
              <w:wordWrap/>
              <w:overflowPunct/>
              <w:topLinePunct w:val="0"/>
              <w:bidi w:val="0"/>
              <w:ind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高污染燃料禁燃区同时执行 1.在禁燃区内，禁止销售、燃用高污染燃料；禁止新建、扩建燃用高污染燃料的设施，已建成的，应当在城市人民政府规定的期限内改用天然气、页岩气、液化石油气、电或者其他清洁能源。2.城市建设应当统筹规划，在燃煤供热地区，推进热电联产和集中供热。在集中供热管网覆盖地区，禁止新建、扩建分散燃煤供热锅炉；已建成的不能达标排放的燃煤供热锅炉，应当在城市人民政府规定的期限内拆除。</w:t>
            </w:r>
          </w:p>
        </w:tc>
        <w:tc>
          <w:tcPr>
            <w:tcW w:w="1324" w:type="pct"/>
            <w:tcBorders>
              <w:tl2br w:val="nil"/>
              <w:tr2bl w:val="nil"/>
            </w:tcBorders>
            <w:vAlign w:val="center"/>
          </w:tcPr>
          <w:p w14:paraId="7814ED14">
            <w:pPr>
              <w:keepLines w:val="0"/>
              <w:pageBreakBefore w:val="0"/>
              <w:widowControl w:val="0"/>
              <w:topLinePunct w:val="0"/>
              <w:autoSpaceDE w:val="0"/>
              <w:autoSpaceDN w:val="0"/>
              <w:bidi w:val="0"/>
              <w:adjustRightInd w:val="0"/>
              <w:snapToGrid/>
              <w:spacing w:after="0" w:line="240" w:lineRule="auto"/>
              <w:ind w:firstLine="420" w:firstLineChars="200"/>
              <w:jc w:val="both"/>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本项目不涉及销售、燃用高污染燃料，未建设高污染燃料的设施。</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不属于</w:t>
            </w:r>
            <w:r>
              <w:rPr>
                <w:rFonts w:hint="default" w:ascii="Times New Roman" w:hAnsi="Times New Roman" w:eastAsia="宋体" w:cs="Times New Roman"/>
                <w:color w:val="000000" w:themeColor="text1"/>
                <w:kern w:val="0"/>
                <w:sz w:val="21"/>
                <w:szCs w:val="21"/>
                <w:highlight w:val="none"/>
                <w:lang w:val="zh-CN" w:eastAsia="zh-CN"/>
                <w14:textFill>
                  <w14:solidFill>
                    <w14:schemeClr w14:val="tx1"/>
                  </w14:solidFill>
                </w14:textFill>
              </w:rPr>
              <w:t>“两高”行业</w:t>
            </w:r>
            <w:r>
              <w:rPr>
                <w:rFonts w:hint="eastAsia" w:ascii="Times New Roman" w:hAnsi="Times New Roman" w:eastAsia="宋体" w:cs="Times New Roman"/>
                <w:color w:val="000000" w:themeColor="text1"/>
                <w:kern w:val="0"/>
                <w:sz w:val="21"/>
                <w:szCs w:val="21"/>
                <w:highlight w:val="none"/>
                <w:lang w:val="zh-CN" w:eastAsia="zh-CN"/>
                <w14:textFill>
                  <w14:solidFill>
                    <w14:schemeClr w14:val="tx1"/>
                  </w14:solidFill>
                </w14:textFill>
              </w:rPr>
              <w:t>。</w:t>
            </w:r>
          </w:p>
          <w:p w14:paraId="3DBBE2D9">
            <w:pPr>
              <w:keepLines w:val="0"/>
              <w:pageBreakBefore w:val="0"/>
              <w:widowControl w:val="0"/>
              <w:topLinePunct w:val="0"/>
              <w:autoSpaceDE w:val="0"/>
              <w:autoSpaceDN w:val="0"/>
              <w:bidi w:val="0"/>
              <w:adjustRightInd w:val="0"/>
              <w:snapToGrid/>
              <w:spacing w:after="0" w:line="240" w:lineRule="auto"/>
              <w:ind w:firstLine="420" w:firstLineChars="200"/>
              <w:jc w:val="both"/>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本项目不涉及20蒸吨/小时以下锅炉及民用燃煤设备。</w:t>
            </w:r>
          </w:p>
        </w:tc>
        <w:tc>
          <w:tcPr>
            <w:tcW w:w="226" w:type="pct"/>
            <w:tcBorders>
              <w:tl2br w:val="nil"/>
              <w:tr2bl w:val="nil"/>
            </w:tcBorders>
            <w:vAlign w:val="center"/>
          </w:tcPr>
          <w:p w14:paraId="63D861BA">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w:t>
            </w:r>
          </w:p>
          <w:p w14:paraId="2EF1AD3A">
            <w:pPr>
              <w:keepLines w:val="0"/>
              <w:pageBreakBefore w:val="0"/>
              <w:widowControl w:val="0"/>
              <w:topLinePunct w:val="0"/>
              <w:autoSpaceDE w:val="0"/>
              <w:autoSpaceDN w:val="0"/>
              <w:bidi w:val="0"/>
              <w:adjustRightInd w:val="0"/>
              <w:snapToGrid/>
              <w:spacing w:after="0"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合</w:t>
            </w:r>
          </w:p>
        </w:tc>
      </w:tr>
    </w:tbl>
    <w:p w14:paraId="7DBCC215">
      <w:pP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br w:type="page"/>
      </w:r>
    </w:p>
    <w:p w14:paraId="49B9BC24">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1.5.</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与环境保护相关法规政策符合性分析</w:t>
      </w:r>
    </w:p>
    <w:p w14:paraId="2860D6A3">
      <w:pPr>
        <w:keepNext w:val="0"/>
        <w:keepLines w:val="0"/>
        <w:pageBreakBefore w:val="0"/>
        <w:widowControl w:val="0"/>
        <w:kinsoku/>
        <w:wordWrap/>
        <w:overflowPunct w:val="0"/>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1.5.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1与《关于进一步加强石油天然气行业环境影响评价管理的通知》符合性分析</w:t>
      </w:r>
    </w:p>
    <w:p w14:paraId="1576A450">
      <w:pPr>
        <w:widowControl w:val="0"/>
        <w:overflowPunct w:val="0"/>
        <w:adjustRightInd w:val="0"/>
        <w:snapToGrid w:val="0"/>
        <w:spacing w:after="0" w:line="360" w:lineRule="auto"/>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本项目与《关于进一步加强石油天然气行业环境影响评价管理的通知》（环办环评函[2019]910号）符合性见表</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1E25536F">
      <w:pPr>
        <w:widowControl w:val="0"/>
        <w:adjustRightInd w:val="0"/>
        <w:snapToGrid w:val="0"/>
        <w:spacing w:after="0" w:line="240" w:lineRule="auto"/>
        <w:ind w:firstLine="482" w:firstLineChars="200"/>
        <w:jc w:val="cente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kern w:val="2"/>
          <w:sz w:val="24"/>
          <w:szCs w:val="24"/>
          <w:highlight w:val="none"/>
          <w:lang w:eastAsia="zh-CN"/>
          <w14:textFill>
            <w14:solidFill>
              <w14:schemeClr w14:val="tx1"/>
            </w14:solidFill>
          </w14:textFill>
        </w:rPr>
        <w:t>1.5-</w:t>
      </w:r>
      <w:r>
        <w:rPr>
          <w:rFonts w:hint="eastAsia"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 xml:space="preserve">  与</w:t>
      </w:r>
      <w:r>
        <w:rPr>
          <w:rFonts w:hint="default" w:ascii="Times New Roman" w:hAnsi="Times New Roman" w:eastAsia="宋体" w:cs="Times New Roman"/>
          <w:b/>
          <w:bCs/>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环办环评函[2019]910号</w:t>
      </w:r>
      <w:r>
        <w:rPr>
          <w:rFonts w:hint="default" w:ascii="Times New Roman" w:hAnsi="Times New Roman" w:eastAsia="宋体" w:cs="Times New Roman"/>
          <w:b/>
          <w:bCs/>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文符合性一览表</w:t>
      </w:r>
    </w:p>
    <w:tbl>
      <w:tblPr>
        <w:tblStyle w:val="18"/>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6"/>
        <w:gridCol w:w="4304"/>
        <w:gridCol w:w="7579"/>
        <w:gridCol w:w="1200"/>
      </w:tblGrid>
      <w:tr w14:paraId="27CAE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6" w:type="pct"/>
            <w:vAlign w:val="center"/>
          </w:tcPr>
          <w:p w14:paraId="7C3A3BDF">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序号</w:t>
            </w:r>
          </w:p>
        </w:tc>
        <w:tc>
          <w:tcPr>
            <w:tcW w:w="1514" w:type="pct"/>
            <w:vAlign w:val="center"/>
          </w:tcPr>
          <w:p w14:paraId="315EFCE4">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文件要求</w:t>
            </w:r>
          </w:p>
        </w:tc>
        <w:tc>
          <w:tcPr>
            <w:tcW w:w="2666" w:type="pct"/>
            <w:vAlign w:val="center"/>
          </w:tcPr>
          <w:p w14:paraId="7390F239">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符合性分析</w:t>
            </w:r>
          </w:p>
        </w:tc>
        <w:tc>
          <w:tcPr>
            <w:tcW w:w="422" w:type="pct"/>
            <w:vAlign w:val="center"/>
          </w:tcPr>
          <w:p w14:paraId="4EA8BC2C">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符合性</w:t>
            </w:r>
          </w:p>
        </w:tc>
      </w:tr>
      <w:tr w14:paraId="03C2D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96" w:type="pct"/>
            <w:vAlign w:val="center"/>
          </w:tcPr>
          <w:p w14:paraId="20361739">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w:t>
            </w:r>
          </w:p>
        </w:tc>
        <w:tc>
          <w:tcPr>
            <w:tcW w:w="1514" w:type="pct"/>
            <w:vAlign w:val="center"/>
          </w:tcPr>
          <w:p w14:paraId="0195EE66">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设施</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或者委托第三方处置的，应当论证其可行性和有效性。</w:t>
            </w:r>
          </w:p>
        </w:tc>
        <w:tc>
          <w:tcPr>
            <w:tcW w:w="2666" w:type="pct"/>
            <w:vAlign w:val="center"/>
          </w:tcPr>
          <w:p w14:paraId="6C383F9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本项目为</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第八采油厂2025年管网改造工程</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p w14:paraId="70ECE659">
            <w:pPr>
              <w:keepNext w:val="0"/>
              <w:keepLines w:val="0"/>
              <w:pageBreakBefore w:val="0"/>
              <w:widowControl w:val="0"/>
              <w:kinsoku/>
              <w:wordWrap/>
              <w:topLinePunct w:val="0"/>
              <w:bidi w:val="0"/>
              <w:adjustRightInd w:val="0"/>
              <w:snapToGrid w:val="0"/>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更换集油管道共计 20660m</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。拟更换</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施工涉及</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穿越工程17处</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。本项目属于“五、石油和天然气开采业-07、陆地石油开采0711”内部集输</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管道</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更换工程。</w:t>
            </w:r>
          </w:p>
          <w:p w14:paraId="4E036F96">
            <w:pPr>
              <w:keepNext w:val="0"/>
              <w:keepLines w:val="0"/>
              <w:pageBreakBefore w:val="0"/>
              <w:widowControl w:val="0"/>
              <w:kinsoku/>
              <w:wordWrap/>
              <w:topLinePunct w:val="0"/>
              <w:bidi w:val="0"/>
              <w:adjustRightInd w:val="0"/>
              <w:snapToGrid w:val="0"/>
              <w:spacing w:after="0"/>
              <w:ind w:firstLine="420" w:firstLineChars="200"/>
              <w:jc w:val="both"/>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②更换</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管道</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位于第</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八</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采油厂已开发区，已</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在</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章节中对现有工程环境影响进行回顾性评价，</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本项目主要为</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油田生</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集输管道</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。区块内临时占地生态恢复良好，未发现生态环境问题和环境风险隐患。</w:t>
            </w:r>
          </w:p>
          <w:p w14:paraId="78C910F3">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③</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本项目为集输管道更换工程，不属于滚动开发区块的产能项目。因此未对区块内已建场站排放的污染物进行分析。</w:t>
            </w:r>
          </w:p>
        </w:tc>
        <w:tc>
          <w:tcPr>
            <w:tcW w:w="422" w:type="pct"/>
            <w:vAlign w:val="center"/>
          </w:tcPr>
          <w:p w14:paraId="43AE2B43">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04CC3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6" w:type="pct"/>
            <w:vAlign w:val="center"/>
          </w:tcPr>
          <w:p w14:paraId="2A932286">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w:t>
            </w:r>
          </w:p>
        </w:tc>
        <w:tc>
          <w:tcPr>
            <w:tcW w:w="1514" w:type="pct"/>
            <w:vAlign w:val="center"/>
          </w:tcPr>
          <w:p w14:paraId="779DB772">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涉及向地表水体排放污染物的陆地石油气开采项目</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应当符合国家和地方污染物排放标准</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满足重点污染物排放总量控制要求</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2666" w:type="pct"/>
            <w:vAlign w:val="center"/>
          </w:tcPr>
          <w:p w14:paraId="5D07C662">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本项目不占用地表水体，本项目施工期、运营期产生的废水均不外排，不会对周围地表水体产生影响。</w:t>
            </w:r>
          </w:p>
        </w:tc>
        <w:tc>
          <w:tcPr>
            <w:tcW w:w="422" w:type="pct"/>
            <w:vAlign w:val="center"/>
          </w:tcPr>
          <w:p w14:paraId="0F4FBCB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2802A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6" w:type="pct"/>
            <w:vAlign w:val="center"/>
          </w:tcPr>
          <w:p w14:paraId="4C38AECD">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3</w:t>
            </w:r>
          </w:p>
        </w:tc>
        <w:tc>
          <w:tcPr>
            <w:tcW w:w="1514" w:type="pct"/>
            <w:vAlign w:val="center"/>
          </w:tcPr>
          <w:p w14:paraId="21D96625">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涉及废水回注的，应当论证回注的环境可行性，采取切实可行的地下水污染防治和监控措施，不得回注与油气开采无关的废水，严禁造成地下水污染。在相关行业污染控制标准发布前，回注的开采废水应当经处理并符合《</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碎屑岩油藏注水水质指标技术要求及分析方法</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SY/T5329）等相关标准要求后回注，同步采取切实可行措施防治污染。回注目的层应当为地质构造封闭地层，一般应当回注到现役油气藏或枯竭废弃油气藏。重点关注回注井井位合理性、过程控制有效性、风险防控系统性等，提出从源头到末端的全过程生态环境保护及风险防控措施、监控要求</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2666" w:type="pct"/>
            <w:vAlign w:val="center"/>
          </w:tcPr>
          <w:p w14:paraId="44A519A5">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施工期、退役期废弃管道清管废水、新建管道试压废水由罐车分别拉运至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进行处理，满足《大庆油田地面工程建设设计规定》（Q/SYDQ0639-2015）、《碎屑岩油藏注水水质指标技术要求及分析方法》（SY/T5329-2022）标准要求后，回注地下开采油层，不外排。</w:t>
            </w:r>
          </w:p>
        </w:tc>
        <w:tc>
          <w:tcPr>
            <w:tcW w:w="422" w:type="pct"/>
            <w:vAlign w:val="center"/>
          </w:tcPr>
          <w:p w14:paraId="708C75F4">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00677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96" w:type="pct"/>
            <w:vAlign w:val="center"/>
          </w:tcPr>
          <w:p w14:paraId="63C4993D">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4</w:t>
            </w:r>
          </w:p>
        </w:tc>
        <w:tc>
          <w:tcPr>
            <w:tcW w:w="1514" w:type="pct"/>
            <w:vAlign w:val="center"/>
          </w:tcPr>
          <w:p w14:paraId="6D9554FB">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666" w:type="pct"/>
            <w:vAlign w:val="center"/>
          </w:tcPr>
          <w:p w14:paraId="29FAF39B">
            <w:pPr>
              <w:keepNext w:val="0"/>
              <w:keepLines w:val="0"/>
              <w:pageBreakBefore w:val="0"/>
              <w:widowControl w:val="0"/>
              <w:kinsoku/>
              <w:wordWrap/>
              <w:topLinePunct w:val="0"/>
              <w:bidi w:val="0"/>
              <w:adjustRightInd w:val="0"/>
              <w:snapToGrid w:val="0"/>
              <w:spacing w:after="0"/>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项目施工期均在临时用地内进行，严格控制施工作业面宽度，施工采用机械开挖</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的</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方式</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在距离敏感点比较近时设置移动声屏障</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。项目施工过程中施工材料合理堆放，规范运输车辆行驶路线，采用</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字型作业法，禁止碾压和破坏占地外地表植被</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管沟挖、填方作业互补平衡，分层开挖，分层回填土方予以平整、压实</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对临时占地原有植被生态恢复和人工绿化，降低人为因素导致当地土壤盐碱化的趋势</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强化管理，减少人员随意</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踩踏</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造成的水土流失。最大程度减小对生态环境的不利影响，并在施工过程中加强防沙治沙措施</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治理水土流失</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有效降低生态环境影响。</w:t>
            </w:r>
          </w:p>
          <w:p w14:paraId="70A116AD">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项目不涉及钻井和压裂作业。</w:t>
            </w:r>
          </w:p>
        </w:tc>
        <w:tc>
          <w:tcPr>
            <w:tcW w:w="422" w:type="pct"/>
            <w:vAlign w:val="center"/>
          </w:tcPr>
          <w:p w14:paraId="1537FEF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77C52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96" w:type="pct"/>
            <w:vAlign w:val="center"/>
          </w:tcPr>
          <w:p w14:paraId="13877A5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5</w:t>
            </w:r>
          </w:p>
        </w:tc>
        <w:tc>
          <w:tcPr>
            <w:tcW w:w="1514" w:type="pct"/>
            <w:vAlign w:val="center"/>
          </w:tcPr>
          <w:p w14:paraId="515587C0">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油气企业应当加强风险防控，按规定编制突发环境事件应急预案，报所在地生态环境主管部门备案。</w:t>
            </w:r>
          </w:p>
        </w:tc>
        <w:tc>
          <w:tcPr>
            <w:tcW w:w="2666" w:type="pct"/>
            <w:vAlign w:val="center"/>
          </w:tcPr>
          <w:p w14:paraId="4393104D">
            <w:pPr>
              <w:widowControl w:val="0"/>
              <w:adjustRightInd/>
              <w:snapToGrid/>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制定有《</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环境突发事件专项应急预案》（2023版），主要包括应急组织机构及职责明确、监测与预警、应急处置与应急响应、恢复与重建、应急保障与培训等内容，</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并在2023年6月进行备案，备案编号230621-2023-010-L</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（备案文件见附件</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422" w:type="pct"/>
            <w:vAlign w:val="center"/>
          </w:tcPr>
          <w:p w14:paraId="5A6DDB8E">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bl>
    <w:p w14:paraId="1FB71B45">
      <w:pP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br w:type="page"/>
      </w:r>
    </w:p>
    <w:p w14:paraId="6FDBB39A">
      <w:pPr>
        <w:keepNext w:val="0"/>
        <w:keepLines w:val="0"/>
        <w:pageBreakBefore w:val="0"/>
        <w:widowControl w:val="0"/>
        <w:kinsoku/>
        <w:wordWrap/>
        <w:overflowPunct w:val="0"/>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1.5.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与《石油天然气开采业污染防治技术政策》符合性分析</w:t>
      </w:r>
    </w:p>
    <w:p w14:paraId="23D627DE">
      <w:pPr>
        <w:widowControl w:val="0"/>
        <w:overflowPunct w:val="0"/>
        <w:adjustRightInd w:val="0"/>
        <w:snapToGrid w:val="0"/>
        <w:spacing w:after="0" w:line="360" w:lineRule="auto"/>
        <w:ind w:firstLine="480" w:firstLineChars="200"/>
        <w:jc w:val="both"/>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与《石油天然气开采业污染防治技术政策》（环保部公告2012年第18号）</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符合性见表</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1.5-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6D156043">
      <w:pPr>
        <w:widowControl w:val="0"/>
        <w:adjustRightInd w:val="0"/>
        <w:snapToGrid w:val="0"/>
        <w:spacing w:after="0" w:line="240" w:lineRule="auto"/>
        <w:ind w:firstLine="482" w:firstLineChars="20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表1.5-</w:t>
      </w: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13</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与《石油天然气开采业污染防治技术政策》符合性</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4"/>
        <w:gridCol w:w="5142"/>
        <w:gridCol w:w="7917"/>
        <w:gridCol w:w="687"/>
      </w:tblGrid>
      <w:tr w14:paraId="780FE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725932F4">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序号</w:t>
            </w:r>
          </w:p>
        </w:tc>
        <w:tc>
          <w:tcPr>
            <w:tcW w:w="0" w:type="auto"/>
            <w:vAlign w:val="center"/>
          </w:tcPr>
          <w:p w14:paraId="6CD4DE5D">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相关要求</w:t>
            </w:r>
          </w:p>
        </w:tc>
        <w:tc>
          <w:tcPr>
            <w:tcW w:w="7917" w:type="dxa"/>
            <w:vAlign w:val="center"/>
          </w:tcPr>
          <w:p w14:paraId="0C178270">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本项目情况</w:t>
            </w:r>
          </w:p>
        </w:tc>
        <w:tc>
          <w:tcPr>
            <w:tcW w:w="687" w:type="dxa"/>
            <w:vAlign w:val="center"/>
          </w:tcPr>
          <w:p w14:paraId="5E67CCF2">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符合性</w:t>
            </w:r>
          </w:p>
        </w:tc>
      </w:tr>
      <w:tr w14:paraId="14527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39A4F6DC">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1</w:t>
            </w:r>
          </w:p>
        </w:tc>
        <w:tc>
          <w:tcPr>
            <w:tcW w:w="0" w:type="auto"/>
            <w:vAlign w:val="center"/>
          </w:tcPr>
          <w:p w14:paraId="5DDAE4D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到2015年末，行业新、改、扩建项目均采用清洁生产工艺和技术，工业废水回用率达到90%以上，工业固体废物资源化及无害化处理处置率达到100%。</w:t>
            </w:r>
          </w:p>
        </w:tc>
        <w:tc>
          <w:tcPr>
            <w:tcW w:w="7917" w:type="dxa"/>
            <w:vAlign w:val="center"/>
          </w:tcPr>
          <w:p w14:paraId="3E55CCDF">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本项目采用清洁生产的工艺和技术，工业废水回用率100%，工业固体废物资源化及无害化处理处置率达到100%。</w:t>
            </w:r>
          </w:p>
          <w:p w14:paraId="20A3A027">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废旧管道清管废水、</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试压废水</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由罐车拉运至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处理</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，达标后回注地下开采油层，不外排；施工期生活污水排入附近计量间等已建防渗旱厕，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经排污罐车抽排至高平4号污水站，排入大庆市净源环保科技有限公司处理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。施工期废水均不外排。</w:t>
            </w:r>
          </w:p>
          <w:p w14:paraId="4043DE14">
            <w:pPr>
              <w:keepLines w:val="0"/>
              <w:pageBreakBefore w:val="0"/>
              <w:widowControl w:val="0"/>
              <w:topLinePunct w:val="0"/>
              <w:autoSpaceDE w:val="0"/>
              <w:autoSpaceDN w:val="0"/>
              <w:bidi w:val="0"/>
              <w:adjustRightInd w:val="0"/>
              <w:snapToGrid/>
              <w:spacing w:after="0" w:line="240" w:lineRule="auto"/>
              <w:ind w:firstLine="420" w:firstLineChars="200"/>
              <w:jc w:val="both"/>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管道施工废料拉运至第</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八</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采油厂工业固废填埋场处理</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。废旧设备送至第八采油厂资产回收库。</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生活</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垃圾</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拉运至大庆城控电力有限公司焚烧处理。</w:t>
            </w:r>
          </w:p>
        </w:tc>
        <w:tc>
          <w:tcPr>
            <w:tcW w:w="687" w:type="dxa"/>
            <w:vAlign w:val="center"/>
          </w:tcPr>
          <w:p w14:paraId="28573839">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23D0A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7170EBFC">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2</w:t>
            </w:r>
          </w:p>
        </w:tc>
        <w:tc>
          <w:tcPr>
            <w:tcW w:w="0" w:type="auto"/>
            <w:vAlign w:val="center"/>
          </w:tcPr>
          <w:p w14:paraId="35A693B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油气田建设应总体规划，优化布局，整体开发，减少占地和油气损失，实现油气和废物的集中收集、处理处置。</w:t>
            </w:r>
          </w:p>
        </w:tc>
        <w:tc>
          <w:tcPr>
            <w:tcW w:w="7917" w:type="dxa"/>
            <w:vAlign w:val="center"/>
          </w:tcPr>
          <w:p w14:paraId="209995CE">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本项目为油田内部集输管道改造工程，主要在现有布局基础上进行管道更换，尽量减少临时占地。施工期废水、固体废物均得到妥善处置。</w:t>
            </w:r>
          </w:p>
          <w:p w14:paraId="7485D87A">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本项目运行期无废气、废水、固体废物等污染物产生及排放。</w:t>
            </w:r>
          </w:p>
        </w:tc>
        <w:tc>
          <w:tcPr>
            <w:tcW w:w="687" w:type="dxa"/>
            <w:vAlign w:val="center"/>
          </w:tcPr>
          <w:p w14:paraId="11AFF67B">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4ACDA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56E0F0E2">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3</w:t>
            </w:r>
          </w:p>
        </w:tc>
        <w:tc>
          <w:tcPr>
            <w:tcW w:w="0" w:type="auto"/>
            <w:vAlign w:val="center"/>
          </w:tcPr>
          <w:p w14:paraId="5D86FE3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油气田开发不得使用含有国际公约禁用化学物质的油气田化学剂，逐步淘汰微毒及以上油气田化学剂，鼓励使用无毒油气田化学剂</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7917" w:type="dxa"/>
            <w:vAlign w:val="center"/>
          </w:tcPr>
          <w:p w14:paraId="408D36D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本项目不使用油田化学剂</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687" w:type="dxa"/>
            <w:vAlign w:val="center"/>
          </w:tcPr>
          <w:p w14:paraId="24194FC5">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5D9F0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32D8FEE5">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4</w:t>
            </w:r>
          </w:p>
        </w:tc>
        <w:tc>
          <w:tcPr>
            <w:tcW w:w="0" w:type="auto"/>
            <w:vAlign w:val="center"/>
          </w:tcPr>
          <w:p w14:paraId="7EFDAF3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在油气集输过程中，应采用密闭流程，减少烃类气体排放。新、改、扩建油气田油气集输损耗率不高于0.5%</w:t>
            </w:r>
          </w:p>
        </w:tc>
        <w:tc>
          <w:tcPr>
            <w:tcW w:w="7917" w:type="dxa"/>
            <w:vAlign w:val="center"/>
          </w:tcPr>
          <w:p w14:paraId="4005042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本项目油气集输采用密闭流程，油田油气集输损耗率0.14175%，小于0.5%。</w:t>
            </w:r>
          </w:p>
        </w:tc>
        <w:tc>
          <w:tcPr>
            <w:tcW w:w="687" w:type="dxa"/>
            <w:vAlign w:val="center"/>
          </w:tcPr>
          <w:p w14:paraId="36496E7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37E64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0" w:type="auto"/>
            <w:vAlign w:val="center"/>
          </w:tcPr>
          <w:p w14:paraId="7D38ADA5">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5</w:t>
            </w:r>
          </w:p>
        </w:tc>
        <w:tc>
          <w:tcPr>
            <w:tcW w:w="0" w:type="auto"/>
            <w:vAlign w:val="center"/>
          </w:tcPr>
          <w:p w14:paraId="433FF985">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在油气开发过程中，应采取措施减轻生态影响并及时用适地植物进行植被恢复。井场周围应设置围堤或井界沟。应设立地下水水质监测井，加强对油气田地下水水质的监控，防止回注过程对地下水造成污染。</w:t>
            </w:r>
          </w:p>
        </w:tc>
        <w:tc>
          <w:tcPr>
            <w:tcW w:w="7917" w:type="dxa"/>
            <w:vAlign w:val="center"/>
          </w:tcPr>
          <w:p w14:paraId="1ADC4D29">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本项目开发过程中采取分层开挖、分层回填、管道平埋等措施减轻生态影响</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p w14:paraId="5A4F1FF5">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已在开发区域内，</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设立地下水水质监测井</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潜水</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并加强对地下水水质的监控</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687" w:type="dxa"/>
            <w:vAlign w:val="center"/>
          </w:tcPr>
          <w:p w14:paraId="5AA37EB1">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bl>
    <w:p w14:paraId="22D857B6">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pPr>
    </w:p>
    <w:p w14:paraId="1BA57D4C">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pPr>
    </w:p>
    <w:p w14:paraId="598CB5DD">
      <w:pPr>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6838" w:h="11906" w:orient="landscape"/>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3BA77F53">
      <w:pPr>
        <w:keepNext w:val="0"/>
        <w:keepLines w:val="0"/>
        <w:pageBreakBefore w:val="0"/>
        <w:widowControl w:val="0"/>
        <w:kinsoku/>
        <w:wordWrap/>
        <w:overflowPunct w:val="0"/>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1.5.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与</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空气质量持续改善行动计划实施方案</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的</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符合性判定</w:t>
      </w:r>
    </w:p>
    <w:p w14:paraId="66180AF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根据《黑龙江省空气质量持续改善行动计划实施方案》（黑政发〔2023〕19号，2023年12月30日）</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、《大庆市</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空气质量持续改善行动计划实施方案</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庆</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政发〔2</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024</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10</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号，202</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4</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年</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5</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月</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13</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日）</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《绥化市空气质量持续改善行动计划实施方案》（绥政发[2024]16号）、《绥化市环境空气质量达标规划》（绥政发[2023]5号），符合性</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分析</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详见表1.5-</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14</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p>
    <w:p w14:paraId="78F0A57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snapToGrid/>
          <w:color w:val="000000" w:themeColor="text1"/>
          <w:kern w:val="2"/>
          <w:sz w:val="24"/>
          <w:szCs w:val="24"/>
          <w:highlight w:val="none"/>
          <w:lang w:val="en-US" w:eastAsia="zh-CN" w:bidi="ar-SA"/>
          <w14:textFill>
            <w14:solidFill>
              <w14:schemeClr w14:val="tx1"/>
            </w14:solidFill>
          </w14:textFill>
        </w:rPr>
        <w:t>表1.5-</w:t>
      </w:r>
      <w:r>
        <w:rPr>
          <w:rFonts w:hint="eastAsia" w:ascii="Times New Roman" w:hAnsi="Times New Roman" w:eastAsia="宋体" w:cs="Times New Roman"/>
          <w:b/>
          <w:snapToGrid/>
          <w:color w:val="000000" w:themeColor="text1"/>
          <w:kern w:val="2"/>
          <w:sz w:val="24"/>
          <w:szCs w:val="24"/>
          <w:highlight w:val="none"/>
          <w:lang w:val="en-US" w:eastAsia="zh-CN" w:bidi="ar-SA"/>
          <w14:textFill>
            <w14:solidFill>
              <w14:schemeClr w14:val="tx1"/>
            </w14:solidFill>
          </w14:textFill>
        </w:rPr>
        <w:t>14</w:t>
      </w:r>
      <w:r>
        <w:rPr>
          <w:rFonts w:hint="default" w:ascii="Times New Roman" w:hAnsi="Times New Roman" w:eastAsia="宋体" w:cs="Times New Roman"/>
          <w:b/>
          <w:bCs/>
          <w:snapToGrid/>
          <w:color w:val="000000" w:themeColor="text1"/>
          <w:kern w:val="2"/>
          <w:sz w:val="24"/>
          <w:szCs w:val="24"/>
          <w:highlight w:val="none"/>
          <w:lang w:val="en-US" w:eastAsia="zh-CN" w:bidi="ar-SA"/>
          <w14:textFill>
            <w14:solidFill>
              <w14:schemeClr w14:val="tx1"/>
            </w14:solidFill>
          </w14:textFill>
        </w:rPr>
        <w:t xml:space="preserve">  符合性一览表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451"/>
        <w:gridCol w:w="4245"/>
        <w:gridCol w:w="3993"/>
        <w:gridCol w:w="599"/>
      </w:tblGrid>
      <w:tr w14:paraId="2287180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243" w:type="pct"/>
            <w:tcBorders>
              <w:tl2br w:val="nil"/>
              <w:tr2bl w:val="nil"/>
            </w:tcBorders>
            <w:vAlign w:val="center"/>
          </w:tcPr>
          <w:p w14:paraId="16DE8E6E">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级别</w:t>
            </w:r>
          </w:p>
        </w:tc>
        <w:tc>
          <w:tcPr>
            <w:tcW w:w="2284" w:type="pct"/>
            <w:tcBorders>
              <w:tl2br w:val="nil"/>
              <w:tr2bl w:val="nil"/>
            </w:tcBorders>
            <w:vAlign w:val="center"/>
          </w:tcPr>
          <w:p w14:paraId="265F3290">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相关文件的要求</w:t>
            </w:r>
          </w:p>
        </w:tc>
        <w:tc>
          <w:tcPr>
            <w:tcW w:w="2148" w:type="pct"/>
            <w:tcBorders>
              <w:tl2br w:val="nil"/>
              <w:tr2bl w:val="nil"/>
            </w:tcBorders>
            <w:vAlign w:val="center"/>
          </w:tcPr>
          <w:p w14:paraId="2A3E5521">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本项目分析</w:t>
            </w:r>
          </w:p>
        </w:tc>
        <w:tc>
          <w:tcPr>
            <w:tcW w:w="322" w:type="pct"/>
            <w:tcBorders>
              <w:tl2br w:val="nil"/>
              <w:tr2bl w:val="nil"/>
            </w:tcBorders>
            <w:vAlign w:val="center"/>
          </w:tcPr>
          <w:p w14:paraId="4FF41224">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
                <w14:textFill>
                  <w14:solidFill>
                    <w14:schemeClr w14:val="tx1"/>
                  </w14:solidFill>
                </w14:textFill>
              </w:rPr>
              <w:t>符合性</w:t>
            </w:r>
          </w:p>
        </w:tc>
      </w:tr>
      <w:tr w14:paraId="7543734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20" w:hRule="atLeast"/>
        </w:trPr>
        <w:tc>
          <w:tcPr>
            <w:tcW w:w="243" w:type="pct"/>
            <w:tcBorders>
              <w:tl2br w:val="nil"/>
              <w:tr2bl w:val="nil"/>
            </w:tcBorders>
            <w:vAlign w:val="center"/>
          </w:tcPr>
          <w:p w14:paraId="58FD21F7">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黑龙江省</w:t>
            </w:r>
          </w:p>
        </w:tc>
        <w:tc>
          <w:tcPr>
            <w:tcW w:w="2284" w:type="pct"/>
            <w:tcBorders>
              <w:tl2br w:val="nil"/>
              <w:tr2bl w:val="nil"/>
            </w:tcBorders>
            <w:vAlign w:val="center"/>
          </w:tcPr>
          <w:p w14:paraId="4E5F8B50">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强化VOCs全流程、全环节综合治理</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2148" w:type="pct"/>
            <w:tcBorders>
              <w:tl2br w:val="nil"/>
              <w:tr2bl w:val="nil"/>
            </w:tcBorders>
            <w:vAlign w:val="center"/>
          </w:tcPr>
          <w:p w14:paraId="65FA14A5">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本项目施工期加强施工扬尘管理，运营期</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集输</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管线</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均为</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密闭状态</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阀门处设置密封垫等措施</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，降低了非甲烷总烃的无组织挥发</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322" w:type="pct"/>
            <w:tcBorders>
              <w:tl2br w:val="nil"/>
              <w:tr2bl w:val="nil"/>
            </w:tcBorders>
            <w:vAlign w:val="center"/>
          </w:tcPr>
          <w:p w14:paraId="07DB0AC3">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符合</w:t>
            </w:r>
          </w:p>
        </w:tc>
      </w:tr>
      <w:tr w14:paraId="3B7E6CC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243" w:type="pct"/>
            <w:tcBorders>
              <w:tl2br w:val="nil"/>
              <w:tr2bl w:val="nil"/>
            </w:tcBorders>
            <w:vAlign w:val="center"/>
          </w:tcPr>
          <w:p w14:paraId="16E42141">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2284" w:type="pct"/>
            <w:tcBorders>
              <w:tl2br w:val="nil"/>
              <w:tr2bl w:val="nil"/>
            </w:tcBorders>
            <w:vAlign w:val="center"/>
          </w:tcPr>
          <w:p w14:paraId="5D479ECE">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强化 VOCs 综合治理。鼓励使用低泄漏的储罐呼吸阀、紧急泄压阀</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定期开展储罐部件密封性检测。对装载汽油、煤油等高挥发性化工产品的汽车罐车，推广使用自封式快速接头。严格落实《实施方案》“污水处理场所高浓度废气要单独收集处理;含 VOCs有机废水储罐、装置区集水井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池</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废气要密闭收集处理”的规定。规范开展泄漏检测与修复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LDAR</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。企业开停工、检维修期间，及时收集处理退料、清洗、吹扫等作业产生的VOCs废气。防止将火炬燃烧装置作为日常大气污染处理设施</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2148" w:type="pct"/>
            <w:tcBorders>
              <w:tl2br w:val="nil"/>
              <w:tr2bl w:val="nil"/>
            </w:tcBorders>
            <w:vAlign w:val="center"/>
          </w:tcPr>
          <w:p w14:paraId="5B21E37B">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项目在石油开采集输过程中均采取了埋地的</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集油管道，降低了非甲烷总烃的无组织挥发</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企业定期开展VOCs监测，并根据工艺要求定期对各类设备、电气、自控仪表等进行检修维护，确保设施的稳定运行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p w14:paraId="0D2E15F5">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22" w:type="pct"/>
            <w:tcBorders>
              <w:tl2br w:val="nil"/>
              <w:tr2bl w:val="nil"/>
            </w:tcBorders>
            <w:vAlign w:val="center"/>
          </w:tcPr>
          <w:p w14:paraId="5228E9FA">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符合</w:t>
            </w:r>
          </w:p>
        </w:tc>
      </w:tr>
      <w:tr w14:paraId="1B26284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243" w:type="pct"/>
            <w:tcBorders>
              <w:tl2br w:val="nil"/>
              <w:tr2bl w:val="nil"/>
            </w:tcBorders>
            <w:vAlign w:val="center"/>
          </w:tcPr>
          <w:p w14:paraId="7E701B13">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2284" w:type="pct"/>
            <w:tcBorders>
              <w:tl2br w:val="nil"/>
              <w:tr2bl w:val="nil"/>
            </w:tcBorders>
            <w:vAlign w:val="center"/>
          </w:tcPr>
          <w:p w14:paraId="1803409E">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强化VOCs全流程、全环节综合治理。鼓励使用低泄漏的储罐呼吸阀、紧急泄压阀，定期开展储罐部件密封性检测。对装载汽油、煤油等高挥发性化工产品的汽车罐车，推广使用自封式快速接头。污水处理场所高浓度废气要单独收集处理；含VOCs有机废水储罐、装置区集水井（池）废气要密闭收集处理。规范开展泄漏检测与修复（LDAR）。企业开停工、检维修期间，及时收集处理退料、清洗、吹扫等作业产生的VOCs废气。企业不得将火炬燃烧装置作为日常大气污染处理设施</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60023F63">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深化VOCs全过程综合整治。对涉VOCs排放企业实施“源头</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过程</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末端”全流程治理模式，开展“一企一策”管理模式，推进石化、化工、工业涂装、包装印刷、油品储运销等行业VOCs综合治理工作。从源头替代、污染深度治理和全过程精细化管理等方面进行深化治理。全面推行工业涂装企业使用低VOCs含量原辅材料，加大非溶剂型低VOCs含量原辅材料替代溶剂型原辅材料的力度，引导技术和工艺创新，促进源头减排。加强扬尘综合治理。加强扬尘综合治理。定期动态更新施工工地管理清单，严格落实施工工地“六个百分之百”扬尘防控要求，落实建设单位和施工单位扬尘防控责任，加强自动冲洗、自动喷淋、雾炮、洒水等扬尘防控作业，建立健全建筑工地扬尘在线监测与联网。做好施工单位出入口清扫工作，加大货车密闭运输检查力度。堆场应当建立高于堆放高度的围挡，硬化内部道路，设立堆场责任标识牌，堆场出入口设立清洗设备，场地内定期洒水、喷淋降尘，除作业面外，所有物料必须进行高密度苫盖。</w:t>
            </w:r>
          </w:p>
        </w:tc>
        <w:tc>
          <w:tcPr>
            <w:tcW w:w="2148" w:type="pct"/>
            <w:tcBorders>
              <w:tl2br w:val="nil"/>
              <w:tr2bl w:val="nil"/>
            </w:tcBorders>
            <w:vAlign w:val="center"/>
          </w:tcPr>
          <w:p w14:paraId="64D318E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项目在石油开采集输过程中均采取了埋地的</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集油管道，降低了非甲烷总烃的无组织挥发</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企业定期开展VOCs监测，并根据工艺要求定期对各类设备、电气、自控仪表等进行检修维护，确保设施的稳定运行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p w14:paraId="552045A2">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①为防止因交通运输量的增加而导致的扬尘污染，合理规划道路运输路线，尽量利用现有公路网络。</w:t>
            </w:r>
          </w:p>
          <w:p w14:paraId="37C2BD78">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②运输道路、施工场地应定时洒水抑尘，定期清扫散落在施工场地的泥土，应实行湿法吸扫，严禁干扫和吹扫，以减少扬尘对周边土壤和植被的影响。</w:t>
            </w:r>
          </w:p>
          <w:p w14:paraId="444BF5F2">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③运料车辆在运输时，车辆应当采取全密闭措施，需要在运料顶部加盖篷布，严禁敞开式、半敞开式运输，不得装载过满，以防洒落在地，形成二次扬尘。</w:t>
            </w:r>
          </w:p>
          <w:p w14:paraId="75DD1471">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④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14:paraId="67D49CB3">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⑤合理规划施工进度，表土剥离及时开挖，及时回填，防止弃土风化失水而起沙起尘；遇大风天气应停止土方工程施工作业。</w:t>
            </w:r>
          </w:p>
          <w:p w14:paraId="7E8054E8">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⑥施工完成后，在绿化季节到来时应立即对临时占地进行植被恢复</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288B361B">
            <w:pPr>
              <w:keepNext w:val="0"/>
              <w:keepLines w:val="0"/>
              <w:pageBreakBefore w:val="0"/>
              <w:widowControl w:val="0"/>
              <w:numPr>
                <w:ilvl w:val="0"/>
                <w:numId w:val="0"/>
              </w:numPr>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⑦施工结束后，应及时进行施工场地的清理，清除积土、堆物。</w:t>
            </w:r>
          </w:p>
        </w:tc>
        <w:tc>
          <w:tcPr>
            <w:tcW w:w="322" w:type="pct"/>
            <w:tcBorders>
              <w:tl2br w:val="nil"/>
              <w:tr2bl w:val="nil"/>
            </w:tcBorders>
            <w:vAlign w:val="center"/>
          </w:tcPr>
          <w:p w14:paraId="263D70C9">
            <w:pPr>
              <w:keepNext w:val="0"/>
              <w:keepLines w:val="0"/>
              <w:pageBreakBefore w:val="0"/>
              <w:widowControl w:val="0"/>
              <w:kinsoku/>
              <w:wordWrap/>
              <w:topLinePunct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r>
    </w:tbl>
    <w:p w14:paraId="22DCE61D">
      <w:pPr>
        <w:keepNext w:val="0"/>
        <w:keepLines w:val="0"/>
        <w:pageBreakBefore w:val="0"/>
        <w:widowControl w:val="0"/>
        <w:kinsoku/>
        <w:wordWrap/>
        <w:overflowPunct w:val="0"/>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1.5.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与</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黑龙江省水污染防治条例</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符合性判定</w:t>
      </w:r>
    </w:p>
    <w:p w14:paraId="7990A16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本项目与《黑龙江省水污染防治条例》（2023年11月2日黑龙江省第十四届人民代表大会常务委员会第八次会议通过）符合性详见表1.5-1</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5</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p>
    <w:p w14:paraId="66168CB5">
      <w:pPr>
        <w:keepNext w:val="0"/>
        <w:keepLines w:val="0"/>
        <w:pageBreakBefore w:val="0"/>
        <w:widowControl w:val="0"/>
        <w:kinsoku/>
        <w:wordWrap/>
        <w:overflowPunct w:val="0"/>
        <w:topLinePunct w:val="0"/>
        <w:bidi w:val="0"/>
        <w:adjustRightInd w:val="0"/>
        <w:snapToGrid w:val="0"/>
        <w:spacing w:after="0" w:line="240" w:lineRule="auto"/>
        <w:ind w:firstLine="482" w:firstLineChars="20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表1.5-</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本项目与</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《黑龙江省水污染防治条例》</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相关要求符合性一览表</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76"/>
        <w:gridCol w:w="4778"/>
        <w:gridCol w:w="534"/>
      </w:tblGrid>
      <w:tr w14:paraId="31EE7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76" w:type="dxa"/>
            <w:vAlign w:val="center"/>
          </w:tcPr>
          <w:p w14:paraId="316AEF15">
            <w:pPr>
              <w:keepNext w:val="0"/>
              <w:keepLines w:val="0"/>
              <w:pageBreakBefore w:val="0"/>
              <w:widowControl w:val="0"/>
              <w:kinsoku/>
              <w:wordWrap/>
              <w:overflowPunct w:val="0"/>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相关</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要求</w:t>
            </w:r>
          </w:p>
        </w:tc>
        <w:tc>
          <w:tcPr>
            <w:tcW w:w="4778" w:type="dxa"/>
            <w:vAlign w:val="center"/>
          </w:tcPr>
          <w:p w14:paraId="0A451A28">
            <w:pPr>
              <w:keepNext w:val="0"/>
              <w:keepLines w:val="0"/>
              <w:pageBreakBefore w:val="0"/>
              <w:widowControl w:val="0"/>
              <w:kinsoku/>
              <w:wordWrap/>
              <w:overflowPunct w:val="0"/>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本项目分析</w:t>
            </w:r>
          </w:p>
        </w:tc>
        <w:tc>
          <w:tcPr>
            <w:tcW w:w="534" w:type="dxa"/>
            <w:vAlign w:val="center"/>
          </w:tcPr>
          <w:p w14:paraId="0AB84338">
            <w:pPr>
              <w:keepNext w:val="0"/>
              <w:keepLines w:val="0"/>
              <w:pageBreakBefore w:val="0"/>
              <w:widowControl w:val="0"/>
              <w:kinsoku/>
              <w:wordWrap/>
              <w:overflowPunct w:val="0"/>
              <w:topLinePunct w:val="0"/>
              <w:autoSpaceDE/>
              <w:autoSpaceDN/>
              <w:bidi w:val="0"/>
              <w:spacing w:after="0" w:line="240" w:lineRule="auto"/>
              <w:ind w:firstLine="0" w:firstLineChars="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符合性</w:t>
            </w:r>
          </w:p>
        </w:tc>
      </w:tr>
      <w:tr w14:paraId="38DCF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76" w:type="dxa"/>
            <w:vAlign w:val="center"/>
          </w:tcPr>
          <w:p w14:paraId="3C9252BC">
            <w:pPr>
              <w:keepNext w:val="0"/>
              <w:keepLines w:val="0"/>
              <w:pageBreakBefore w:val="0"/>
              <w:widowControl w:val="0"/>
              <w:kinsoku/>
              <w:wordWrap/>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第一章：总则</w:t>
            </w:r>
          </w:p>
          <w:p w14:paraId="33876CD9">
            <w:pPr>
              <w:keepNext w:val="0"/>
              <w:keepLines w:val="0"/>
              <w:pageBreakBefore w:val="0"/>
              <w:widowControl w:val="0"/>
              <w:kinsoku/>
              <w:wordWrap/>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第三条 水污染防治应当坚持预防为主、防治结合、综合治理的原则，优先保护饮用水水源，严格控制工业污染、城镇生活污染，防治农业面源污染，积极推进生态治理工程建设，预防、控制和减少水环境污染和生态破坏。</w:t>
            </w:r>
          </w:p>
          <w:p w14:paraId="0B076E70">
            <w:pPr>
              <w:keepNext w:val="0"/>
              <w:keepLines w:val="0"/>
              <w:pageBreakBefore w:val="0"/>
              <w:widowControl w:val="0"/>
              <w:kinsoku/>
              <w:wordWrap/>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第八条 企业事业单位和其他生产经营者应当防止、减少水环境污染和水生态破坏，对造成的损害依法承担责任。 </w:t>
            </w:r>
          </w:p>
        </w:tc>
        <w:tc>
          <w:tcPr>
            <w:tcW w:w="4778" w:type="dxa"/>
            <w:vAlign w:val="center"/>
          </w:tcPr>
          <w:p w14:paraId="39D86C4E">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施工期废水主要为废弃管道清管废水、</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试压废水及施工人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员生活污水。</w:t>
            </w:r>
          </w:p>
          <w:p w14:paraId="716D6B33">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废弃管道清管废水、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试压废水由罐车拉运至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处理，满足《大庆油田地面工程建设设计规定》（Q/SYDQ0639-2015）、《碎屑岩油藏注水水质指标技术要求及分析方法》（SY/T5329-2022）标准要求后，回注地下开采油层，不外排。</w:t>
            </w:r>
          </w:p>
          <w:p w14:paraId="38393F6E">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施工期生活污水排入附近计量间等已建防渗旱厕，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经排污罐车抽排至高平4号污水站，排入大庆市净源环保科技有限公司处理</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。施工期废水均不外排。</w:t>
            </w:r>
          </w:p>
          <w:p w14:paraId="133313A0">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本项目废水均不外排，不向附近地表水体排放污染物，</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能够有效防止、减少水环境污染和水生态破坏情况发生</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534" w:type="dxa"/>
            <w:vAlign w:val="center"/>
          </w:tcPr>
          <w:p w14:paraId="56CBA5DC">
            <w:pPr>
              <w:keepNext w:val="0"/>
              <w:keepLines w:val="0"/>
              <w:pageBreakBefore w:val="0"/>
              <w:widowControl w:val="0"/>
              <w:kinsoku/>
              <w:wordWrap/>
              <w:overflowPunct w:val="0"/>
              <w:topLinePunct w:val="0"/>
              <w:autoSpaceDE/>
              <w:autoSpaceDN/>
              <w:bidi w:val="0"/>
              <w:spacing w:after="0" w:line="240" w:lineRule="auto"/>
              <w:ind w:firstLine="0" w:firstLineChars="0"/>
              <w:jc w:val="center"/>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E0F7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76" w:type="dxa"/>
            <w:vAlign w:val="center"/>
          </w:tcPr>
          <w:p w14:paraId="739EEAD2">
            <w:pPr>
              <w:keepNext w:val="0"/>
              <w:keepLines w:val="0"/>
              <w:pageBreakBefore w:val="0"/>
              <w:widowControl w:val="0"/>
              <w:kinsoku/>
              <w:wordWrap/>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第二章</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水污染防治的监督管理</w:t>
            </w:r>
          </w:p>
          <w:p w14:paraId="3601FB1C">
            <w:pPr>
              <w:keepNext w:val="0"/>
              <w:keepLines w:val="0"/>
              <w:pageBreakBefore w:val="0"/>
              <w:widowControl w:val="0"/>
              <w:kinsoku/>
              <w:wordWrap/>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第十三条 依照法律规定实行排污许可管理的企业事业单位和其他生产经营者，应当依照《排污许可管理条例》规定申请取得排污许可证，按照排污许可证要求排放污染物；未取得排污许可证的，不得排放污染物。</w:t>
            </w:r>
          </w:p>
        </w:tc>
        <w:tc>
          <w:tcPr>
            <w:tcW w:w="4778" w:type="dxa"/>
            <w:vAlign w:val="center"/>
          </w:tcPr>
          <w:p w14:paraId="4F8D7C4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大庆油田有限责任公司</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第八采油厂</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申请了排污许可证并在2024年11月28日进行了更改（证书编号：91230607716675409L011X），根据排污许可证要求：</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第八采油厂</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无外排废水</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34" w:type="dxa"/>
            <w:vAlign w:val="center"/>
          </w:tcPr>
          <w:p w14:paraId="3F2762E0">
            <w:pPr>
              <w:keepNext w:val="0"/>
              <w:keepLines w:val="0"/>
              <w:pageBreakBefore w:val="0"/>
              <w:widowControl w:val="0"/>
              <w:kinsoku/>
              <w:wordWrap/>
              <w:overflowPunct w:val="0"/>
              <w:topLinePunct w:val="0"/>
              <w:autoSpaceDE/>
              <w:autoSpaceDN/>
              <w:bidi w:val="0"/>
              <w:spacing w:after="0" w:line="240" w:lineRule="auto"/>
              <w:ind w:firstLine="0" w:firstLineChars="0"/>
              <w:jc w:val="center"/>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544D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76" w:type="dxa"/>
            <w:vAlign w:val="center"/>
          </w:tcPr>
          <w:p w14:paraId="2DB1B6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第五章：水污染事故处置</w:t>
            </w:r>
          </w:p>
          <w:p w14:paraId="4988276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第五十一条 各级人民政府及其有关部门，可能发生水污染事故的企业事业单位，应当依照《中华人民共和国突发事件应对法》的规定，做好突发水污染事故的应急准备、应急处置和事后恢复等工作。</w:t>
            </w:r>
          </w:p>
          <w:p w14:paraId="7B416BA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4"/>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可能发生水污染事故的企业事业单位，应当制定有关水污染事故的应急方案，做好应急物资储备等应急准备，并定期进行演练。</w:t>
            </w:r>
          </w:p>
        </w:tc>
        <w:tc>
          <w:tcPr>
            <w:tcW w:w="4778" w:type="dxa"/>
            <w:vAlign w:val="center"/>
          </w:tcPr>
          <w:p w14:paraId="6F9B91CB">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sz w:val="24"/>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制定有《</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环境突发事件专项应急预案》（2023版），主要包括应急组织机构及职责明确、监测与预警、应急处置与应急响应、恢复与重建、应急保障与培训等内容，</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并在2023年6月进行备案，备案编号230621-2023-010-L</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（备案文件见附件</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534" w:type="dxa"/>
            <w:vAlign w:val="center"/>
          </w:tcPr>
          <w:p w14:paraId="40C6358B">
            <w:pPr>
              <w:keepNext w:val="0"/>
              <w:keepLines w:val="0"/>
              <w:pageBreakBefore w:val="0"/>
              <w:widowControl w:val="0"/>
              <w:kinsoku/>
              <w:wordWrap/>
              <w:overflowPunct w:val="0"/>
              <w:topLinePunct w:val="0"/>
              <w:autoSpaceDE/>
              <w:autoSpaceDN/>
              <w:bidi w:val="0"/>
              <w:spacing w:after="0" w:line="240" w:lineRule="auto"/>
              <w:ind w:firstLine="0" w:firstLineChars="0"/>
              <w:jc w:val="center"/>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4B4CEB46">
      <w:pPr>
        <w:keepNext w:val="0"/>
        <w:keepLines w:val="0"/>
        <w:pageBreakBefore w:val="0"/>
        <w:widowControl w:val="0"/>
        <w:kinsoku/>
        <w:wordWrap/>
        <w:overflowPunct w:val="0"/>
        <w:topLinePunct w:val="0"/>
        <w:autoSpaceDE/>
        <w:autoSpaceDN/>
        <w:bidi w:val="0"/>
        <w:adjustRightInd w:val="0"/>
        <w:snapToGrid w:val="0"/>
        <w:spacing w:after="0" w:line="360" w:lineRule="auto"/>
        <w:ind w:left="0" w:leftChars="0" w:firstLine="0" w:firstLineChars="0"/>
        <w:jc w:val="left"/>
        <w:textAlignment w:val="auto"/>
        <w:outlineLvl w:val="3"/>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1.5.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与</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土壤污染防治实施方案</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符合性判定</w:t>
      </w:r>
    </w:p>
    <w:p w14:paraId="638F468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土壤污染源头防控行动计划</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（环土壤</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2024</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80号）、《黑龙江省土壤污染防治实施方案》（黑政发[2016]46号）及《大庆市土壤污染防治实施方案》（庆政规[2017]2号），本项目与“土十条”相关要求符合性详见表</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1.5-1</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6</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p>
    <w:p w14:paraId="01729146">
      <w:pPr>
        <w:widowControl/>
        <w:adjustRightInd w:val="0"/>
        <w:snapToGrid w:val="0"/>
        <w:spacing w:after="0" w:line="240" w:lineRule="auto"/>
        <w:ind w:firstLine="482" w:firstLineChars="200"/>
        <w:jc w:val="center"/>
        <w:rPr>
          <w:rFonts w:hint="default" w:ascii="Times New Roman" w:hAnsi="Times New Roman" w:eastAsia="宋体" w:cs="Times New Roman"/>
          <w:color w:val="000000" w:themeColor="text1"/>
          <w:kern w:val="0"/>
          <w:sz w:val="22"/>
          <w:szCs w:val="22"/>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表1.5-</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eastAsia"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与</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土十条</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相关要求符合性一览表</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4152"/>
        <w:gridCol w:w="3605"/>
        <w:gridCol w:w="713"/>
      </w:tblGrid>
      <w:tr w14:paraId="6DE4F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Align w:val="center"/>
          </w:tcPr>
          <w:p w14:paraId="258DAE2A">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级别</w:t>
            </w:r>
          </w:p>
        </w:tc>
        <w:tc>
          <w:tcPr>
            <w:tcW w:w="2235" w:type="pct"/>
            <w:vAlign w:val="center"/>
          </w:tcPr>
          <w:p w14:paraId="7D1F4A78">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要求</w:t>
            </w:r>
          </w:p>
        </w:tc>
        <w:tc>
          <w:tcPr>
            <w:tcW w:w="1941" w:type="pct"/>
            <w:vAlign w:val="center"/>
          </w:tcPr>
          <w:p w14:paraId="1A8D5592">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本项目分析</w:t>
            </w:r>
          </w:p>
        </w:tc>
        <w:tc>
          <w:tcPr>
            <w:tcW w:w="383" w:type="pct"/>
            <w:vAlign w:val="center"/>
          </w:tcPr>
          <w:p w14:paraId="7540832C">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
                <w14:textFill>
                  <w14:solidFill>
                    <w14:schemeClr w14:val="tx1"/>
                  </w14:solidFill>
                </w14:textFill>
              </w:rPr>
              <w:t>符合性</w:t>
            </w:r>
          </w:p>
        </w:tc>
      </w:tr>
      <w:tr w14:paraId="73C6B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restart"/>
            <w:vAlign w:val="center"/>
          </w:tcPr>
          <w:p w14:paraId="2781AC5B">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国家</w:t>
            </w:r>
          </w:p>
        </w:tc>
        <w:tc>
          <w:tcPr>
            <w:tcW w:w="2235" w:type="pct"/>
            <w:vAlign w:val="center"/>
          </w:tcPr>
          <w:p w14:paraId="721C9EF3">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深入开展土壤环境质量调查。2020年底前掌握重点行业企业用地中的污染地块分布及其环境风险情况。</w:t>
            </w:r>
          </w:p>
        </w:tc>
        <w:tc>
          <w:tcPr>
            <w:tcW w:w="1941" w:type="pct"/>
            <w:vAlign w:val="center"/>
          </w:tcPr>
          <w:p w14:paraId="3C5DA260">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作为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土壤重点企业每年对区域内土壤进行监测，并进行信息公开，2020年底前已掌握用地中的污染地块分布及其环境风险情况。</w:t>
            </w:r>
          </w:p>
        </w:tc>
        <w:tc>
          <w:tcPr>
            <w:tcW w:w="383" w:type="pct"/>
            <w:vAlign w:val="center"/>
          </w:tcPr>
          <w:p w14:paraId="50988A32">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1C1FE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41993946">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769587B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1941" w:type="pct"/>
            <w:vAlign w:val="center"/>
          </w:tcPr>
          <w:p w14:paraId="01064E9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本工程作为油田开发工程，施工阶段</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涉及</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占用耕地（基本农田</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，采取对耕地配套专门的补偿措施等，并在选址和布局上采用环境影响最小的布局方案，尽可能减少对占用面积和时间，进一步降低对土壤的影响。</w:t>
            </w:r>
          </w:p>
        </w:tc>
        <w:tc>
          <w:tcPr>
            <w:tcW w:w="383" w:type="pct"/>
            <w:vAlign w:val="center"/>
          </w:tcPr>
          <w:p w14:paraId="03259F63">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7ECC0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3E02D4F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0D0CEDE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941" w:type="pct"/>
            <w:vAlign w:val="center"/>
          </w:tcPr>
          <w:p w14:paraId="4F3E0CB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本项目环评阶段开展了评价范围内土壤的环境质量现状调查、土壤环境影响分析及土壤污染防治措施及其可行性论证，提出土壤跟踪监测计划，并提出三同时验收的落实要求。</w:t>
            </w:r>
          </w:p>
        </w:tc>
        <w:tc>
          <w:tcPr>
            <w:tcW w:w="383" w:type="pct"/>
            <w:vAlign w:val="center"/>
          </w:tcPr>
          <w:p w14:paraId="789318D3">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4E20F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6987117C">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59F3596C">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1941" w:type="pct"/>
            <w:vMerge w:val="restart"/>
            <w:vAlign w:val="center"/>
          </w:tcPr>
          <w:p w14:paraId="6B8C4D7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管线改造项目</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，建设单位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作为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土壤重点监管重点企业每年对区域内土壤环境质量进行监测，并在大庆油田信息港进行信息公开。</w:t>
            </w:r>
          </w:p>
        </w:tc>
        <w:tc>
          <w:tcPr>
            <w:tcW w:w="383" w:type="pct"/>
            <w:vMerge w:val="restart"/>
            <w:vAlign w:val="center"/>
          </w:tcPr>
          <w:p w14:paraId="193B8463">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12FE5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5637DBA9">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2863F07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严控工矿污染。加强日常环境监管。各地要根据工矿企业分布和污染排放情况，确定土壤环境重点监管企业名单，实行动态更新，并向社会公布。列入名单的企业每年要自行对其用地进行土壤环境监测，结果向社会公开。</w:t>
            </w:r>
          </w:p>
        </w:tc>
        <w:tc>
          <w:tcPr>
            <w:tcW w:w="1941" w:type="pct"/>
            <w:vMerge w:val="continue"/>
            <w:vAlign w:val="center"/>
          </w:tcPr>
          <w:p w14:paraId="21C251D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83" w:type="pct"/>
            <w:vMerge w:val="continue"/>
            <w:vAlign w:val="center"/>
          </w:tcPr>
          <w:p w14:paraId="326BC376">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14:paraId="23B1D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restart"/>
            <w:vAlign w:val="center"/>
          </w:tcPr>
          <w:p w14:paraId="33E567BB">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黑龙江省</w:t>
            </w:r>
          </w:p>
        </w:tc>
        <w:tc>
          <w:tcPr>
            <w:tcW w:w="2235" w:type="pct"/>
            <w:vAlign w:val="center"/>
          </w:tcPr>
          <w:p w14:paraId="5827F4F2">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明确监管重点。重点监测土壤中镉、汞、砷、铅、铬等重金属和多环</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芳烃</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等有机污染物。重点监管有色金属矿采选、有色金属冶炼、石油开采、石油加工、化工、焦化、电镀、制革等行业，以及产粮（油）大县、市级以上城市建成区等区。</w:t>
            </w:r>
          </w:p>
        </w:tc>
        <w:tc>
          <w:tcPr>
            <w:tcW w:w="1941" w:type="pct"/>
            <w:vMerge w:val="continue"/>
            <w:vAlign w:val="center"/>
          </w:tcPr>
          <w:p w14:paraId="6CAF26E0">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83" w:type="pct"/>
            <w:vMerge w:val="continue"/>
            <w:vAlign w:val="center"/>
          </w:tcPr>
          <w:p w14:paraId="0E89D0BF">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14:paraId="25AC2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6C07DCB8">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73B742C5">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1941" w:type="pct"/>
            <w:vAlign w:val="center"/>
          </w:tcPr>
          <w:p w14:paraId="698F3F0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本工程作为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管线改造工程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，施工阶段</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涉及</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占用耕地（基本农田</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，采取对耕地配套专门的补偿措施等，并在选址和布局上采用环境影响最小的布局方案，尽可能减少对占用面积和时间，进一步降低对土壤的影响。</w:t>
            </w:r>
          </w:p>
        </w:tc>
        <w:tc>
          <w:tcPr>
            <w:tcW w:w="383" w:type="pct"/>
            <w:vAlign w:val="center"/>
          </w:tcPr>
          <w:p w14:paraId="2DF6C4FA">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13B88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12FB0DD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4336517C">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941" w:type="pct"/>
            <w:vAlign w:val="center"/>
          </w:tcPr>
          <w:p w14:paraId="798AE440">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本项目环评阶段开展了评价范围内土壤的环境质量现状调查、土壤环境影响分析及土壤污染防治措施及其可行性论证，提出土壤跟踪监测计划，并提出三同时验收的落实要求。</w:t>
            </w:r>
          </w:p>
        </w:tc>
        <w:tc>
          <w:tcPr>
            <w:tcW w:w="383" w:type="pct"/>
            <w:vAlign w:val="center"/>
          </w:tcPr>
          <w:p w14:paraId="1EEAC5D4">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48F07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restart"/>
            <w:vAlign w:val="center"/>
          </w:tcPr>
          <w:p w14:paraId="780DD80B">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大庆市</w:t>
            </w:r>
          </w:p>
        </w:tc>
        <w:tc>
          <w:tcPr>
            <w:tcW w:w="2235" w:type="pct"/>
            <w:vAlign w:val="center"/>
          </w:tcPr>
          <w:p w14:paraId="027EBC63">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重点监测土壤中镉、汞、砷、铅、铬等重金属和多环芳烃、石油烃等有机污染物。重点监管有色金属冶炼、石油开采、石油加工、化工、焦化、电镀、制革等行业，以及产粮大县、市级城市建成区等区域。</w:t>
            </w:r>
          </w:p>
        </w:tc>
        <w:tc>
          <w:tcPr>
            <w:tcW w:w="1941" w:type="pct"/>
            <w:vMerge w:val="restart"/>
            <w:vAlign w:val="center"/>
          </w:tcPr>
          <w:p w14:paraId="4B763C1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管线改造项目</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，建设单位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作为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土壤重点监管重点企业应每年对区域内土壤环境质量进行监测，并进行信息公开。</w:t>
            </w:r>
          </w:p>
        </w:tc>
        <w:tc>
          <w:tcPr>
            <w:tcW w:w="383" w:type="pct"/>
            <w:vMerge w:val="restart"/>
            <w:vAlign w:val="center"/>
          </w:tcPr>
          <w:p w14:paraId="1493E4E3">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6FDDB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0F8A4C73">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78D27E38">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加强日常环境监管。依据国家有关规定，2017年底前，各县（区）、高新区、经开区根据工矿企业分布和污染排放情况，确定土壤环境重点监管企业名单，实行动态更新，并向社会公布。督促列入名单的企业自2018年起，每年要自行对其用地进行土壤环境监测，结果向社会公开。</w:t>
            </w:r>
          </w:p>
        </w:tc>
        <w:tc>
          <w:tcPr>
            <w:tcW w:w="1941" w:type="pct"/>
            <w:vMerge w:val="continue"/>
            <w:vAlign w:val="center"/>
          </w:tcPr>
          <w:p w14:paraId="1F2BE2F4">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83" w:type="pct"/>
            <w:vMerge w:val="continue"/>
            <w:vAlign w:val="center"/>
          </w:tcPr>
          <w:p w14:paraId="2430C64C">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14:paraId="2BA53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13F500C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04BACD3A">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各县（区）要将符合条件的优先保护类耕地划为永久基本农田，实行严格保护，确保其面积不减少、土壤环境质量不下降，除法律规定的重点建设项目选址确实无法避让外，其他任何建设不得占用。对优先保护类耕地面积减少或土壤环境质量下降的县（区），市政府将对其进行预警提醒并依法采取环评限批等限制性措施。</w:t>
            </w:r>
          </w:p>
        </w:tc>
        <w:tc>
          <w:tcPr>
            <w:tcW w:w="1941" w:type="pct"/>
            <w:vAlign w:val="center"/>
          </w:tcPr>
          <w:p w14:paraId="0F5A1F8B">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本工程作为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管线改造工程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，施工阶段</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涉及</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占用耕地（基本农田</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施工完毕后1年内，临时占地全部恢复原有植被类型，即占用农田全部恢复为耕地。临时占地恢复也可在征地过程中给予农民一定的费用补偿，由农民自行进行土地恢复。</w:t>
            </w:r>
          </w:p>
        </w:tc>
        <w:tc>
          <w:tcPr>
            <w:tcW w:w="383" w:type="pct"/>
            <w:vAlign w:val="center"/>
          </w:tcPr>
          <w:p w14:paraId="2DCAC0EA">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r w14:paraId="25B76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39" w:type="pct"/>
            <w:vMerge w:val="continue"/>
            <w:vAlign w:val="center"/>
          </w:tcPr>
          <w:p w14:paraId="75D672D6">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235" w:type="pct"/>
            <w:vAlign w:val="center"/>
          </w:tcPr>
          <w:p w14:paraId="6DAC382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941" w:type="pct"/>
            <w:vAlign w:val="center"/>
          </w:tcPr>
          <w:p w14:paraId="25B8F55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本项目环评阶段开展了评价范围内土壤的环境质量现状调查、土壤环境影响分析及土壤污染防治措施及其可行性论证，提出土壤跟踪监测计划，并提出三同时验收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的</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落实要求。</w:t>
            </w:r>
          </w:p>
        </w:tc>
        <w:tc>
          <w:tcPr>
            <w:tcW w:w="383" w:type="pct"/>
            <w:vAlign w:val="center"/>
          </w:tcPr>
          <w:p w14:paraId="38E50A40">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符合</w:t>
            </w:r>
          </w:p>
        </w:tc>
      </w:tr>
    </w:tbl>
    <w:p w14:paraId="44BE0BA6">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1.5.5</w:t>
      </w:r>
      <w:r>
        <w:rPr>
          <w:rFonts w:hint="eastAsia"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生态环境保护规划符合性分析</w:t>
      </w:r>
    </w:p>
    <w:p w14:paraId="60DAC574">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9"/>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（1）与《黑龙江省“十四五”生态环境保护规划》符合性分析</w:t>
      </w:r>
    </w:p>
    <w:p w14:paraId="17B75F6B">
      <w:pPr>
        <w:widowControl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本项目与《黑龙江省“十四五”</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instrText xml:space="preserve"> HYPERLINK "https://daqi.bjx.com.cn/zt.asp?topic=%c9%fa%cc%ac%bb%b7%be%b3%b1%a3%bb%a4" \o "生态环境保护新闻专题" \t "https://huanbao.bjx.com.cn/news/20220101/_blank" </w:instrTex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fldChar w:fldCharType="separate"/>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生态环境保护</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规划》符合性分析见表1.5-1</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p>
    <w:p w14:paraId="352B3E7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表1.5-1</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与黑龙江省“十四五”</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instrText xml:space="preserve"> HYPERLINK "https://daqi.bjx.com.cn/zt.asp?topic=%c9%fa%cc%ac%bb%b7%be%b3%b1%a3%bb%a4" \o "生态环境保护新闻专题" \t "https://huanbao.bjx.com.cn/news/20220101/_blank" </w:instrTex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生态环境保护</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规划符合性分析一览表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446"/>
        <w:gridCol w:w="3586"/>
        <w:gridCol w:w="4792"/>
        <w:gridCol w:w="464"/>
      </w:tblGrid>
      <w:tr w14:paraId="74AF27F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1B36144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0" w:type="auto"/>
            <w:tcBorders>
              <w:tl2br w:val="nil"/>
              <w:tr2bl w:val="nil"/>
            </w:tcBorders>
            <w:noWrap w:val="0"/>
            <w:vAlign w:val="center"/>
          </w:tcPr>
          <w:p w14:paraId="1DF76E64">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要求</w:t>
            </w:r>
          </w:p>
        </w:tc>
        <w:tc>
          <w:tcPr>
            <w:tcW w:w="0" w:type="auto"/>
            <w:tcBorders>
              <w:tl2br w:val="nil"/>
              <w:tr2bl w:val="nil"/>
            </w:tcBorders>
            <w:noWrap w:val="0"/>
            <w:vAlign w:val="center"/>
          </w:tcPr>
          <w:p w14:paraId="6A58D42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符合性</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分析</w:t>
            </w:r>
          </w:p>
        </w:tc>
        <w:tc>
          <w:tcPr>
            <w:tcW w:w="0" w:type="auto"/>
            <w:tcBorders>
              <w:tl2br w:val="nil"/>
              <w:tr2bl w:val="nil"/>
            </w:tcBorders>
            <w:noWrap w:val="0"/>
            <w:vAlign w:val="center"/>
          </w:tcPr>
          <w:p w14:paraId="282894F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37B4146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6774095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0" w:type="auto"/>
            <w:tcBorders>
              <w:tl2br w:val="nil"/>
              <w:tr2bl w:val="nil"/>
            </w:tcBorders>
            <w:noWrap w:val="0"/>
            <w:vAlign w:val="center"/>
          </w:tcPr>
          <w:p w14:paraId="7833445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w:t>
            </w:r>
          </w:p>
        </w:tc>
        <w:tc>
          <w:tcPr>
            <w:tcW w:w="0" w:type="auto"/>
            <w:tcBorders>
              <w:tl2br w:val="nil"/>
              <w:tr2bl w:val="nil"/>
            </w:tcBorders>
            <w:noWrap w:val="0"/>
            <w:vAlign w:val="center"/>
          </w:tcPr>
          <w:p w14:paraId="4E0093C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①为防止因交通运输量的增加而导致的扬尘污染，合理规划道路运输路线，尽量利用现有公路网络。</w:t>
            </w:r>
          </w:p>
          <w:p w14:paraId="6178AAB8">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②运输道路、施工场地应定时洒水抑尘，定期清扫散落在施工场地的泥土，应实行湿法吸扫，严禁干扫和吹扫，以减少扬尘对周边土壤和植被的影响。</w:t>
            </w:r>
          </w:p>
          <w:p w14:paraId="58A45C3A">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③运料车辆在运输时，车辆应当采取全密闭措施，需要在运料顶部加盖篷布，严禁敞开式、半敞开式运输，不得装载过满，以防洒落在地，形成二次扬尘。</w:t>
            </w:r>
          </w:p>
          <w:p w14:paraId="1077C133">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④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14:paraId="057743E7">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⑤合理规划施工进度，表土剥离及时开挖，及时回填，防止弃土风化失水而起沙起尘；遇大风天气应停止土方工程施工作业。</w:t>
            </w:r>
          </w:p>
          <w:p w14:paraId="07F8551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⑥施工完成后，在绿化季节到来时应立即对临时占地进行植被恢复</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404F7A0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⑦施工结束后，应及时进行施工场地的清理，清除积土、堆物。</w:t>
            </w:r>
          </w:p>
        </w:tc>
        <w:tc>
          <w:tcPr>
            <w:tcW w:w="0" w:type="auto"/>
            <w:tcBorders>
              <w:tl2br w:val="nil"/>
              <w:tr2bl w:val="nil"/>
            </w:tcBorders>
            <w:noWrap w:val="0"/>
            <w:vAlign w:val="center"/>
          </w:tcPr>
          <w:p w14:paraId="7822699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24488AF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09350589">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0" w:type="auto"/>
            <w:tcBorders>
              <w:tl2br w:val="nil"/>
              <w:tr2bl w:val="nil"/>
            </w:tcBorders>
            <w:noWrap w:val="0"/>
            <w:vAlign w:val="center"/>
          </w:tcPr>
          <w:p w14:paraId="1E2A2512">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开展VOCs（挥发性有机物）全过程综合整治。</w:t>
            </w:r>
          </w:p>
        </w:tc>
        <w:tc>
          <w:tcPr>
            <w:tcW w:w="0" w:type="auto"/>
            <w:tcBorders>
              <w:tl2br w:val="nil"/>
              <w:tr2bl w:val="nil"/>
            </w:tcBorders>
            <w:noWrap w:val="0"/>
            <w:vAlign w:val="center"/>
          </w:tcPr>
          <w:p w14:paraId="2BE8FBA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项目在石油开采集输过程中均采取了埋地的集油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，降低了非甲烷总烃的无组织挥发</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0" w:type="auto"/>
            <w:tcBorders>
              <w:tl2br w:val="nil"/>
              <w:tr2bl w:val="nil"/>
            </w:tcBorders>
            <w:noWrap w:val="0"/>
            <w:vAlign w:val="center"/>
          </w:tcPr>
          <w:p w14:paraId="2145CFA9">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r w14:paraId="4A25C01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14:paraId="1ABE181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0" w:type="auto"/>
            <w:tcBorders>
              <w:tl2br w:val="nil"/>
              <w:tr2bl w:val="nil"/>
            </w:tcBorders>
            <w:noWrap w:val="0"/>
            <w:vAlign w:val="center"/>
          </w:tcPr>
          <w:p w14:paraId="1EDB9E3C">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加强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地下水</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污染源头预防与风险管控。</w:t>
            </w:r>
          </w:p>
        </w:tc>
        <w:tc>
          <w:tcPr>
            <w:tcW w:w="0" w:type="auto"/>
            <w:tcBorders>
              <w:tl2br w:val="nil"/>
              <w:tr2bl w:val="nil"/>
            </w:tcBorders>
            <w:noWrap w:val="0"/>
            <w:vAlign w:val="center"/>
          </w:tcPr>
          <w:p w14:paraId="7A88971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退役期废弃管道清管废水、新建管道试压废水由罐车拉运至宋一联含油污水处理站进行处理，处理后的污水指标满足《大庆油田地面工程建设设计规定》（Q/SYDQ0639-2015）、《碎屑岩油藏注水水质指标技术要求及分析方法》（SY/T5329-2022）标准要求后回注地下开采油层，不外排。</w:t>
            </w:r>
          </w:p>
          <w:p w14:paraId="682EEDA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施工期生活污水排入附近计量间、场站等已建防渗旱厕，经排污罐车抽排至高平4号污水站，排入大庆市净源环保科技有限公司处理。</w:t>
            </w:r>
          </w:p>
          <w:p w14:paraId="2DA6D59B">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同时，本次评价要求项目采取分区防渗措施，最大程度保证不污染地下水及土壤等环境。</w:t>
            </w:r>
          </w:p>
        </w:tc>
        <w:tc>
          <w:tcPr>
            <w:tcW w:w="0" w:type="auto"/>
            <w:tcBorders>
              <w:tl2br w:val="nil"/>
              <w:tr2bl w:val="nil"/>
            </w:tcBorders>
            <w:noWrap w:val="0"/>
            <w:vAlign w:val="center"/>
          </w:tcPr>
          <w:p w14:paraId="3658082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5278DA7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00484A1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0" w:type="auto"/>
            <w:tcBorders>
              <w:tl2br w:val="nil"/>
              <w:tr2bl w:val="nil"/>
            </w:tcBorders>
            <w:noWrap w:val="0"/>
            <w:vAlign w:val="center"/>
          </w:tcPr>
          <w:p w14:paraId="5F9D457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强化土壤污染源系统防控。</w:t>
            </w:r>
          </w:p>
          <w:p w14:paraId="767736E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加强空间布局管控。将土壤和地下水环境管理纳入国土空间规划，根据土壤污染的环境风险，合理确定土地用途。永久基本农田集中区禁止规划建设可能造成土壤污染的建设项目。对涉及有毒有害物质可能造成土壤污染的建设项目，依法进行环境影响评价，按规定提出并落实防腐蚀、防渗漏、防遗撒等土壤污染防治具体措施。</w:t>
            </w:r>
          </w:p>
          <w:p w14:paraId="3171980A">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防范工矿企业新增土壤污染。动态更新土壤污染重点监管单位名录，监督全面落实土壤污染防治义务，依法纳入排污许可管理。鼓励土壤污染重点监管单位实施提标改造。各地定期组织开展土壤污染重点监管单位和地下水重点污染源周边土壤、地下水环境监测，督促企业定期开展土壤和地下水环境自行监测、污染隐患排查治理。防控矿产资源开发污染土壤，加强尾矿库安全管理。</w:t>
            </w:r>
          </w:p>
        </w:tc>
        <w:tc>
          <w:tcPr>
            <w:tcW w:w="0" w:type="auto"/>
            <w:tcBorders>
              <w:tl2br w:val="nil"/>
              <w:tr2bl w:val="nil"/>
            </w:tcBorders>
            <w:noWrap w:val="0"/>
            <w:vAlign w:val="center"/>
          </w:tcPr>
          <w:p w14:paraId="1607CEE8">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作为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土壤重点企业每年对区域内土壤进行监测，并在大庆油田信息港进行信息公开。</w:t>
            </w:r>
          </w:p>
          <w:p w14:paraId="69BFCCD7">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微软雅黑"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根据监测结果，各监测点位污染物浓度均满足《土壤环境质量 建设用地土壤污染风险管控标准（试行）》（GB36600-2018）中第二类用地风险筛选值。同时，本次评价设置了土壤跟踪监测点位，能够及时有效的跟踪调查项目土壤的受污染情况</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0" w:type="auto"/>
            <w:tcBorders>
              <w:tl2br w:val="nil"/>
              <w:tr2bl w:val="nil"/>
            </w:tcBorders>
            <w:noWrap w:val="0"/>
            <w:vAlign w:val="center"/>
          </w:tcPr>
          <w:p w14:paraId="1E70177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1487404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2E92DC8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0" w:type="auto"/>
            <w:tcBorders>
              <w:tl2br w:val="nil"/>
              <w:tr2bl w:val="nil"/>
            </w:tcBorders>
            <w:noWrap w:val="0"/>
            <w:vAlign w:val="center"/>
          </w:tcPr>
          <w:p w14:paraId="5D194323">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统筹推进山水林田湖草沙冰一体化保护和修复。全面加强天然林保护，开展大规模国土绿化行动，推行林长制。继续推进松嫩、三江平原农田防护林等重点防护林体系建设。坚持自然恢复为主，加强湿地保护，围绕三江、松嫩两大湿地平原和松花江沿岸，实施重大湿地保护修复工程。</w:t>
            </w:r>
          </w:p>
        </w:tc>
        <w:tc>
          <w:tcPr>
            <w:tcW w:w="0" w:type="auto"/>
            <w:tcBorders>
              <w:tl2br w:val="nil"/>
              <w:tr2bl w:val="nil"/>
            </w:tcBorders>
            <w:noWrap w:val="0"/>
            <w:vAlign w:val="center"/>
          </w:tcPr>
          <w:p w14:paraId="3C2C67D2">
            <w:pPr>
              <w:keepLines w:val="0"/>
              <w:pageBreakBefore w:val="0"/>
              <w:widowControl w:val="0"/>
              <w:topLinePunct w:val="0"/>
              <w:autoSpaceDE w:val="0"/>
              <w:autoSpaceDN w:val="0"/>
              <w:bidi w:val="0"/>
              <w:adjustRightInd w:val="0"/>
              <w:snapToGrid/>
              <w:spacing w:after="0" w:line="240" w:lineRule="auto"/>
              <w:ind w:firstLine="420" w:firstLineChars="200"/>
              <w:jc w:val="both"/>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本项目不涉及湿地，</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项目的建设不会对地表水和湿地造成影响。施工结束时对临时占用耕地进行复垦，</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草地进行植被恢复，</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对移栽的林木进行恢复</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0" w:type="auto"/>
            <w:tcBorders>
              <w:tl2br w:val="nil"/>
              <w:tr2bl w:val="nil"/>
            </w:tcBorders>
            <w:noWrap w:val="0"/>
            <w:vAlign w:val="center"/>
          </w:tcPr>
          <w:p w14:paraId="6979F4E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522E329E">
      <w:pPr>
        <w:widowControl w:val="0"/>
        <w:adjustRightInd/>
        <w:snapToGrid/>
        <w:spacing w:after="0" w:line="360" w:lineRule="auto"/>
        <w:ind w:firstLine="480" w:firstLineChars="200"/>
        <w:jc w:val="both"/>
        <w:rPr>
          <w:rFonts w:hint="eastAsia"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综上所述，本项目符合《黑龙江省“十四五”生态环境保护规划》要求</w:t>
      </w:r>
      <w:r>
        <w:rPr>
          <w:rFonts w:hint="eastAsia"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w:t>
      </w:r>
    </w:p>
    <w:p w14:paraId="55772303">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2）与《大庆市“十四五”生态环境保护规划》符合性分析</w:t>
      </w:r>
    </w:p>
    <w:p w14:paraId="0B1FC430">
      <w:pPr>
        <w:widowControl w:val="0"/>
        <w:adjustRightInd/>
        <w:snapToGrid/>
        <w:spacing w:after="0" w:line="360" w:lineRule="auto"/>
        <w:ind w:firstLine="480" w:firstLineChars="200"/>
        <w:jc w:val="both"/>
        <w:rPr>
          <w:rFonts w:hint="eastAsia"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本项目与《大庆市“十四五”生态环境保护规划》符合性分析见表1.5-</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18</w:t>
      </w:r>
      <w:r>
        <w:rPr>
          <w:rFonts w:hint="eastAsia"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w:t>
      </w:r>
    </w:p>
    <w:p w14:paraId="08A3B3A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1.5-</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18</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与</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大庆市</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生态环境保护“十四五”符合性一览表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437"/>
        <w:gridCol w:w="2776"/>
        <w:gridCol w:w="5361"/>
        <w:gridCol w:w="714"/>
      </w:tblGrid>
      <w:tr w14:paraId="35397BC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235" w:type="pct"/>
            <w:tcBorders>
              <w:tl2br w:val="nil"/>
              <w:tr2bl w:val="nil"/>
            </w:tcBorders>
            <w:noWrap w:val="0"/>
            <w:vAlign w:val="center"/>
          </w:tcPr>
          <w:p w14:paraId="58FC216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1494" w:type="pct"/>
            <w:tcBorders>
              <w:tl2br w:val="nil"/>
              <w:tr2bl w:val="nil"/>
            </w:tcBorders>
            <w:noWrap w:val="0"/>
            <w:vAlign w:val="center"/>
          </w:tcPr>
          <w:p w14:paraId="39B6FD6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要求</w:t>
            </w:r>
          </w:p>
        </w:tc>
        <w:tc>
          <w:tcPr>
            <w:tcW w:w="2885" w:type="pct"/>
            <w:tcBorders>
              <w:tl2br w:val="nil"/>
              <w:tr2bl w:val="nil"/>
            </w:tcBorders>
            <w:noWrap w:val="0"/>
            <w:vAlign w:val="center"/>
          </w:tcPr>
          <w:p w14:paraId="0D7E75E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符合性</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分析</w:t>
            </w:r>
          </w:p>
        </w:tc>
        <w:tc>
          <w:tcPr>
            <w:tcW w:w="384" w:type="pct"/>
            <w:tcBorders>
              <w:tl2br w:val="nil"/>
              <w:tr2bl w:val="nil"/>
            </w:tcBorders>
            <w:noWrap w:val="0"/>
            <w:vAlign w:val="center"/>
          </w:tcPr>
          <w:p w14:paraId="79937C4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5C803245">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235" w:type="pct"/>
            <w:tcBorders>
              <w:tl2br w:val="nil"/>
              <w:tr2bl w:val="nil"/>
            </w:tcBorders>
            <w:noWrap w:val="0"/>
            <w:vAlign w:val="center"/>
          </w:tcPr>
          <w:p w14:paraId="5D46C4A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1494" w:type="pct"/>
            <w:tcBorders>
              <w:tl2br w:val="nil"/>
              <w:tr2bl w:val="nil"/>
            </w:tcBorders>
            <w:noWrap w:val="0"/>
            <w:vAlign w:val="center"/>
          </w:tcPr>
          <w:p w14:paraId="35727B8A">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城市裸露地面、粉粒类物料以及干散货物料堆场，全面完成抑尘设施建设和物料输送系统封闭改造，鼓励有条件的堆场实施全封闭改造。</w:t>
            </w:r>
          </w:p>
        </w:tc>
        <w:tc>
          <w:tcPr>
            <w:tcW w:w="2885" w:type="pct"/>
            <w:tcBorders>
              <w:tl2br w:val="nil"/>
              <w:tr2bl w:val="nil"/>
            </w:tcBorders>
            <w:noWrap w:val="0"/>
            <w:vAlign w:val="center"/>
          </w:tcPr>
          <w:p w14:paraId="56BE5519">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①为防止因交通运输量的增加而导致的扬尘污染，合理规划道路运输路线，尽量利用现有公路网络。</w:t>
            </w:r>
          </w:p>
          <w:p w14:paraId="2C976BA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②运输道路、施工场地应定时洒水抑尘，定期清扫散落在施工场地的泥土，应实行湿法吸扫，严禁干扫和吹扫，以减少扬尘对周边土壤和植被的影响。</w:t>
            </w:r>
          </w:p>
          <w:p w14:paraId="745B4128">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③运料车辆在运输时，车辆应当采取全密闭措施，需要在运料顶部加盖篷布，严禁敞开式、半敞开式运输，不得装载过满，以防洒落在地，形成二次扬尘。</w:t>
            </w:r>
          </w:p>
          <w:p w14:paraId="186DCAE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④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14:paraId="30CF9A80">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⑤合理规划施工进度，表土剥离及时开挖，及时回填，防止弃土风化失水而起沙起尘；遇大风天气应停止土方工程施工作业。</w:t>
            </w:r>
          </w:p>
          <w:p w14:paraId="529EE947">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⑥施工完成后，在绿化季节到来时应立即对临时占地进行植被恢复</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5F89E68E">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⑦施工结束后，应及时进行施工场地的清理，清除积土、堆物。</w:t>
            </w:r>
          </w:p>
        </w:tc>
        <w:tc>
          <w:tcPr>
            <w:tcW w:w="384" w:type="pct"/>
            <w:tcBorders>
              <w:tl2br w:val="nil"/>
              <w:tr2bl w:val="nil"/>
            </w:tcBorders>
            <w:noWrap w:val="0"/>
            <w:vAlign w:val="center"/>
          </w:tcPr>
          <w:p w14:paraId="068E5D8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3274CC8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235" w:type="pct"/>
            <w:tcBorders>
              <w:tl2br w:val="nil"/>
              <w:tr2bl w:val="nil"/>
            </w:tcBorders>
            <w:noWrap w:val="0"/>
            <w:vAlign w:val="center"/>
          </w:tcPr>
          <w:p w14:paraId="0E8AAEF9">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494" w:type="pct"/>
            <w:tcBorders>
              <w:tl2br w:val="nil"/>
              <w:tr2bl w:val="nil"/>
            </w:tcBorders>
            <w:noWrap w:val="0"/>
            <w:vAlign w:val="center"/>
          </w:tcPr>
          <w:p w14:paraId="4EAA2CB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开展VOCs全过程综合整治。</w:t>
            </w:r>
          </w:p>
        </w:tc>
        <w:tc>
          <w:tcPr>
            <w:tcW w:w="2885" w:type="pct"/>
            <w:tcBorders>
              <w:tl2br w:val="nil"/>
              <w:tr2bl w:val="nil"/>
            </w:tcBorders>
            <w:noWrap w:val="0"/>
            <w:vAlign w:val="center"/>
          </w:tcPr>
          <w:p w14:paraId="3D066A8D">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项目在石油开采集输过程中均采取了埋地的集油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，降低了非甲烷总烃的无组织挥发</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384" w:type="pct"/>
            <w:tcBorders>
              <w:tl2br w:val="nil"/>
              <w:tr2bl w:val="nil"/>
            </w:tcBorders>
            <w:noWrap w:val="0"/>
            <w:vAlign w:val="center"/>
          </w:tcPr>
          <w:p w14:paraId="70EE7B3B">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7F91C40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345" w:hRule="atLeast"/>
          <w:jc w:val="center"/>
        </w:trPr>
        <w:tc>
          <w:tcPr>
            <w:tcW w:w="235" w:type="pct"/>
            <w:tcBorders>
              <w:tl2br w:val="nil"/>
              <w:tr2bl w:val="nil"/>
            </w:tcBorders>
            <w:noWrap w:val="0"/>
            <w:vAlign w:val="center"/>
          </w:tcPr>
          <w:p w14:paraId="11E40AF3">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1494" w:type="pct"/>
            <w:tcBorders>
              <w:tl2br w:val="nil"/>
              <w:tr2bl w:val="nil"/>
            </w:tcBorders>
            <w:noWrap w:val="0"/>
            <w:vAlign w:val="center"/>
          </w:tcPr>
          <w:p w14:paraId="3BE6AE32">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加强地下水生态环境保护和污染防治。</w:t>
            </w:r>
          </w:p>
          <w:p w14:paraId="591A6F2F">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全面开展地下水污染分区防治，提出地下水污染分区防治措施，实施地下水污染源分类监管。</w:t>
            </w:r>
          </w:p>
        </w:tc>
        <w:tc>
          <w:tcPr>
            <w:tcW w:w="2885" w:type="pct"/>
            <w:tcBorders>
              <w:tl2br w:val="nil"/>
              <w:tr2bl w:val="nil"/>
            </w:tcBorders>
            <w:noWrap w:val="0"/>
            <w:vAlign w:val="center"/>
          </w:tcPr>
          <w:p w14:paraId="5F3BA9D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退役期废弃管道清管废水、新建管道试压废水由罐车拉运至宋一联含油污水处理站进行处理，处理后的污水指标满足《大庆油田地面工程建设设计规定》（Q/SYDQ0639-2015）、《碎屑岩油藏注水水质指标技术要求及分析方法》（SY/T5329-2022）标准要求后回注地下开采油层，不外排。</w:t>
            </w:r>
          </w:p>
          <w:p w14:paraId="77C441A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施工期生活污水排入附近计量间、场站等已建防渗旱厕，经排污罐车抽排至高平4号污水站，排入大庆市净源环保科技有限公司处理。</w:t>
            </w:r>
          </w:p>
          <w:p w14:paraId="7AFAE70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参照《环境影响评价技术导则地下水环境》（HJ610-2016）</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将地下集输管道划分为重点防渗区。</w:t>
            </w:r>
          </w:p>
          <w:p w14:paraId="3BCA765A">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地下集输管道选用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内缠胶带硬质聚氨酯泡沫夹克管</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，集输管道壁厚的腐蚀余量大于3mm或采用管道内防腐，管道的外防腐等级应采用特加强级；管道的连接方式均采用焊接，防渗性能等效黏土防渗层Mb≥6m、K≤1.0×10</w:t>
            </w:r>
            <w:r>
              <w:rPr>
                <w:rFonts w:hint="eastAsia" w:ascii="Times New Roman" w:hAnsi="Times New Roman" w:eastAsia="宋体" w:cs="Times New Roman"/>
                <w:bCs/>
                <w:snapToGrid w:val="0"/>
                <w:color w:val="000000" w:themeColor="text1"/>
                <w:kern w:val="0"/>
                <w:sz w:val="21"/>
                <w:szCs w:val="21"/>
                <w:highlight w:val="none"/>
                <w:vertAlign w:val="superscript"/>
                <w:lang w:val="en-US" w:eastAsia="zh-CN"/>
                <w14:textFill>
                  <w14:solidFill>
                    <w14:schemeClr w14:val="tx1"/>
                  </w14:solidFill>
                </w14:textFill>
              </w:rPr>
              <w:t>-7</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cm/s，满足《环境影响评价技术导则 地下水环境》（HJ610-2016）中重点防渗区的要求。</w:t>
            </w:r>
          </w:p>
          <w:p w14:paraId="05EDC1E1">
            <w:pPr>
              <w:keepNext w:val="0"/>
              <w:keepLines w:val="0"/>
              <w:pageBreakBefore w:val="0"/>
              <w:widowControl/>
              <w:kinsoku/>
              <w:wordWrap/>
              <w:overflowPunct/>
              <w:topLinePunct w:val="0"/>
              <w:autoSpaceDE/>
              <w:autoSpaceDN/>
              <w:bidi w:val="0"/>
              <w:adjustRightInd w:val="0"/>
              <w:snapToGrid w:val="0"/>
              <w:spacing w:after="0"/>
              <w:ind w:firstLine="420" w:firstLineChars="200"/>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定向钻施工时，防渗泥浆池、泥浆配置区等区域，场地铺设1.5mm厚高密度聚乙烯膜构筑防渗层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防渗性能等效黏土防渗层Mb≥</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m、K≤1.0×10</w:t>
            </w:r>
            <w:r>
              <w:rPr>
                <w:rFonts w:hint="default" w:ascii="Times New Roman" w:hAnsi="Times New Roman" w:eastAsia="宋体" w:cs="Times New Roman"/>
                <w:bCs/>
                <w:snapToGrid w:val="0"/>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cm/s，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满足《环境影响评价技术导则地下水环境》（HJ610-2016）一般防渗区技术要求</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p>
        </w:tc>
        <w:tc>
          <w:tcPr>
            <w:tcW w:w="384" w:type="pct"/>
            <w:tcBorders>
              <w:tl2br w:val="nil"/>
              <w:tr2bl w:val="nil"/>
            </w:tcBorders>
            <w:noWrap w:val="0"/>
            <w:vAlign w:val="center"/>
          </w:tcPr>
          <w:p w14:paraId="3675CB76">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7FAF86FB">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235" w:type="pct"/>
            <w:tcBorders>
              <w:bottom w:val="single" w:color="auto" w:sz="2" w:space="0"/>
              <w:tl2br w:val="nil"/>
              <w:tr2bl w:val="nil"/>
            </w:tcBorders>
            <w:noWrap w:val="0"/>
            <w:vAlign w:val="center"/>
          </w:tcPr>
          <w:p w14:paraId="02EB9B62">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494" w:type="pct"/>
            <w:tcBorders>
              <w:bottom w:val="single" w:color="auto" w:sz="2" w:space="0"/>
              <w:tl2br w:val="nil"/>
              <w:tr2bl w:val="nil"/>
            </w:tcBorders>
            <w:noWrap w:val="0"/>
            <w:vAlign w:val="center"/>
          </w:tcPr>
          <w:p w14:paraId="59EBE4D2">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强化土壤环境重点企业监管。</w:t>
            </w:r>
          </w:p>
          <w:p w14:paraId="1BAF1A0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每年定期公布全市土壤污染重点监管单位名录，对土壤环境重点监管企业和全市工业园区周边土壤开展监督性监测，根据《重点监管单位土壤污染隐患排查指南（试行）》，指导企业开展土壤污染隐患排查。</w:t>
            </w:r>
          </w:p>
        </w:tc>
        <w:tc>
          <w:tcPr>
            <w:tcW w:w="2885" w:type="pct"/>
            <w:tcBorders>
              <w:bottom w:val="single" w:color="auto" w:sz="2" w:space="0"/>
              <w:tl2br w:val="nil"/>
              <w:tr2bl w:val="nil"/>
            </w:tcBorders>
            <w:noWrap w:val="0"/>
            <w:vAlign w:val="center"/>
          </w:tcPr>
          <w:p w14:paraId="0031AD7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作为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土壤重点企业每年对区域内土壤进行监测，并在大庆油田信息港进行信息公开。</w:t>
            </w:r>
          </w:p>
          <w:p w14:paraId="66541981">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根据监测结果，各监测点位污染物浓度均满足《土壤环境质量 建设用地土壤污染风险管控标准（试行）》（GB36600-2018）中第二类用地风险筛选值。同时，本次评价设置了土壤跟踪监测点位，能够及时有效的跟踪调查项目土壤的受污染情况。</w:t>
            </w:r>
          </w:p>
        </w:tc>
        <w:tc>
          <w:tcPr>
            <w:tcW w:w="384" w:type="pct"/>
            <w:tcBorders>
              <w:bottom w:val="single" w:color="auto" w:sz="2" w:space="0"/>
              <w:tl2br w:val="nil"/>
              <w:tr2bl w:val="nil"/>
            </w:tcBorders>
            <w:noWrap w:val="0"/>
            <w:vAlign w:val="center"/>
          </w:tcPr>
          <w:p w14:paraId="5A727C11">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246D2AF0">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235" w:type="pct"/>
            <w:tcBorders>
              <w:top w:val="single" w:color="auto" w:sz="2" w:space="0"/>
              <w:tl2br w:val="nil"/>
              <w:tr2bl w:val="nil"/>
            </w:tcBorders>
            <w:noWrap w:val="0"/>
            <w:vAlign w:val="center"/>
          </w:tcPr>
          <w:p w14:paraId="31433DB6">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494" w:type="pct"/>
            <w:tcBorders>
              <w:top w:val="single" w:color="auto" w:sz="2" w:space="0"/>
              <w:tl2br w:val="nil"/>
              <w:tr2bl w:val="nil"/>
            </w:tcBorders>
            <w:noWrap w:val="0"/>
            <w:vAlign w:val="center"/>
          </w:tcPr>
          <w:p w14:paraId="060ECEDF">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提升黑土区资源利用的可持续性。</w:t>
            </w:r>
          </w:p>
          <w:p w14:paraId="35949C25">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严控耕地保护红线。实行最严格的耕地保护制度，对黑土耕地全面进行管控。落实“三线一单”生态环境分区中与耕地相关管控要求。</w:t>
            </w:r>
          </w:p>
          <w:p w14:paraId="1020E8F6">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2885" w:type="pct"/>
            <w:tcBorders>
              <w:top w:val="single" w:color="auto" w:sz="2" w:space="0"/>
              <w:tl2br w:val="nil"/>
              <w:tr2bl w:val="nil"/>
            </w:tcBorders>
            <w:noWrap w:val="0"/>
            <w:vAlign w:val="center"/>
          </w:tcPr>
          <w:p w14:paraId="7A6E40BF">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本项目施工过程中，需遵守《大庆油</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气</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田建设工程用地规范》规定，严格控制施工作业面积，加强施工管理，尽量减少占地面积，并规范行车路线及施工人员行为，严禁随意践踏、碾压施工区范围外的植被，不准乱挖、乱采野生植物，确保尽量少占优质黑</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土地。</w:t>
            </w:r>
          </w:p>
          <w:p w14:paraId="78EDE8EB">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管道施工</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表土剥离厚度为30cm，剥离的表土放在置土带外侧，管沟挖方土放置在置土带内侧（靠近管沟侧），置土带采取先设置编织袋压护，</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再</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采用单行十字形压护，加强防护的方式防止水土流失施工结束后，采用分层回填压实，按生、熟土顺序填放，保护耕作层，回填后管沟上方留有自然沉降余量，管沟回填多余的土严禁大量集中弃置，应均匀分散在管道中心两侧，并使管沟与周围地表形成</w:t>
            </w:r>
            <w:r>
              <w:rPr>
                <w:rFonts w:hint="eastAsia"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平滑过渡</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，不得形成汇水环境有效保护黑土地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p w14:paraId="1007DA77">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保护有耕作能力种植价值的表层土壤，</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并对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临时占</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耕地</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进行</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复垦</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草地恢复地表植被</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，对移栽的林木进行恢复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p w14:paraId="36B1458B">
            <w:pPr>
              <w:keepNext w:val="0"/>
              <w:keepLines w:val="0"/>
              <w:pageBreakBefore w:val="0"/>
              <w:widowControl w:val="0"/>
              <w:kinsoku/>
              <w:wordWrap/>
              <w:overflowPunct w:val="0"/>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部分管道选址无法避让耕地（基本农田），符合油田用地布局“地上服从地下原则”，建设单位采取有效污染防治措施，禁止破坏永久基本农田耕作层，禁止向农用地排放重金属或者其他有毒有害物质含量超标的污水、污泥。</w:t>
            </w:r>
          </w:p>
        </w:tc>
        <w:tc>
          <w:tcPr>
            <w:tcW w:w="384" w:type="pct"/>
            <w:tcBorders>
              <w:top w:val="single" w:color="auto" w:sz="2" w:space="0"/>
              <w:tl2br w:val="nil"/>
              <w:tr2bl w:val="nil"/>
            </w:tcBorders>
            <w:noWrap w:val="0"/>
            <w:vAlign w:val="center"/>
          </w:tcPr>
          <w:p w14:paraId="75812C9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37C4B261">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contextualSpacing/>
        <w:jc w:val="both"/>
        <w:textAlignment w:val="auto"/>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综合以上分析，本项目符合《大庆市“十四五”生态环境保护规划》</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p>
    <w:p w14:paraId="7B328EFD">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）与《</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绥化</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市“十四五”生态环境保护规划》符合性分析</w:t>
      </w:r>
    </w:p>
    <w:p w14:paraId="2555D836">
      <w:pPr>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contextualSpacing/>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本项目与《</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绥化</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市“十四五”生态环境保护规划》符合性分析见表1.5-</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19。</w:t>
      </w:r>
    </w:p>
    <w:p w14:paraId="19D6B4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表1.5-</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19</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与绥化市“十四五”</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instrText xml:space="preserve"> HYPERLINK "https://daqi.bjx.com.cn/zt.asp?topic=%c9%fa%cc%ac%bb%b7%be%b3%b1%a3%bb%a4" \o "生态环境保护新闻专题" \t "https://huanbao.bjx.com.cn/news/20220101/_blank" </w:instrTex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生态环境保护</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规划符合性分析一览表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451"/>
        <w:gridCol w:w="2771"/>
        <w:gridCol w:w="5325"/>
        <w:gridCol w:w="741"/>
      </w:tblGrid>
      <w:tr w14:paraId="15E29B4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337C0100">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2771" w:type="dxa"/>
            <w:tcBorders>
              <w:tl2br w:val="nil"/>
              <w:tr2bl w:val="nil"/>
            </w:tcBorders>
            <w:noWrap w:val="0"/>
            <w:vAlign w:val="center"/>
          </w:tcPr>
          <w:p w14:paraId="658EF8D4">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要求</w:t>
            </w:r>
          </w:p>
        </w:tc>
        <w:tc>
          <w:tcPr>
            <w:tcW w:w="5325" w:type="dxa"/>
            <w:tcBorders>
              <w:tl2br w:val="nil"/>
              <w:tr2bl w:val="nil"/>
            </w:tcBorders>
            <w:noWrap w:val="0"/>
            <w:vAlign w:val="center"/>
          </w:tcPr>
          <w:p w14:paraId="4952A8A2">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符合性</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分析</w:t>
            </w:r>
          </w:p>
        </w:tc>
        <w:tc>
          <w:tcPr>
            <w:tcW w:w="741" w:type="dxa"/>
            <w:tcBorders>
              <w:tl2br w:val="nil"/>
              <w:tr2bl w:val="nil"/>
            </w:tcBorders>
            <w:noWrap w:val="0"/>
            <w:vAlign w:val="center"/>
          </w:tcPr>
          <w:p w14:paraId="1EA1D243">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21BB56E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39730908">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2771" w:type="dxa"/>
            <w:tcBorders>
              <w:tl2br w:val="nil"/>
              <w:tr2bl w:val="nil"/>
            </w:tcBorders>
            <w:noWrap w:val="0"/>
            <w:vAlign w:val="center"/>
          </w:tcPr>
          <w:p w14:paraId="2DE909CE">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持续开展挥发性有机物综合治理。开展执法监测协同检查，针对执法检查发现的问题要求企业进行整改。</w:t>
            </w:r>
          </w:p>
        </w:tc>
        <w:tc>
          <w:tcPr>
            <w:tcW w:w="5325" w:type="dxa"/>
            <w:tcBorders>
              <w:tl2br w:val="nil"/>
              <w:tr2bl w:val="nil"/>
            </w:tcBorders>
            <w:noWrap w:val="0"/>
            <w:vAlign w:val="center"/>
          </w:tcPr>
          <w:p w14:paraId="67E4B66F">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项目在石油开采集输过程中均采取了埋地的集油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，降低了非甲烷总烃的无组织挥发</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741" w:type="dxa"/>
            <w:tcBorders>
              <w:tl2br w:val="nil"/>
              <w:tr2bl w:val="nil"/>
            </w:tcBorders>
            <w:noWrap w:val="0"/>
            <w:vAlign w:val="center"/>
          </w:tcPr>
          <w:p w14:paraId="1EE0DABD">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073CE94C">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5B812F9C">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2771" w:type="dxa"/>
            <w:tcBorders>
              <w:tl2br w:val="nil"/>
              <w:tr2bl w:val="nil"/>
            </w:tcBorders>
            <w:noWrap w:val="0"/>
            <w:vAlign w:val="center"/>
          </w:tcPr>
          <w:p w14:paraId="3B490183">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强化噪声污染防治。鼓励采用低噪声施工设备和工艺。</w:t>
            </w:r>
          </w:p>
        </w:tc>
        <w:tc>
          <w:tcPr>
            <w:tcW w:w="5325" w:type="dxa"/>
            <w:tcBorders>
              <w:tl2br w:val="nil"/>
              <w:tr2bl w:val="nil"/>
            </w:tcBorders>
            <w:noWrap w:val="0"/>
            <w:vAlign w:val="center"/>
          </w:tcPr>
          <w:p w14:paraId="1DDC16E7">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本项目施工期禁止夜间进行高噪声施工作业，定期对管线进行巡检，发现异常及时处理。</w:t>
            </w:r>
          </w:p>
        </w:tc>
        <w:tc>
          <w:tcPr>
            <w:tcW w:w="741" w:type="dxa"/>
            <w:tcBorders>
              <w:tl2br w:val="nil"/>
              <w:tr2bl w:val="nil"/>
            </w:tcBorders>
            <w:noWrap w:val="0"/>
            <w:vAlign w:val="center"/>
          </w:tcPr>
          <w:p w14:paraId="7A638ED4">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r w14:paraId="715C209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14:paraId="6A5AD06F">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2771" w:type="dxa"/>
            <w:tcBorders>
              <w:tl2br w:val="nil"/>
              <w:tr2bl w:val="nil"/>
            </w:tcBorders>
            <w:noWrap w:val="0"/>
            <w:vAlign w:val="center"/>
          </w:tcPr>
          <w:p w14:paraId="21631E2E">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防控矿产资源开发污染土壤。督促矿山企业依法落实环境污染修复工程措施，切实防治土壤污染。</w:t>
            </w:r>
          </w:p>
          <w:p w14:paraId="279CCD5D">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严格建设项目环境影响评价制度。对涉及有毒有害物质可能造成土壤污染的建设项目，依法进行环境影响评价，按规定提出并落实防腐蚀、防渗漏、防遗撒等土壤污染防治具体措施。</w:t>
            </w:r>
          </w:p>
        </w:tc>
        <w:tc>
          <w:tcPr>
            <w:tcW w:w="5325" w:type="dxa"/>
            <w:tcBorders>
              <w:tl2br w:val="nil"/>
              <w:tr2bl w:val="nil"/>
            </w:tcBorders>
            <w:noWrap w:val="0"/>
            <w:vAlign w:val="center"/>
          </w:tcPr>
          <w:p w14:paraId="7D4A0AD5">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本工程</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集输管线</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均为密闭输送。事故状态下造成的原油外漏，按照</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《大庆油田有限责任公司第八采油厂环境突发事件专项应急预案》（2023版）</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进行紧急处置，减轻对</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土壤</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环境的影响。</w:t>
            </w:r>
          </w:p>
          <w:p w14:paraId="5FB58C90">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sz w:val="21"/>
                <w:szCs w:val="21"/>
                <w:highlight w:val="none"/>
                <w14:textFill>
                  <w14:solidFill>
                    <w14:schemeClr w14:val="tx1"/>
                  </w14:solidFill>
                </w14:textFill>
              </w:rPr>
              <w:t>作为土壤重点企业每年对区域内</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土壤进行监测，并在大庆市油田信息港网站进行信息公开</w:t>
            </w:r>
            <w:r>
              <w:rPr>
                <w:rFonts w:hint="default" w:ascii="Times New Roman" w:hAnsi="Times New Roman" w:eastAsia="宋体" w:cs="Times New Roman"/>
                <w:color w:val="000000" w:themeColor="text1"/>
                <w:sz w:val="21"/>
                <w:szCs w:val="21"/>
                <w:highlight w:val="none"/>
                <w14:textFill>
                  <w14:solidFill>
                    <w14:schemeClr w14:val="tx1"/>
                  </w14:solidFill>
                </w14:textFill>
              </w:rPr>
              <w:t>。根据监测结果，各监测点位污染物浓度均满足《土壤环境质量 建设用地土壤污染风险管控标准（试行）》（GB36600-2018）中第二类用地风险筛选值。同时，本次评价设置了土壤跟踪监测点位，能够及时有效的跟踪调查项目土壤的受污染情况</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741" w:type="dxa"/>
            <w:tcBorders>
              <w:tl2br w:val="nil"/>
              <w:tr2bl w:val="nil"/>
            </w:tcBorders>
            <w:noWrap w:val="0"/>
            <w:vAlign w:val="center"/>
          </w:tcPr>
          <w:p w14:paraId="36BE9898">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r w14:paraId="3AB4E77F">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428523A5">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2771" w:type="dxa"/>
            <w:tcBorders>
              <w:tl2br w:val="nil"/>
              <w:tr2bl w:val="nil"/>
            </w:tcBorders>
            <w:noWrap w:val="0"/>
            <w:vAlign w:val="center"/>
          </w:tcPr>
          <w:p w14:paraId="7B3A41A3">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提升黑土区资源利用可持续性。严控耕地保护红线。实行最严格的耕地保护制度，对黑土耕地全面进行管控。</w:t>
            </w:r>
          </w:p>
        </w:tc>
        <w:tc>
          <w:tcPr>
            <w:tcW w:w="5325" w:type="dxa"/>
            <w:tcBorders>
              <w:tl2br w:val="nil"/>
              <w:tr2bl w:val="nil"/>
            </w:tcBorders>
            <w:noWrap w:val="0"/>
            <w:vAlign w:val="center"/>
          </w:tcPr>
          <w:p w14:paraId="4E2B966E">
            <w:pPr>
              <w:keepNext w:val="0"/>
              <w:keepLines w:val="0"/>
              <w:pageBreakBefore w:val="0"/>
              <w:widowControl w:val="0"/>
              <w:kinsoku/>
              <w:wordWrap/>
              <w:overflowPunct w:val="0"/>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本项目为管线改造工程，属于能源附属基本设施建设，服务于国家能源设施重点建设，根据油层地质勘查，项目</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占地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确实无法避让耕地、草地及林地，本项目施工完毕后1年内，临时占地全部恢复原有植被类型，即占用农田全部恢复为耕地，草地恢复植被、对移栽的林木进行恢复。临时占地恢复也可给予农民一定的费用补偿，由农民自行进行土地恢复。</w:t>
            </w:r>
          </w:p>
        </w:tc>
        <w:tc>
          <w:tcPr>
            <w:tcW w:w="741" w:type="dxa"/>
            <w:tcBorders>
              <w:tl2br w:val="nil"/>
              <w:tr2bl w:val="nil"/>
            </w:tcBorders>
            <w:noWrap w:val="0"/>
            <w:vAlign w:val="center"/>
          </w:tcPr>
          <w:p w14:paraId="766E4B54">
            <w:pPr>
              <w:keepNext w:val="0"/>
              <w:keepLines w:val="0"/>
              <w:pageBreakBefore w:val="0"/>
              <w:widowControl w:val="0"/>
              <w:kinsoku/>
              <w:wordWrap/>
              <w:overflowPunct w:val="0"/>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509E39B2">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综合以上分析，本项目符合《绥化市“十四五”生态环境保护规划》。</w:t>
      </w:r>
    </w:p>
    <w:p w14:paraId="6F3E6811">
      <w:pPr>
        <w:rPr>
          <w:rFonts w:hint="default" w:ascii="Times New Roman" w:hAnsi="Times New Roman" w:cs="Times New Roman"/>
          <w:color w:val="000000" w:themeColor="text1"/>
          <w:highlight w:val="none"/>
          <w14:textFill>
            <w14:solidFill>
              <w14:schemeClr w14:val="tx1"/>
            </w14:solidFill>
          </w14:textFill>
        </w:rPr>
        <w:sectPr>
          <w:pgSz w:w="11906" w:h="16838"/>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514EE0C4">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1.5.5.</w:t>
      </w:r>
      <w:r>
        <w:rPr>
          <w:rFonts w:hint="eastAsia"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7</w:t>
      </w: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与《地下水管理条例》（国务院令第748号）符合性分析</w:t>
      </w:r>
    </w:p>
    <w:p w14:paraId="6B997A9A">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本</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项目与《地下水管理条例》（国务院令第748号）的符合性分析见表1.5-</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20</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p>
    <w:p w14:paraId="246514F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表1.5-</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20</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与地下水管理条例符合性一览表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4615"/>
        <w:gridCol w:w="7948"/>
        <w:gridCol w:w="943"/>
      </w:tblGrid>
      <w:tr w14:paraId="73208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0C30493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序号</w:t>
            </w:r>
          </w:p>
        </w:tc>
        <w:tc>
          <w:tcPr>
            <w:tcW w:w="4615" w:type="dxa"/>
            <w:tcBorders>
              <w:tl2br w:val="nil"/>
              <w:tr2bl w:val="nil"/>
            </w:tcBorders>
            <w:vAlign w:val="center"/>
          </w:tcPr>
          <w:p w14:paraId="1FC62E8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文件要求</w:t>
            </w:r>
          </w:p>
        </w:tc>
        <w:tc>
          <w:tcPr>
            <w:tcW w:w="7948" w:type="dxa"/>
            <w:tcBorders>
              <w:tl2br w:val="nil"/>
              <w:tr2bl w:val="nil"/>
            </w:tcBorders>
            <w:vAlign w:val="center"/>
          </w:tcPr>
          <w:p w14:paraId="02F58E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符合性分析</w:t>
            </w:r>
          </w:p>
        </w:tc>
        <w:tc>
          <w:tcPr>
            <w:tcW w:w="943" w:type="dxa"/>
            <w:tcBorders>
              <w:tl2br w:val="nil"/>
              <w:tr2bl w:val="nil"/>
            </w:tcBorders>
            <w:vAlign w:val="center"/>
          </w:tcPr>
          <w:p w14:paraId="099F6C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符合性</w:t>
            </w:r>
          </w:p>
        </w:tc>
      </w:tr>
      <w:tr w14:paraId="28C2A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628C35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w:t>
            </w:r>
          </w:p>
        </w:tc>
        <w:tc>
          <w:tcPr>
            <w:tcW w:w="4615" w:type="dxa"/>
            <w:tcBorders>
              <w:tl2br w:val="nil"/>
              <w:tr2bl w:val="nil"/>
            </w:tcBorders>
            <w:vAlign w:val="center"/>
          </w:tcPr>
          <w:p w14:paraId="363F458D">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第一章总则第六条</w:t>
            </w:r>
          </w:p>
          <w:p w14:paraId="1395ADD4">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利用地下水的单位和个人应当加强地下水取水工程管理，节约、保护地下水，防止地下水污染。</w:t>
            </w:r>
          </w:p>
        </w:tc>
        <w:tc>
          <w:tcPr>
            <w:tcW w:w="7948" w:type="dxa"/>
            <w:tcBorders>
              <w:tl2br w:val="nil"/>
              <w:tr2bl w:val="nil"/>
            </w:tcBorders>
            <w:vAlign w:val="center"/>
          </w:tcPr>
          <w:p w14:paraId="3485F47E">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改造工程，不涉及地下水资源的开采。</w:t>
            </w:r>
          </w:p>
          <w:p w14:paraId="2C9C586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废弃管道清管废水、</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试压废水由罐车</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满足《大庆油田地面工程建设设计规定》（</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Q/SYDQ0639-2015）、《碎屑岩油藏注水水质指标技术要求及分析方法》（SY/T5329-2022）标准要求后，回注地下开采油层，不外排。</w:t>
            </w:r>
          </w:p>
          <w:p w14:paraId="20BC482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参照《环境影响评价技术导则地下水环境》（HJ610-2016）</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将地下集输管道划分为重点防渗区。</w:t>
            </w:r>
          </w:p>
          <w:p w14:paraId="3B333C62">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地下集输管道选用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内缠胶带硬质聚氨酯泡沫夹克管</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，集输管道壁厚的腐蚀余量大于3mm或采用管道内防腐，管道的外防腐等级应采用特加强级；管道的连接方式均采用焊接，防渗性能等效黏土防渗层Mb≥6m、K≤1.0×10</w:t>
            </w:r>
            <w:r>
              <w:rPr>
                <w:rFonts w:hint="eastAsia" w:ascii="Times New Roman" w:hAnsi="Times New Roman" w:eastAsia="宋体" w:cs="Times New Roman"/>
                <w:bCs/>
                <w:snapToGrid w:val="0"/>
                <w:color w:val="000000" w:themeColor="text1"/>
                <w:kern w:val="0"/>
                <w:sz w:val="21"/>
                <w:szCs w:val="21"/>
                <w:highlight w:val="none"/>
                <w:vertAlign w:val="superscript"/>
                <w:lang w:val="en-US" w:eastAsia="zh-CN"/>
                <w14:textFill>
                  <w14:solidFill>
                    <w14:schemeClr w14:val="tx1"/>
                  </w14:solidFill>
                </w14:textFill>
              </w:rPr>
              <w:t>-7</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cm/s，满足《环境影响评价技术导则 地下水环境》（HJ610-2016）中重点防渗区的要求。</w:t>
            </w:r>
          </w:p>
          <w:p w14:paraId="34CC682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定向钻施工时，防渗泥浆池、泥浆配置区等区域，场地铺设1.5mm厚高密度聚乙烯膜构筑防渗层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防渗性能等效黏土防渗层Mb≥</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m、K≤1.0×10</w:t>
            </w:r>
            <w:r>
              <w:rPr>
                <w:rFonts w:hint="default" w:ascii="Times New Roman" w:hAnsi="Times New Roman" w:eastAsia="宋体" w:cs="Times New Roman"/>
                <w:bCs/>
                <w:snapToGrid w:val="0"/>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cm/s，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满足《环境影响评价技术导则地下水环境》（HJ610-2016）一般防渗区技术要求</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p>
        </w:tc>
        <w:tc>
          <w:tcPr>
            <w:tcW w:w="943" w:type="dxa"/>
            <w:tcBorders>
              <w:tl2br w:val="nil"/>
              <w:tr2bl w:val="nil"/>
            </w:tcBorders>
            <w:vAlign w:val="center"/>
          </w:tcPr>
          <w:p w14:paraId="4DA696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CBF5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671116A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2</w:t>
            </w:r>
          </w:p>
        </w:tc>
        <w:tc>
          <w:tcPr>
            <w:tcW w:w="4615" w:type="dxa"/>
            <w:tcBorders>
              <w:tl2br w:val="nil"/>
              <w:tr2bl w:val="nil"/>
            </w:tcBorders>
            <w:vAlign w:val="center"/>
          </w:tcPr>
          <w:p w14:paraId="28163437">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第三章节约与保护第十六条</w:t>
            </w:r>
          </w:p>
          <w:p w14:paraId="0C96D2B2">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国家实行地下水取水总量控制制度。取用地下水的单位和个人应当遵守取水总量控制和定额管理要求，使用先进节约用水技术、工艺和设备，采取循环用水、综合利用及废水处理回用等措施，实施技术改造，降低用水消耗。</w:t>
            </w:r>
          </w:p>
          <w:p w14:paraId="4F38567F">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第二十一条</w:t>
            </w:r>
          </w:p>
          <w:p w14:paraId="146978CB">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取用地下水的单位和个人应当遵守取水总量控制和定额管理要求，使用先进节约用水技术、工艺和设备，采取循环用水、综合利用及废水处理回用等措施，实施技术改造，降低用水消耗。</w:t>
            </w:r>
          </w:p>
          <w:p w14:paraId="1B71C446">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第二十六条</w:t>
            </w:r>
          </w:p>
          <w:p w14:paraId="13B80FC0">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建设单位和个人应当采取措施防止地下工程建设对地下水补给、径流、排泄等造成重大不利影响。对开挖达到一定深度或者达到一定排水规模的地下工程，建设单位和个人应当于工程开工前，将工程建设方案和防止对地下水产生不利影响的措施方案报有管理权限的水行政主管部门备案。开挖深度和排水规模由省、自治区、直辖市人民政府制定、公布。</w:t>
            </w:r>
          </w:p>
        </w:tc>
        <w:tc>
          <w:tcPr>
            <w:tcW w:w="7948" w:type="dxa"/>
            <w:tcBorders>
              <w:tl2br w:val="nil"/>
              <w:tr2bl w:val="nil"/>
            </w:tcBorders>
            <w:vAlign w:val="center"/>
          </w:tcPr>
          <w:p w14:paraId="5268B522">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本项目不涉及“节约与保护”和“超采治理”的规定要求。</w:t>
            </w:r>
          </w:p>
          <w:p w14:paraId="73472633">
            <w:pPr>
              <w:keepNext w:val="0"/>
              <w:keepLines w:val="0"/>
              <w:pageBreakBefore w:val="0"/>
              <w:widowControl w:val="0"/>
              <w:numPr>
                <w:ilvl w:val="0"/>
                <w:numId w:val="5"/>
              </w:numPr>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本项目不涉及取用地下水。</w:t>
            </w:r>
          </w:p>
          <w:p w14:paraId="04A2D9B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废旧管道清管废水、</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试压废水由罐车</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，达标后回注地下开采油层</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p w14:paraId="30CA9156">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出水水质执行：含油量≤</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0mg/L、悬浮固体含量≤5mg/L、粒径中值≤2μm（以下简称“10、</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、2”），满足《大庆油田地面工程建设设计规定》（Q/SYDQ0639-2015）、《碎屑岩油藏注水水质指标技术要求及分析方法》（SY/T5329-2022）标准要求。</w:t>
            </w:r>
          </w:p>
          <w:p w14:paraId="2EA672EC">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施工期生活污水排入附近芳407-6集油阀组间、升1-2集油阀组间、升1-6集油阀组间等已建防渗旱厕，本项目施工现场距离周边已建集油阀组间距离约为0-1km，施工人员步行或乘施工车辆进入附近集油阀组间防渗旱厕，用罐车抽排至高平4号污水站，排入大庆市净源环保科技有限公司处理达标后排放。</w:t>
            </w:r>
          </w:p>
        </w:tc>
        <w:tc>
          <w:tcPr>
            <w:tcW w:w="943" w:type="dxa"/>
            <w:tcBorders>
              <w:tl2br w:val="nil"/>
              <w:tr2bl w:val="nil"/>
            </w:tcBorders>
            <w:vAlign w:val="center"/>
          </w:tcPr>
          <w:p w14:paraId="3C943F5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0C53F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177FE5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3</w:t>
            </w:r>
          </w:p>
        </w:tc>
        <w:tc>
          <w:tcPr>
            <w:tcW w:w="4615" w:type="dxa"/>
            <w:tcBorders>
              <w:tl2br w:val="nil"/>
              <w:tr2bl w:val="nil"/>
            </w:tcBorders>
            <w:vAlign w:val="center"/>
          </w:tcPr>
          <w:p w14:paraId="5829B17D">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第四章超采治理</w:t>
            </w:r>
          </w:p>
          <w:p w14:paraId="527FAFE0">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微软雅黑" w:cs="Times New Roman"/>
                <w:b w:val="0"/>
                <w:bCs w:val="0"/>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超采治理。</w:t>
            </w:r>
          </w:p>
        </w:tc>
        <w:tc>
          <w:tcPr>
            <w:tcW w:w="7948" w:type="dxa"/>
            <w:tcBorders>
              <w:tl2br w:val="nil"/>
              <w:tr2bl w:val="nil"/>
            </w:tcBorders>
            <w:vAlign w:val="center"/>
          </w:tcPr>
          <w:p w14:paraId="4A8B6F39">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本项目不涉及超采治理。</w:t>
            </w:r>
          </w:p>
        </w:tc>
        <w:tc>
          <w:tcPr>
            <w:tcW w:w="943" w:type="dxa"/>
            <w:tcBorders>
              <w:tl2br w:val="nil"/>
              <w:tr2bl w:val="nil"/>
            </w:tcBorders>
            <w:vAlign w:val="center"/>
          </w:tcPr>
          <w:p w14:paraId="19BC144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2B114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1BE46B8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4</w:t>
            </w:r>
          </w:p>
        </w:tc>
        <w:tc>
          <w:tcPr>
            <w:tcW w:w="4615" w:type="dxa"/>
            <w:tcBorders>
              <w:tl2br w:val="nil"/>
              <w:tr2bl w:val="nil"/>
            </w:tcBorders>
            <w:vAlign w:val="center"/>
          </w:tcPr>
          <w:p w14:paraId="5F85E842">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第五章污染防治</w:t>
            </w:r>
          </w:p>
          <w:p w14:paraId="3B79AE3B">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第四十条</w:t>
            </w:r>
          </w:p>
          <w:p w14:paraId="787A1BD1">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禁止下列污染或者可能污染地下水的行为：</w:t>
            </w:r>
          </w:p>
          <w:p w14:paraId="31F83AB1">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（一）利用渗井、渗坑、裂隙、溶洞以及私设暗管等逃避监管的方式排放水污染物；</w:t>
            </w:r>
          </w:p>
          <w:p w14:paraId="2BA6C732">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（二）利用岩层孔隙、裂隙、溶洞、废弃矿坑等贮存石化原料及产品、农药、危险废物、城镇污水处理设施产生的污泥和处理后的污泥或者其他有毒有害物质；</w:t>
            </w:r>
          </w:p>
          <w:p w14:paraId="56C35E17">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（三）利用无防渗漏措施的沟渠、坑塘等输送或者贮存含有毒污染物的废水、含病原体的污水和其他废弃物；</w:t>
            </w:r>
          </w:p>
          <w:p w14:paraId="130FD75E">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（四）法律、法规禁止的其他污染或者可能污染地下水的行为。</w:t>
            </w:r>
          </w:p>
        </w:tc>
        <w:tc>
          <w:tcPr>
            <w:tcW w:w="7948" w:type="dxa"/>
            <w:tcBorders>
              <w:tl2br w:val="nil"/>
              <w:tr2bl w:val="nil"/>
            </w:tcBorders>
            <w:vAlign w:val="center"/>
          </w:tcPr>
          <w:p w14:paraId="0C4FB67F">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（1）本项目不存在利用渗井、渗坑、裂隙、溶洞以及私设暗管等逃避监管的方式排放水污染物。</w:t>
            </w:r>
          </w:p>
          <w:p w14:paraId="2342EAA5">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微软雅黑" w:cs="Times New Roman"/>
                <w:b w:val="0"/>
                <w:bCs w:val="0"/>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）本项目不涉及利用无防渗漏措施的沟渠、坑塘等输送或者贮存含有毒污染物的废水、含病原体的污水和其他废弃物。</w:t>
            </w:r>
          </w:p>
        </w:tc>
        <w:tc>
          <w:tcPr>
            <w:tcW w:w="943" w:type="dxa"/>
            <w:tcBorders>
              <w:tl2br w:val="nil"/>
              <w:tr2bl w:val="nil"/>
            </w:tcBorders>
            <w:vAlign w:val="center"/>
          </w:tcPr>
          <w:p w14:paraId="2979BF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7A0BA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285FE66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5</w:t>
            </w:r>
          </w:p>
        </w:tc>
        <w:tc>
          <w:tcPr>
            <w:tcW w:w="4615" w:type="dxa"/>
            <w:tcBorders>
              <w:tl2br w:val="nil"/>
              <w:tr2bl w:val="nil"/>
            </w:tcBorders>
            <w:vAlign w:val="center"/>
          </w:tcPr>
          <w:p w14:paraId="5857C313">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第四十一条</w:t>
            </w:r>
          </w:p>
          <w:p w14:paraId="6C4225C0">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企业事业单位和其他生产经营者应当采取下列措施，防止地下水污染：</w:t>
            </w:r>
          </w:p>
          <w:p w14:paraId="0D46EB2F">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兴建地下工程设施或者进行地下勘探、采矿等活动，依法编制的环境影响评价文件中，应当包括地下水污染防治的内容，并采取防护性措施。</w:t>
            </w:r>
          </w:p>
        </w:tc>
        <w:tc>
          <w:tcPr>
            <w:tcW w:w="7948" w:type="dxa"/>
            <w:tcBorders>
              <w:tl2br w:val="nil"/>
              <w:tr2bl w:val="nil"/>
            </w:tcBorders>
            <w:vAlign w:val="center"/>
          </w:tcPr>
          <w:p w14:paraId="5349A804">
            <w:pPr>
              <w:widowControl w:val="0"/>
              <w:adjustRightInd w:val="0"/>
              <w:snapToGrid w:val="0"/>
              <w:spacing w:after="0" w:line="240" w:lineRule="auto"/>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本项目为油田产能工程，本次环评已在5.3、6.3章节论述了地下水污染防治内容，并采取了相应的防护措施：</w:t>
            </w:r>
          </w:p>
          <w:p w14:paraId="7FF7D75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参照《环境影响评价技术导则 地下水环境》（HJ610-2016）</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本项目进行分区防渗。</w:t>
            </w:r>
          </w:p>
        </w:tc>
        <w:tc>
          <w:tcPr>
            <w:tcW w:w="943" w:type="dxa"/>
            <w:tcBorders>
              <w:tl2br w:val="nil"/>
              <w:tr2bl w:val="nil"/>
            </w:tcBorders>
            <w:vAlign w:val="center"/>
          </w:tcPr>
          <w:p w14:paraId="02CA93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1CDF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14:paraId="2CCEB0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6</w:t>
            </w:r>
          </w:p>
        </w:tc>
        <w:tc>
          <w:tcPr>
            <w:tcW w:w="4615" w:type="dxa"/>
            <w:tcBorders>
              <w:tl2br w:val="nil"/>
              <w:tr2bl w:val="nil"/>
            </w:tcBorders>
            <w:vAlign w:val="center"/>
          </w:tcPr>
          <w:p w14:paraId="0BD8159A">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第四十五条</w:t>
            </w:r>
          </w:p>
          <w:p w14:paraId="78252BA6">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依照《中华人民共和国土壤污染防治法》的有关规定，安全利用类和严格管控类农用地地块的土壤污染影响或者可能影响地下水安全的，制定防治污染的方案时，应当包括地下水污染防治的内容。</w:t>
            </w:r>
          </w:p>
        </w:tc>
        <w:tc>
          <w:tcPr>
            <w:tcW w:w="7948" w:type="dxa"/>
            <w:tcBorders>
              <w:tl2br w:val="nil"/>
              <w:tr2bl w:val="nil"/>
            </w:tcBorders>
            <w:vAlign w:val="center"/>
          </w:tcPr>
          <w:p w14:paraId="549E923E">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工程占用草地、耕地</w:t>
            </w:r>
            <w:r>
              <w:rPr>
                <w:rFonts w:hint="eastAsia"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及林地</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，管道破损，含油污水、含水油泄漏可能会污染地下水安全。在制定防治污染的方案时，包括了地下水污染防治的内容。具体见上述地下水污染防治措施。</w:t>
            </w:r>
          </w:p>
        </w:tc>
        <w:tc>
          <w:tcPr>
            <w:tcW w:w="943" w:type="dxa"/>
            <w:tcBorders>
              <w:tl2br w:val="nil"/>
              <w:tr2bl w:val="nil"/>
            </w:tcBorders>
            <w:vAlign w:val="center"/>
          </w:tcPr>
          <w:p w14:paraId="28C245D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bl>
    <w:p w14:paraId="0B43B735">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综合分析，本项目符合《地下水管理条例》（国务院令第748号）相关要求。</w:t>
      </w:r>
    </w:p>
    <w:p w14:paraId="74C884FF">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14:paraId="22CD3835">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color w:val="000000" w:themeColor="text1"/>
          <w:highlight w:val="none"/>
          <w:lang w:val="en-US" w:eastAsia="zh-CN"/>
          <w14:textFill>
            <w14:solidFill>
              <w14:schemeClr w14:val="tx1"/>
            </w14:solidFill>
          </w14:textFill>
        </w:rPr>
        <w:sectPr>
          <w:pgSz w:w="16838" w:h="11906" w:orient="landscape"/>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3A8474E9">
      <w:pPr>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选址合理性分析</w:t>
      </w:r>
    </w:p>
    <w:p w14:paraId="630C201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本项目更换管道</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位于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黑龙江省绥化市安达市昌德镇、升平镇，大庆市大同区祝三乡境内</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工程建设对周围的环境影响主要为生态环境影响、大气环境影响、地下水环境影响、</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地表</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水</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影响、土壤影响、声环境影响和固废对周围的环境影响。</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通过环境影响预测与环境影响分析，本项目建设实施后，通过采取相应的污染控制措施，周围的环境质量均满足相关标准要求，工程建设对周围的环境影响均在可接受的范围</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p>
    <w:p w14:paraId="280EBF6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主要在现有布局基础上进行管道更换，尽量减少临时占地。尽量避绕周围环境敏感点，周围敏感点主要为村屯、耕地</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基本农田</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、草地（非基本草原）</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、林地。</w:t>
      </w:r>
    </w:p>
    <w:p w14:paraId="45A3C383">
      <w:pPr>
        <w:keepNext w:val="0"/>
        <w:keepLines w:val="0"/>
        <w:pageBreakBefore w:val="0"/>
        <w:widowControl w:val="0"/>
        <w:tabs>
          <w:tab w:val="left" w:pos="6096"/>
        </w:tabs>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根据《基本农田保护条例》（2011年修订），“第十五条：基本农田保护区经依法划定后，任何单位和个人不得改变或者占用。国家能源、交通、水利、军事设施等重点建设项目选址确实无法避开基本农田保护区，需要占用基本农田，涉及农用地转用或者征收土地的，必须经国务院批准。第十六条：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占用基本农田的单位应当按照县级以上地方人民政府的要求，将所占用基本农田耕作层的土壤用于新开垦耕地、劣质地或者其他耕地的土壤改良。”</w:t>
      </w:r>
      <w:r>
        <w:rPr>
          <w:rFonts w:hint="default"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本项目属于国家能源重点建设项目，</w:t>
      </w:r>
      <w:r>
        <w:rPr>
          <w:rFonts w:hint="eastAsia" w:ascii="Times New Roman" w:hAnsi="Times New Roman" w:eastAsia="宋体" w:cs="Times New Roman"/>
          <w:color w:val="000000" w:themeColor="text1"/>
          <w:kern w:val="2"/>
          <w:sz w:val="24"/>
          <w:szCs w:val="32"/>
          <w:highlight w:val="none"/>
          <w:lang w:val="en-US" w:eastAsia="zh-CN"/>
          <w14:textFill>
            <w14:solidFill>
              <w14:schemeClr w14:val="tx1"/>
            </w14:solidFill>
          </w14:textFill>
        </w:rPr>
        <w:t>涉及</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临时占用</w:t>
      </w:r>
      <w:r>
        <w:rPr>
          <w:rFonts w:hint="default" w:ascii="Times New Roman" w:hAnsi="Times New Roman" w:eastAsia="宋体" w:cs="Times New Roman"/>
          <w:snapToGrid w:val="0"/>
          <w:color w:val="000000" w:themeColor="text1"/>
          <w:kern w:val="2"/>
          <w:sz w:val="24"/>
          <w:szCs w:val="20"/>
          <w:highlight w:val="none"/>
          <w:vertAlign w:val="baseline"/>
          <w:lang w:val="en-US" w:eastAsia="zh-CN" w:bidi="ar-SA"/>
          <w14:textFill>
            <w14:solidFill>
              <w14:schemeClr w14:val="tx1"/>
            </w14:solidFill>
          </w14:textFill>
        </w:rPr>
        <w:t>基本农田</w:t>
      </w:r>
      <w:r>
        <w:rPr>
          <w:rFonts w:hint="eastAsia" w:ascii="Times New Roman" w:hAnsi="Times New Roman" w:eastAsia="宋体" w:cs="Times New Roman"/>
          <w:snapToGrid w:val="0"/>
          <w:color w:val="000000" w:themeColor="text1"/>
          <w:kern w:val="2"/>
          <w:sz w:val="24"/>
          <w:szCs w:val="20"/>
          <w:highlight w:val="none"/>
          <w:vertAlign w:val="baseline"/>
          <w:lang w:val="en-US" w:eastAsia="zh-CN" w:bidi="ar-SA"/>
          <w14:textFill>
            <w14:solidFill>
              <w14:schemeClr w14:val="tx1"/>
            </w14:solidFill>
          </w14:textFill>
        </w:rPr>
        <w:t>12.12</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确实无法避让基本农田，本项目施工完毕后1年内，临时占地全部恢复原有植被类型，即占用农田全部恢复为耕地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、草地播撒草籽、对移栽的林木进行恢复</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。临时占地恢复也可给予农民一定的费用补偿，由农民自行进行土地恢复</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0637A2B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管道改造项目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，属于能源附属基本设施建设，工程位于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绥化市安达市昌德镇、升平镇，</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大</w:t>
      </w:r>
      <w:r>
        <w:rPr>
          <w:rFonts w:hint="eastAsia" w:ascii="Times New Roman" w:hAnsi="Times New Roman" w:eastAsia="宋体" w:cs="Times New Roman"/>
          <w:snapToGrid w:val="0"/>
          <w:color w:val="000000" w:themeColor="text1"/>
          <w:sz w:val="24"/>
          <w:szCs w:val="20"/>
          <w:highlight w:val="none"/>
          <w:lang w:eastAsia="zh-CN"/>
          <w14:textFill>
            <w14:solidFill>
              <w14:schemeClr w14:val="tx1"/>
            </w14:solidFill>
          </w14:textFill>
        </w:rPr>
        <w:t>庆市</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大同区祝三乡</w:t>
      </w:r>
      <w:r>
        <w:rPr>
          <w:rFonts w:hint="eastAsia" w:ascii="Times New Roman" w:hAnsi="Times New Roman" w:eastAsia="宋体" w:cs="Times New Roman"/>
          <w:snapToGrid w:val="0"/>
          <w:color w:val="000000" w:themeColor="text1"/>
          <w:sz w:val="24"/>
          <w:szCs w:val="20"/>
          <w:highlight w:val="none"/>
          <w:lang w:eastAsia="zh-CN"/>
          <w14:textFill>
            <w14:solidFill>
              <w14:schemeClr w14:val="tx1"/>
            </w14:solidFill>
          </w14:textFill>
        </w:rPr>
        <w:t>境内</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，建设</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符合《黑龙江省国土空间总体规划（2021-2035 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大庆市国土空间总体规划（2021</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2035年）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绥化</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市国土空间总体规划（2021</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2035年）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大同区</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国土空间总体规划（2021</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2035年）</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》《安达市</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国土空间总体规划（2021</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2035年）》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要求。</w:t>
      </w:r>
    </w:p>
    <w:p w14:paraId="3F2C68BB">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根据《大庆市生态环境准入清单（2023年版）</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》《绥化</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市生态环境准入清单（2023年版）</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，本项目位于优先管控单元、</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重点管控单元</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本项目属于国家能源重点建设项目，项目开工建设前依据《基本农田保护条例》等法律法规，到相关部门办理用地审批</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手续</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。本项目施工完毕后1年内，临时占地全部恢复原有植被类型，即占用农田全部恢复为耕地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、草地播撒草籽、对移栽的林木进行恢复</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。临时占地恢复也可给予农民一定的费用补偿，由农民自行进行土地恢复</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草地撒播草籽。</w:t>
      </w:r>
    </w:p>
    <w:p w14:paraId="579B677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综上所述，</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占地范围内无</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国家公园、自然保护区、风景名胜区、世界文化和自然遗产地、海洋特别保护区、饮用水水源保护区、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生态保护红线</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基本草原、森林公园、地质公园、重要湿地、天然林，重点保护野生动物栖息地，重点保护野生植物生长繁殖地，重要水生生物的自然产卵场、索饵场、越冬场和洄游通道，天然渔场，水土流失重点预防区</w:t>
      </w:r>
      <w:r>
        <w:rPr>
          <w:rFonts w:hint="eastAsia" w:ascii="Times New Roman" w:hAnsi="Times New Roman" w:eastAsia="宋体" w:cs="Times New Roman"/>
          <w:color w:val="000000" w:themeColor="text1"/>
          <w:kern w:val="2"/>
          <w:sz w:val="24"/>
          <w:szCs w:val="24"/>
          <w:highlight w:val="none"/>
          <w:lang w:val="en"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沙化土地封禁保护区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以居住、医疗卫生、文化教育、科研、行政办公为主要功能的区域以及文物保护单位</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综合分析，项目的选址合理可行</w:t>
      </w:r>
      <w:r>
        <w:rPr>
          <w:rFonts w:hint="default" w:ascii="Times New Roman" w:hAnsi="Times New Roman" w:cs="Times New Roman"/>
          <w:color w:val="000000" w:themeColor="text1"/>
          <w:highlight w:val="none"/>
          <w14:textFill>
            <w14:solidFill>
              <w14:schemeClr w14:val="tx1"/>
            </w14:solidFill>
          </w14:textFill>
        </w:rPr>
        <w:t>。</w:t>
      </w:r>
    </w:p>
    <w:p w14:paraId="5E3FC76B">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22" w:name="_Toc13832"/>
      <w:bookmarkStart w:id="23" w:name="_Toc28709"/>
      <w:bookmarkStart w:id="24" w:name="_Toc12742"/>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8"/>
          <w:szCs w:val="28"/>
          <w:highlight w:val="none"/>
          <w14:textFill>
            <w14:solidFill>
              <w14:schemeClr w14:val="tx1"/>
            </w14:solidFill>
          </w14:textFill>
        </w:rPr>
        <w:t>主要关注的环境问题及环境影响</w:t>
      </w:r>
      <w:bookmarkEnd w:id="22"/>
      <w:bookmarkEnd w:id="23"/>
      <w:bookmarkEnd w:id="24"/>
    </w:p>
    <w:p w14:paraId="70530D5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本项目为油田内部集输管道改造工程，环境影响主要来源于管道的建设等，</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工程对环境影响主要包括生态影响及污染影响两部分。</w:t>
      </w:r>
    </w:p>
    <w:p w14:paraId="54B8650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生态环境影响主要体现在建设期占用土地、压占植被、破坏土壤、加大水土流失强度及生态景观破坏等方面</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以及退役期场地清理和修复。</w:t>
      </w:r>
    </w:p>
    <w:p w14:paraId="300A4E8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本区块不在自然保护区、风景名胜区等环境敏感区域内。本次评价主要关注的环境问题为评价范围内的土壤环境、生态环境、声环境，工程周边的村屯大气环境、</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声环境、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地下水环境，以及固体废物处置、水污染物处理对环境造成的影响。</w:t>
      </w:r>
    </w:p>
    <w:p w14:paraId="5D34725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大气环境影响</w:t>
      </w:r>
    </w:p>
    <w:p w14:paraId="4CAC14F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本项目施工期对大气环境的影响主要是施工活动产生的扬尘、焊接烟尘以及运输车辆尾气对环境空气产生的短期影响。</w:t>
      </w:r>
    </w:p>
    <w:p w14:paraId="7108487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水</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环境影响</w:t>
      </w:r>
    </w:p>
    <w:p w14:paraId="11760E5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主要关注施工期废旧管道清管废水、新建管道试压废水、施工期生活污水；退役期对废弃管道清洗废水、退役期生活污水对环境的影响。</w:t>
      </w:r>
    </w:p>
    <w:p w14:paraId="2C976E7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0"/>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t>地下水环境影响</w:t>
      </w:r>
    </w:p>
    <w:p w14:paraId="76542DB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主要关注运营期管道泄漏对区域地下水的影响。</w:t>
      </w:r>
    </w:p>
    <w:p w14:paraId="73B7CA6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关注分区防渗、跟踪监测设置及落实情况。</w:t>
      </w:r>
    </w:p>
    <w:p w14:paraId="3E3F419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声环境</w:t>
      </w:r>
    </w:p>
    <w:p w14:paraId="5EE38A1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主要关注施工期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施工机械、车辆运行产生的噪声对周围声环境产生的影响。</w:t>
      </w:r>
    </w:p>
    <w:p w14:paraId="49CDC9E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固体废物</w:t>
      </w:r>
    </w:p>
    <w:p w14:paraId="59EBED6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主要关注施工期管道施工废料、穿越工程废弃泥浆、拆除废旧设备、生活垃圾处置情况，退役期生活垃圾处置情况。</w:t>
      </w:r>
    </w:p>
    <w:p w14:paraId="58627A2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生态环境的影响</w:t>
      </w:r>
    </w:p>
    <w:p w14:paraId="7FE0381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本工程在施工期新建管道时车辆碾压，机械推挖、人员践踏等对地表进行的平整将会对草地、耕地</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、林地</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地表植被造成很大破坏。</w:t>
      </w:r>
    </w:p>
    <w:p w14:paraId="6649653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分析本项目临时占地对防沙治沙区（土壤沙化）、水土流失区（土壤盐渍化）、草地、耕地</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、林地</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的影响。</w:t>
      </w:r>
    </w:p>
    <w:p w14:paraId="6D0EF84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（7）土壤环境</w:t>
      </w:r>
    </w:p>
    <w:p w14:paraId="6D64EAD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本工程施工因机械设备、车辆的碾压、人员的践踏等活动将会对地表植被造成一定程度的破坏。临时占地暂时改变了土地利用形式，使区域的生产能力受到暂时性影响。</w:t>
      </w:r>
    </w:p>
    <w:p w14:paraId="3B4D7B8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对土壤环境的影响主要为事故状态下</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管道泄漏</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产生的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污油污水</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可能对土壤环境造成破坏，对土壤的化学、生物性质等方面造成影响。</w:t>
      </w:r>
    </w:p>
    <w:p w14:paraId="3E02329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关注退役期场地污染情况</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7C3065C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环境风险</w:t>
      </w:r>
    </w:p>
    <w:p w14:paraId="2512780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本工程的主要环境风险是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集输管道</w:t>
      </w:r>
      <w:r>
        <w:rPr>
          <w:rFonts w:hint="default" w:ascii="Times New Roman" w:hAnsi="Times New Roman" w:eastAsia="宋体" w:cs="Times New Roman"/>
          <w:color w:val="000000" w:themeColor="text1"/>
          <w:sz w:val="24"/>
          <w:szCs w:val="24"/>
          <w:highlight w:val="none"/>
          <w14:textFill>
            <w14:solidFill>
              <w14:schemeClr w14:val="tx1"/>
            </w14:solidFill>
          </w14:textFill>
        </w:rPr>
        <w:t>原油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及天然气</w:t>
      </w:r>
      <w:r>
        <w:rPr>
          <w:rFonts w:hint="default" w:ascii="Times New Roman" w:hAnsi="Times New Roman" w:eastAsia="宋体" w:cs="Times New Roman"/>
          <w:color w:val="000000" w:themeColor="text1"/>
          <w:sz w:val="24"/>
          <w:szCs w:val="24"/>
          <w:highlight w:val="none"/>
          <w14:textFill>
            <w14:solidFill>
              <w14:schemeClr w14:val="tx1"/>
            </w14:solidFill>
          </w14:textFill>
        </w:rPr>
        <w:t>泄漏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含油污水泄漏</w:t>
      </w:r>
      <w:r>
        <w:rPr>
          <w:rFonts w:hint="default" w:ascii="Times New Roman" w:hAnsi="Times New Roman" w:eastAsia="宋体" w:cs="Times New Roman"/>
          <w:color w:val="000000" w:themeColor="text1"/>
          <w:sz w:val="24"/>
          <w:szCs w:val="24"/>
          <w:highlight w:val="none"/>
          <w14:textFill>
            <w14:solidFill>
              <w14:schemeClr w14:val="tx1"/>
            </w14:solidFill>
          </w14:textFill>
        </w:rPr>
        <w:t>和火灾爆炸，对区域内的大气环境、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土壤和</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地下水环境有潜在危害性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，分析</w:t>
      </w:r>
      <w:r>
        <w:rPr>
          <w:rFonts w:hint="default" w:ascii="Times New Roman" w:hAnsi="Times New Roman" w:eastAsia="宋体" w:cs="Times New Roman"/>
          <w:color w:val="000000" w:themeColor="text1"/>
          <w:sz w:val="24"/>
          <w:szCs w:val="24"/>
          <w:highlight w:val="none"/>
          <w14:textFill>
            <w14:solidFill>
              <w14:schemeClr w14:val="tx1"/>
            </w14:solidFill>
          </w14:textFill>
        </w:rPr>
        <w:t>风险防范措施的合理性。</w:t>
      </w:r>
    </w:p>
    <w:p w14:paraId="03F58520">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25" w:name="_Toc11618"/>
      <w:bookmarkStart w:id="26" w:name="_Toc7362"/>
      <w:bookmarkStart w:id="27" w:name="_Toc21253"/>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8"/>
          <w:szCs w:val="28"/>
          <w:highlight w:val="none"/>
          <w14:textFill>
            <w14:solidFill>
              <w14:schemeClr w14:val="tx1"/>
            </w14:solidFill>
          </w14:textFill>
        </w:rPr>
        <w:t>环境影响评价主要结论</w:t>
      </w:r>
      <w:bookmarkEnd w:id="25"/>
      <w:bookmarkEnd w:id="26"/>
      <w:bookmarkEnd w:id="27"/>
    </w:p>
    <w:p w14:paraId="1368799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t>第八采油厂2025年管网改造工程</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通过采取相应的污染防治措施、生态保护措施及事故应急措施，能够确保区域环境不受污染。项目建设符合产业政策，选址符合国家法律法规及地方规划，工艺选择符合清洁生产要求；各项污染物能够达标排放；项目施工时对周围环境影响较小；环境风险水平在可防可控；通过公众参与分析，当地群众大部分支持该项目建设，无反对意见；在确保落实好各项环保措施并保证其正常运行的前提下，从环境保护角度分析，本项目的建设可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66BC9A0">
      <w:pPr>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eastAsia="宋体" w:cs="Times New Roman"/>
          <w:b/>
          <w:color w:val="000000" w:themeColor="text1"/>
          <w:sz w:val="32"/>
          <w:szCs w:val="32"/>
          <w:highlight w:val="none"/>
          <w14:textFill>
            <w14:solidFill>
              <w14:schemeClr w14:val="tx1"/>
            </w14:solidFill>
          </w14:textFill>
        </w:rPr>
        <w:sectPr>
          <w:headerReference r:id="rId8" w:type="default"/>
          <w:footerReference r:id="rId9" w:type="default"/>
          <w:pgSz w:w="11906" w:h="16838"/>
          <w:pgMar w:top="1417" w:right="1417" w:bottom="1417" w:left="1417" w:header="964" w:footer="964" w:gutter="0"/>
          <w:pgBorders>
            <w:top w:val="none" w:sz="0" w:space="0"/>
            <w:left w:val="none" w:sz="0" w:space="0"/>
            <w:bottom w:val="none" w:sz="0" w:space="0"/>
            <w:right w:val="none" w:sz="0" w:space="0"/>
          </w:pgBorders>
          <w:pgNumType w:fmt="decimal"/>
          <w:cols w:space="0" w:num="1"/>
          <w:rtlGutter w:val="0"/>
          <w:docGrid w:linePitch="360" w:charSpace="0"/>
        </w:sectPr>
      </w:pPr>
    </w:p>
    <w:p w14:paraId="26789B6B">
      <w:pPr>
        <w:keepNext w:val="0"/>
        <w:keepLines w:val="0"/>
        <w:pageBreakBefore w:val="0"/>
        <w:tabs>
          <w:tab w:val="center" w:pos="4394"/>
          <w:tab w:val="left" w:pos="5484"/>
        </w:tabs>
        <w:kinsoku/>
        <w:wordWrap/>
        <w:topLinePunct w:val="0"/>
        <w:autoSpaceDE/>
        <w:autoSpaceDN/>
        <w:bidi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28" w:name="_Toc558"/>
      <w:bookmarkStart w:id="29" w:name="_Toc3766"/>
      <w:bookmarkStart w:id="30" w:name="_Toc24596"/>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二、</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总则</w:t>
      </w:r>
      <w:bookmarkEnd w:id="28"/>
      <w:bookmarkEnd w:id="29"/>
      <w:bookmarkEnd w:id="30"/>
    </w:p>
    <w:p w14:paraId="43BB3BE1">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31" w:name="_Toc30289"/>
      <w:bookmarkStart w:id="32" w:name="_Toc20804"/>
      <w:bookmarkStart w:id="33" w:name="_Toc6321"/>
      <w:r>
        <w:rPr>
          <w:rFonts w:hint="default" w:ascii="Times New Roman" w:hAnsi="Times New Roman" w:eastAsia="宋体" w:cs="Times New Roman"/>
          <w:b/>
          <w:color w:val="000000" w:themeColor="text1"/>
          <w:sz w:val="28"/>
          <w:szCs w:val="28"/>
          <w:highlight w:val="none"/>
          <w14:textFill>
            <w14:solidFill>
              <w14:schemeClr w14:val="tx1"/>
            </w14:solidFill>
          </w14:textFill>
        </w:rPr>
        <w:t>2.1编制依据</w:t>
      </w:r>
      <w:bookmarkEnd w:id="31"/>
      <w:bookmarkEnd w:id="32"/>
      <w:bookmarkEnd w:id="33"/>
    </w:p>
    <w:p w14:paraId="1426F697">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2.1.1法律法规</w:t>
      </w:r>
    </w:p>
    <w:p w14:paraId="34F9BF3F">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《中华人民共和国环境保护法》（2015年1月1日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7A3437DB">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《中华人民共和国环境影响评价法》（2018年12月29日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修正</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62420AD7">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《中华人民共和国大气污染防治法》（2018年10月26日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修正</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5328E1A8">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《中华人民共和国水污染防治法》（2018年1月1日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509A3227">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《中华人民共和国噪声污染防治法》（</w:t>
      </w:r>
      <w:r>
        <w:rPr>
          <w:rFonts w:hint="default" w:ascii="Times New Roman" w:hAnsi="Times New Roman" w:eastAsia="宋体" w:cs="Times New Roman"/>
          <w:color w:val="000000" w:themeColor="text1"/>
          <w:kern w:val="0"/>
          <w:sz w:val="24"/>
          <w:szCs w:val="24"/>
          <w:highlight w:val="none"/>
          <w:vertAlign w:val="baseline"/>
          <w:lang w:val="en-US" w:eastAsia="zh-CN"/>
          <w14:textFill>
            <w14:solidFill>
              <w14:schemeClr w14:val="tx1"/>
            </w14:solidFill>
          </w14:textFill>
        </w:rPr>
        <w:t>2022年6月5日起施行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6BB3FF11">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《中华人民共和国固体废物污染环境防治法》（2020年</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9</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月</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07281A2F">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《中华人民共和国土壤污染防治法》（2019年1月1日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23A5B1B5">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《中华人民共和国循环经济促进法》（2018年12月26日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修正</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1296CDC3">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《中华人民共和国清洁生产促进法》（2012年7月1日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294D6403">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《中华人民共和国突发事件应对法》（20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24</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年11月1日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43FBF108">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《中华人民共和国土地管理法》（2020年1月1日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4DED1674">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《中华人民共和国水土保持法》（2011年3月1日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0DE234BF">
      <w:pPr>
        <w:keepNext w:val="0"/>
        <w:keepLines w:val="0"/>
        <w:pageBreakBefore w:val="0"/>
        <w:widowControl w:val="0"/>
        <w:numPr>
          <w:ilvl w:val="0"/>
          <w:numId w:val="6"/>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《中华人民共和国防沙治沙法》（2018年10月26日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修正</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36580031">
      <w:pPr>
        <w:keepNext w:val="0"/>
        <w:keepLines w:val="0"/>
        <w:pageBreakBefore w:val="0"/>
        <w:widowControl w:val="0"/>
        <w:numPr>
          <w:ilvl w:val="0"/>
          <w:numId w:val="6"/>
        </w:numPr>
        <w:kinsoku/>
        <w:wordWrap/>
        <w:overflowPunct w:val="0"/>
        <w:topLinePunct w:val="0"/>
        <w:autoSpaceDE/>
        <w:autoSpaceDN/>
        <w:bidi w:val="0"/>
        <w:spacing w:after="0" w:line="360" w:lineRule="auto"/>
        <w:ind w:left="0" w:leftChars="0" w:firstLine="480" w:firstLineChars="200"/>
        <w:textAlignment w:val="auto"/>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《中华人民共和国黑土地保护法》（2022年8月1日</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施行</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31602565">
      <w:pPr>
        <w:keepNext w:val="0"/>
        <w:keepLines w:val="0"/>
        <w:pageBreakBefore w:val="0"/>
        <w:widowControl w:val="0"/>
        <w:numPr>
          <w:ilvl w:val="0"/>
          <w:numId w:val="6"/>
        </w:numPr>
        <w:kinsoku/>
        <w:wordWrap/>
        <w:overflowPunct w:val="0"/>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lang w:eastAsia="zh-CN"/>
          <w14:textFill>
            <w14:solidFill>
              <w14:schemeClr w14:val="tx1"/>
            </w14:solidFill>
          </w14:textFill>
        </w:rPr>
        <w:t>《中华人民共和国草原法》（2021年4月29日修正）</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w:t>
      </w:r>
    </w:p>
    <w:p w14:paraId="656BDB45">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2.1.2环境保护相关法规</w:t>
      </w:r>
    </w:p>
    <w:p w14:paraId="250271B3">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（1）《建设项目环境保护</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HYPERLINK "http://baike.baidu.com/view/18841.htm" \t "_blank"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管理</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条例》（国务院令第682号，2017</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1日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w:t>
      </w:r>
    </w:p>
    <w:p w14:paraId="36AF3FBD">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（2）《中华人民共和国土地复垦条例》（国务院令第592号，2011</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3月</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施行）；</w:t>
      </w:r>
    </w:p>
    <w:p w14:paraId="392F521E">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（3）《中华人民共和国水土保持法实施条例》（2011.</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修改）。</w:t>
      </w:r>
    </w:p>
    <w:p w14:paraId="0296F29F">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（4）《黑龙江省环境保护条例》（2018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4</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26</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修改）；</w:t>
      </w:r>
    </w:p>
    <w:p w14:paraId="23B5B13D">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《黑龙江省防沙治沙条例》（</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2018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6</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28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w:t>
      </w:r>
    </w:p>
    <w:p w14:paraId="6ADF8D19">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）《黑龙江省土地管理条例》（2018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6</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28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修正）；</w:t>
      </w:r>
    </w:p>
    <w:p w14:paraId="42A2AC4D">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）《黑龙江省大气污染防治条例》（2018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12</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27</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修正）</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p>
    <w:p w14:paraId="01FE960C">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《黑龙江省黑土地保护利用条例》（202</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年3月1日起施行）</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p>
    <w:p w14:paraId="2FEFFCEB">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）《排污许可管理条例》（中华人民共和国国务院令第736号）</w:t>
      </w:r>
    </w:p>
    <w:p w14:paraId="79DA985D">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《地下水管理条例》（国务院令第748号</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，2021年12月1日起施行）；</w:t>
      </w:r>
    </w:p>
    <w:p w14:paraId="1CFF8A4A">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snapToGrid/>
          <w:color w:val="000000" w:themeColor="text1"/>
          <w:kern w:val="2"/>
          <w:sz w:val="24"/>
          <w:szCs w:val="28"/>
          <w:highlight w:val="none"/>
          <w:lang w:val="en-US" w:eastAsia="zh-CN" w:bidi="ar-SA"/>
          <w14:textFill>
            <w14:solidFill>
              <w14:schemeClr w14:val="tx1"/>
            </w14:solidFill>
          </w14:textFill>
        </w:rPr>
        <w:t>《基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本农田保护条例》（2011年修订）；</w:t>
      </w:r>
    </w:p>
    <w:p w14:paraId="52D77C02">
      <w:pPr>
        <w:keepNext w:val="0"/>
        <w:keepLines w:val="0"/>
        <w:pageBreakBefore w:val="0"/>
        <w:widowControl w:val="0"/>
        <w:kinsoku/>
        <w:wordWrap/>
        <w:overflowPunct w:val="0"/>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（12）《黑龙江省水污染防治条例》（2023年12月1日起施行）</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p>
    <w:p w14:paraId="3297AB19">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2.1.3部门规章及规范性文件</w:t>
      </w:r>
    </w:p>
    <w:p w14:paraId="13722616">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《建设项目环境影响评价分类管理名录（2021年版）》（部令第16号，2021年1月1日起施行）；</w:t>
      </w:r>
    </w:p>
    <w:p w14:paraId="06E9A949">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《产业结构调整指导目录（</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2024</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年本）》</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中华人民共和国发展和改革委员会令  第7号</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358D5BD9">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《国家危险废物名录》（2025年版）（生态环境部，第36号令，2025年1月1日）；</w:t>
      </w:r>
    </w:p>
    <w:p w14:paraId="3FE9AE1A">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《关于进一步加强环境影响评价管理防范环境风险的通知》（环发[2012]77号</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2012年7月3日）</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6E8A0C41">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《关于切实加强风险防范严格环境影响评价管理的通知》（环发[2012]98号</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2012年8月7日）</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2D59BAFE">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《环境影响评价公众参与办法》（生态环境部令第4号</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2019年1月1日）</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p>
    <w:p w14:paraId="5DD4D499">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《关于进一步加强石油天然气行业环境影响评价管理的通知》（环办环评函[2019]910号</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2019年12月13日）</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p>
    <w:p w14:paraId="60527B82">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《石油天然气开采业污染防治技术政策》（环境保护部2012年第18号公告</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2012年3月7日</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p>
    <w:p w14:paraId="11937A75">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《危险废物污染防治技术政策》（环发[2001]199号，2001</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年</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12</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月</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7</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72098CEF">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《危险废物转移管理办法》（生</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态环境部、公安部、交通运输部令第23号公布</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自2022年1月1日起施行）</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5EBB1F2B">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《挥发性有机物（VOCs）污染防治技术政策》（2013</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24</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22A32765">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《全国主体功能区规划》（国发[2010]46号</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2011年6月8日）</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p>
    <w:p w14:paraId="4FA1F132">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《关于印发《全国生态功能区划（修编版）》的公告》（环境保护部公告2015年第61号）</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47782BB8">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《关于以改善环境质量为核心加强环境影响评价管理的通知》（环环评[2016]150号</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2016年10月26日</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5CE783A9">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《国家突发环境事件应急预案》（2014</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12</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29</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实施）</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6E994010">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《关于印发</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企业事业单位突发环境事件应急预案备案管理办法（试行）</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〉的通知》</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（环发[2015]4号</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2015年1月8日）</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03D9D27C">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《工矿用地土壤环境管理办法（试行）》（生态环境部令第3号</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2018年8月1日）</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08B7893E">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关于进一步加强分散式饮用水水源地保护工作的通知》（环办</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2010</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132号）；</w:t>
      </w:r>
    </w:p>
    <w:p w14:paraId="6D6FF973">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《分散式饮用水水源地环境保护指南（试行）》（2010</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年</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月</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26</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实施）</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089A8408">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《关于加强环境保护重点工作的意见》（国发[2011]35号，2011</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年</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10</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月</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17</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施行）；</w:t>
      </w:r>
    </w:p>
    <w:p w14:paraId="5B25F767">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《关于进一步加强生态保护工作的意见》（2007</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年</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月</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15</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206CD07E">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《关于划定并严守生态保护红线的若干意见》（中共中央办公厅、国务院办公厅，2017年2月7日）</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1A8328B5">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《关于构建现代环境治理体系的指导意见》（中共中央办公厅、国务院办公厅，2020年3月3日）</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p>
    <w:p w14:paraId="7091B900">
      <w:pPr>
        <w:keepNext w:val="0"/>
        <w:keepLines w:val="0"/>
        <w:pageBreakBefore w:val="0"/>
        <w:widowControl w:val="0"/>
        <w:numPr>
          <w:ilvl w:val="0"/>
          <w:numId w:val="7"/>
        </w:numPr>
        <w:kinsoku/>
        <w:wordWrap/>
        <w:overflowPunct w:val="0"/>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《空气质量持续改善行动计划》（国发</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2023</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24号，</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2023年11月30日</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t>。</w:t>
      </w:r>
    </w:p>
    <w:p w14:paraId="2BDE0FA0">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2.1.4地方政策文件</w:t>
      </w:r>
    </w:p>
    <w:p w14:paraId="7774675F">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《关于印发</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黑龙江省主体功能区规划</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〉的通知》</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（黑龙江省人民政府，黑政发[2012]29号，2012年4月25日）；</w:t>
      </w:r>
    </w:p>
    <w:p w14:paraId="65ED9D28">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《黑龙江省空气质量持续改善行动计划实施方案》（黑政发〔2023〕19号，2023年12月30日）</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p>
    <w:p w14:paraId="17F9B3D4">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《黑龙江省水污染防治工作方案》（</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黑龙江省人民政府，</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黑政发[2016]3号，2016年1月10日）；</w:t>
      </w:r>
    </w:p>
    <w:p w14:paraId="2A85201C">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关于印发</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黑龙江省土壤污染防治实施方案</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〉的通知》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黑龙江省人民政府，</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黑政发[2016]46号，2016年12月30日）；</w:t>
      </w:r>
    </w:p>
    <w:p w14:paraId="3D3D4BDA">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《关于印发</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贯彻落实沙化土地封禁保护修复制度方案的实施意见</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〉的通知》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（黑龙江省防沙治沙领导小组，黑防沙发[2020]3号，2020年5月21日）；</w:t>
      </w:r>
    </w:p>
    <w:p w14:paraId="425CCA4B">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《黑龙江省生态功能区划》；</w:t>
      </w:r>
    </w:p>
    <w:p w14:paraId="1F1BF387">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《黑龙江省生态保护红线划定实施方案》</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0BC2C090">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《黑龙江省国民经济和社会发展第十四个五年规划和二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〇</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三五年远景目标纲</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要》（2021年3月2日黑龙江省十三届人大五次会议审议通过）；</w:t>
      </w:r>
    </w:p>
    <w:p w14:paraId="39150DE6">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《大庆市国民经济和社会发展第十四个五年规划和二〇三五年远景目标纲要》（庆政发[2021]13号）</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2D979337">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《中共大庆市委大庆市人民政府关于全面加强生态环境保护坚决打好污染防治攻坚战的具体实施意见》（庆发[2018]17号）；</w:t>
      </w:r>
    </w:p>
    <w:p w14:paraId="30858255">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《大庆市</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空气质量持续改善行动计划实施方案</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庆</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政发〔2</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024</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10</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号，202</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4</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年</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5</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月</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13</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日）</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p>
    <w:p w14:paraId="74FCEC98">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《大庆市土壤污染防治实施方案》（大庆市人民政府，庆政规[2017]2号，2017年3月31日）；</w:t>
      </w:r>
    </w:p>
    <w:p w14:paraId="04324383">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《关于印发</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大庆市声环境功能区划分、大庆市环境空气质量功能区划分、大庆市地表水环境功能区划分</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〉的通知》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（大庆市人民政府，庆政发[2019]11号，2019年10月17日）；</w:t>
      </w:r>
    </w:p>
    <w:p w14:paraId="7614587B">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《大庆市加强水污染防治工作实施方案》（</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大庆市人民政府办公</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室，庆政办发[2015]55号，2015年12月31日）；</w:t>
      </w:r>
    </w:p>
    <w:p w14:paraId="1C00DDC3">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《大庆市生态环境准入清单（2023年版）》</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667554D4">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《黑龙江省“十四五”生态环境保护规划》；</w:t>
      </w:r>
    </w:p>
    <w:p w14:paraId="1A6D4050">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《大庆市“十四五”生态环境保护规划》；</w:t>
      </w:r>
    </w:p>
    <w:p w14:paraId="2064E38F">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《黑龙江省国土空间总体规划（2021</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2035年）》；</w:t>
      </w:r>
    </w:p>
    <w:p w14:paraId="22CCEED8">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《大庆市国土空间总体规划（2021</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2035年）》；</w:t>
      </w:r>
    </w:p>
    <w:p w14:paraId="596559FB">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《大庆市红岗区国土空间总体规划（2021</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2035年）》；</w:t>
      </w:r>
    </w:p>
    <w:p w14:paraId="73F3E05D">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《大庆市水土保持规划（2015</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2030年）》；</w:t>
      </w:r>
    </w:p>
    <w:p w14:paraId="7AF70550">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《关于建设占用耕地耕作层土壤剥离利用工作的指导意见（试行）》（黑龙江省人民政府办公厅，黑政办规[2021]18号）；</w:t>
      </w:r>
    </w:p>
    <w:p w14:paraId="19B1DA5B">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《黑龙江省“十四五”黑土地保护规划》（黑龙江省人民政府办公厅，黑政办规[2021]48号）</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09DD4DD6">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snapToGrid/>
          <w:color w:val="000000" w:themeColor="text1"/>
          <w:kern w:val="2"/>
          <w:sz w:val="24"/>
          <w:szCs w:val="24"/>
          <w:highlight w:val="none"/>
          <w:lang w:val="en-US" w:eastAsia="zh-CN" w:bidi="ar-SA"/>
          <w14:textFill>
            <w14:solidFill>
              <w14:schemeClr w14:val="tx1"/>
            </w14:solidFill>
          </w14:textFill>
        </w:rPr>
        <w:t>黑龙江省黑土地保护工程实施方案（2021</w:t>
      </w:r>
      <w:r>
        <w:rPr>
          <w:rFonts w:hint="eastAsia" w:ascii="Times New Roman" w:hAnsi="Times New Roman" w:eastAsia="宋体" w:cs="Times New Roman"/>
          <w:b w:val="0"/>
          <w:bCs w:val="0"/>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snapToGrid/>
          <w:color w:val="000000" w:themeColor="text1"/>
          <w:kern w:val="2"/>
          <w:sz w:val="24"/>
          <w:szCs w:val="24"/>
          <w:highlight w:val="none"/>
          <w:lang w:val="en-US" w:eastAsia="zh-CN" w:bidi="ar-SA"/>
          <w14:textFill>
            <w14:solidFill>
              <w14:schemeClr w14:val="tx1"/>
            </w14:solidFill>
          </w14:textFill>
        </w:rPr>
        <w:t>2025年）</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》（黑龙江省人民政府办公厅，黑政办规[2021]40号）；</w:t>
      </w:r>
    </w:p>
    <w:p w14:paraId="01D13C41">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t>《新时代大庆油田当好标杆旗帜建设百年油田发展规划》（庆油发[2024]67号）</w:t>
      </w:r>
    </w:p>
    <w:p w14:paraId="4B4004F6">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《绥化市国民经济和社会发展第十四个五年规划和二〇三五年远景目标纲要》（2021年7月5日）；</w:t>
      </w:r>
    </w:p>
    <w:p w14:paraId="578371C5">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《绥化市人民政府关于实施“三线一单”生态环境分区管控的意见》（绥政发〔2021〕10号）</w:t>
      </w:r>
    </w:p>
    <w:p w14:paraId="67A491DB">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《绥化市环境空气质量达标规划》；</w:t>
      </w:r>
    </w:p>
    <w:p w14:paraId="40B82064">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《绥化市国土空间总体规划（2021—2035年）》；</w:t>
      </w:r>
    </w:p>
    <w:p w14:paraId="314BA02B">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《绥化市水土保持规划（2015—2030年）》；</w:t>
      </w:r>
    </w:p>
    <w:p w14:paraId="7512FEA1">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《绥化市人民政府关于印发绥化市水污染防治行动计划工作方案的通知》修改（绥政发[2016]33号）；</w:t>
      </w:r>
    </w:p>
    <w:p w14:paraId="4F93F76F">
      <w:pPr>
        <w:keepNext w:val="0"/>
        <w:keepLines w:val="0"/>
        <w:pageBreakBefore w:val="0"/>
        <w:widowControl w:val="0"/>
        <w:numPr>
          <w:ilvl w:val="0"/>
          <w:numId w:val="8"/>
        </w:numPr>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《绥化市空气质量持续改善行动计划实施方案》。</w:t>
      </w:r>
    </w:p>
    <w:p w14:paraId="132963BD">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2.1.5技术导则及规范</w:t>
      </w:r>
    </w:p>
    <w:p w14:paraId="37E7A069">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《建设项目环境影响评价技术导则 总纲》（HJ2.1-2016）；</w:t>
      </w:r>
    </w:p>
    <w:p w14:paraId="2453DC44">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 大气环境》（HJ2.2-2018）；</w:t>
      </w:r>
    </w:p>
    <w:p w14:paraId="6E4677EE">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 地表水环境》（HJ2.3-2018）；</w:t>
      </w:r>
    </w:p>
    <w:p w14:paraId="3AE4C912">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 地下水环境》（HJ610-2016）</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1B64F612">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饮用水水源保护区划分技术规范</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》（HJ 338-2018）</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62FF4B0F">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 声环境》（HJ2.4-20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21</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06C24FBD">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 生态影响》（HJ19-20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22</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7F45B1E5">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《建设项目环境风险评价技术导则》（HJ169-2018）；</w:t>
      </w:r>
    </w:p>
    <w:p w14:paraId="0935174F">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4"/>
          <w:szCs w:val="24"/>
          <w:highlight w:val="none"/>
          <w14:textFill>
            <w14:solidFill>
              <w14:schemeClr w14:val="tx1"/>
            </w14:solidFill>
          </w14:textFill>
        </w:rPr>
        <w:fldChar w:fldCharType="begin"/>
      </w:r>
      <w:r>
        <w:rPr>
          <w:rFonts w:hint="default" w:ascii="Times New Roman" w:hAnsi="Times New Roman" w:eastAsia="微软雅黑" w:cs="Times New Roman"/>
          <w:color w:val="000000" w:themeColor="text1"/>
          <w:kern w:val="0"/>
          <w:sz w:val="24"/>
          <w:szCs w:val="24"/>
          <w:highlight w:val="none"/>
          <w14:textFill>
            <w14:solidFill>
              <w14:schemeClr w14:val="tx1"/>
            </w14:solidFill>
          </w14:textFill>
        </w:rPr>
        <w:instrText xml:space="preserve"> HYPERLINK "http://kjs.mee.gov.cn/hjbhbz/bzwb/other/pjjsdz/201809/W020180921558586433773.pdf" </w:instrText>
      </w:r>
      <w:r>
        <w:rPr>
          <w:rFonts w:hint="default" w:ascii="Times New Roman" w:hAnsi="Times New Roman" w:eastAsia="微软雅黑" w:cs="Times New Roman"/>
          <w:color w:val="000000" w:themeColor="text1"/>
          <w:kern w:val="0"/>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 土壤环境（试行）》（HJ964-2018</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29665E78">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陆地石油天然气开发建设项目》（HJ349-20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23</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p w14:paraId="1187C98E">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《建设项目危险废物环境影响评价指南》（环境保护部公告2017年第4</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号，2017</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年</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10</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月</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1</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日</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63144964">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一般工业固体废物贮存和填埋污染控制标准》（GB18599-2020）</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31038E26">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《固体废物分类与代码目录》（生态环境部2024年第4号）</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3838AA84">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《危险废物贮存污染控制标准》（GB18597-2023）</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1D92F849">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《危险化学品重大危险源辨识》（GB18218-2018）</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466AD33C">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《用水定额》（DB23/T727-2021）；</w:t>
      </w:r>
    </w:p>
    <w:p w14:paraId="2E4F18C5">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《排污许可证申请与核发技术规范</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总则》（HJ</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942</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-2018）</w:t>
      </w:r>
    </w:p>
    <w:p w14:paraId="3DA0F131">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《排污单位自行监测技术指南 总则》（HJ 819-2017）；</w:t>
      </w:r>
    </w:p>
    <w:p w14:paraId="7797E12A">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《污染源源强核算技术指南 准则》（HJ884-2018）；</w:t>
      </w:r>
    </w:p>
    <w:p w14:paraId="5E6A1AAD">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排污单位环境管理台账及排污许可证执行报告技术规范 总则（试行）</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微软雅黑" w:cs="Times New Roman"/>
          <w:color w:val="000000" w:themeColor="text1"/>
          <w:kern w:val="0"/>
          <w:sz w:val="24"/>
          <w:szCs w:val="24"/>
          <w:highlight w:val="none"/>
          <w14:textFill>
            <w14:solidFill>
              <w14:schemeClr w14:val="tx1"/>
            </w14:solidFill>
          </w14:textFill>
        </w:rPr>
        <w:fldChar w:fldCharType="begin"/>
      </w:r>
      <w:r>
        <w:rPr>
          <w:rFonts w:hint="default" w:ascii="Times New Roman" w:hAnsi="Times New Roman" w:eastAsia="微软雅黑" w:cs="Times New Roman"/>
          <w:color w:val="000000" w:themeColor="text1"/>
          <w:kern w:val="0"/>
          <w:sz w:val="24"/>
          <w:szCs w:val="24"/>
          <w:highlight w:val="none"/>
          <w14:textFill>
            <w14:solidFill>
              <w14:schemeClr w14:val="tx1"/>
            </w14:solidFill>
          </w14:textFill>
        </w:rPr>
        <w:instrText xml:space="preserve"> HYPERLINK "http://www.mee.gov.cn/ywgz/fgbz/bz/bzwb/pwxk/201803/W020180329547957768586.pdf" </w:instrText>
      </w:r>
      <w:r>
        <w:rPr>
          <w:rFonts w:hint="default" w:ascii="Times New Roman" w:hAnsi="Times New Roman" w:eastAsia="微软雅黑" w:cs="Times New Roman"/>
          <w:color w:val="000000" w:themeColor="text1"/>
          <w:kern w:val="0"/>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HJ944-2018</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55BFCA87">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石油化工工程防渗技术规范</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》（GB/T50934-2013）</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01B383E9">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《石油天然气工业健康、安全与环境管理体系》（SY/T6276-2014）</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p>
    <w:p w14:paraId="2F1C0E4F">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《危险废物环境管理指南 陆上石油天然气开采》（环办便函</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2020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492号）；</w:t>
      </w:r>
    </w:p>
    <w:p w14:paraId="674A0A57">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instrText xml:space="preserve"> HYPERLINK "http://www.mee.gov.cn/ywgz/fgbz/bz/bzwb/jcffbz/202112/t20211206_963131.shtml" </w:instrTex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《工业企业土壤和地下水自行监测技术指南（试行）》（HJ 1209-2021）</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p>
    <w:p w14:paraId="1D63F494">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《排污单位自行监测技术指南 陆上石油天然气开采工业》（HJ 1248-2022）</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p>
    <w:p w14:paraId="00DF7A58">
      <w:pPr>
        <w:keepNext w:val="0"/>
        <w:keepLines w:val="0"/>
        <w:pageBreakBefore w:val="0"/>
        <w:widowControl w:val="0"/>
        <w:numPr>
          <w:ilvl w:val="0"/>
          <w:numId w:val="9"/>
        </w:numPr>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《石油天然气项目土地复垦与生态修复技术规范《GB/T 43936-2024》</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6C7B84DE">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2.1.6其他资料</w:t>
      </w:r>
    </w:p>
    <w:p w14:paraId="7CBDC939">
      <w:pPr>
        <w:keepNext w:val="0"/>
        <w:keepLines w:val="0"/>
        <w:pageBreakBefore w:val="0"/>
        <w:widowControl w:val="0"/>
        <w:numPr>
          <w:ilvl w:val="0"/>
          <w:numId w:val="1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第八采油厂2025年管网改造工程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改造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方案</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大庆油田有限责任公司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4年9</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0846676">
      <w:pPr>
        <w:keepNext w:val="0"/>
        <w:keepLines w:val="0"/>
        <w:pageBreakBefore w:val="0"/>
        <w:widowControl w:val="0"/>
        <w:numPr>
          <w:ilvl w:val="0"/>
          <w:numId w:val="1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企业投资项目备案承诺书</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1E0EF47B">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bookmarkStart w:id="34" w:name="_Toc14620"/>
      <w:bookmarkStart w:id="35" w:name="_Toc28445"/>
      <w:bookmarkStart w:id="36" w:name="_Toc15772"/>
      <w:bookmarkStart w:id="37" w:name="_Toc12679"/>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.2评价目的及评价原则</w:t>
      </w:r>
      <w:bookmarkEnd w:id="34"/>
      <w:bookmarkEnd w:id="35"/>
      <w:bookmarkEnd w:id="36"/>
    </w:p>
    <w:p w14:paraId="65E50E2B">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bookmarkStart w:id="38" w:name="_Toc4026"/>
      <w:bookmarkStart w:id="39" w:name="_Toc14829"/>
      <w:bookmarkStart w:id="40" w:name="_Toc12210"/>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.2.1评价目的</w:t>
      </w:r>
      <w:bookmarkEnd w:id="38"/>
      <w:bookmarkEnd w:id="39"/>
      <w:bookmarkEnd w:id="40"/>
    </w:p>
    <w:p w14:paraId="357A56E9">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（1）对该建设项目的工程内容和工艺路线进行分析，明确污染源和可能产生的污染因素，明确污染物的排放源强；</w:t>
      </w:r>
    </w:p>
    <w:p w14:paraId="48681D31">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（2）对建设项目所在地的自然环境和环境质量进行现状调查，查清项目所在地区的环境质量现状，得到当地的环境质量现状的结论及存在的主要环境制约因素；</w:t>
      </w:r>
    </w:p>
    <w:p w14:paraId="7E256979">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（3）分析、预测、评价</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项目建设</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对评价区域内大气环境、水环境、声环境、土壤环境、生态和环境风险可能造成的影响程度和范围；</w:t>
      </w:r>
    </w:p>
    <w:p w14:paraId="40963F0E">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（4）对</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拟采取的环保措施进行论证，提出污染防治措施及生态保护对策与建议；</w:t>
      </w:r>
    </w:p>
    <w:p w14:paraId="0ECAEBD3">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（5）从环境保护和环境风险角度论证</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可行性，并从设计、生产、管理和环境污染防治等方面提出环境保护和减缓措施，最大限度降低</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工程建设</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对环境的不利影响，确保经济、社会和环境的可持续发展。</w:t>
      </w:r>
    </w:p>
    <w:p w14:paraId="75542556">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bookmarkStart w:id="41" w:name="_Toc15227"/>
      <w:bookmarkStart w:id="42" w:name="_Toc8634"/>
      <w:bookmarkStart w:id="43" w:name="_Toc7580"/>
      <w:bookmarkStart w:id="44" w:name="_Toc16138"/>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.2.2评价原则</w:t>
      </w:r>
      <w:bookmarkEnd w:id="41"/>
      <w:bookmarkEnd w:id="42"/>
      <w:bookmarkEnd w:id="43"/>
      <w:bookmarkEnd w:id="44"/>
    </w:p>
    <w:p w14:paraId="1910B37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（1）依法评价</w:t>
      </w:r>
    </w:p>
    <w:p w14:paraId="2ABC2F4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贯彻执行我国环境保护相关法律法规、标准、政策和规划等，优化项目建设，服务环境管理。</w:t>
      </w:r>
    </w:p>
    <w:p w14:paraId="06ECA69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（2）科学评价</w:t>
      </w:r>
    </w:p>
    <w:p w14:paraId="278824C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规范环境影响评价方法，科学分析项目建设对环境质量的影响。</w:t>
      </w:r>
    </w:p>
    <w:p w14:paraId="57FE063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（3）突出重点</w:t>
      </w:r>
    </w:p>
    <w:p w14:paraId="27B4FD9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p w14:paraId="69F31B8A">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bookmarkStart w:id="45" w:name="_Toc22880"/>
      <w:bookmarkStart w:id="46" w:name="_Toc22346"/>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评价时段</w:t>
      </w:r>
    </w:p>
    <w:p w14:paraId="0F350BF9">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施工期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退役期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3F38D4A8">
      <w:pPr>
        <w:keepNext w:val="0"/>
        <w:keepLines w:val="0"/>
        <w:pageBreakBefore w:val="0"/>
        <w:widowControl w:val="0"/>
        <w:kinsoku/>
        <w:wordWrap/>
        <w:overflowPunct/>
        <w:topLinePunct w:val="0"/>
        <w:autoSpaceDE/>
        <w:autoSpaceDN/>
        <w:bidi w:val="0"/>
        <w:adjustRightInd w:val="0"/>
        <w:snapToGrid w:val="0"/>
        <w:spacing w:after="200"/>
        <w:jc w:val="left"/>
        <w:textAlignment w:val="auto"/>
        <w:outlineLvl w:val="1"/>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2.</w:t>
      </w:r>
      <w:r>
        <w:rPr>
          <w:rFonts w:hint="eastAsia"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环境影响识别与评价因子筛选</w:t>
      </w:r>
      <w:bookmarkEnd w:id="37"/>
      <w:bookmarkEnd w:id="45"/>
      <w:bookmarkEnd w:id="46"/>
    </w:p>
    <w:p w14:paraId="6A095635">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环境影响识别</w:t>
      </w:r>
    </w:p>
    <w:p w14:paraId="63DC436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本工程建设对环境的影响，根据其特征可分为施工期影响</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运营期、退役期影响三</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部分</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7E54A37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施工期的环境影响主要为管道</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3FC892E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本项目运营期集输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采用密闭输送方式输送含水原油，</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在正常运行状况下无废气、废水、噪声和固体废物产生及排放，但运行过程存在潜在原油、污水及伴生气的泄漏及火灾爆炸的风险，可能对大气、地表水、地下水、土壤环境产生污染影响。</w:t>
      </w:r>
    </w:p>
    <w:p w14:paraId="2AC60AF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退役期的环境影响主要是废弃管道清管废水、清管噪声、生活污水、生活垃圾，这种影响是短暂的，</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待施工结束后将随之消失</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管道采取封堵直埋，不进行开挖，退役期不会对土壤、植被进行扰动和破坏。</w:t>
      </w:r>
    </w:p>
    <w:p w14:paraId="6ACD16A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根据本工程实际情况，结合所在区域的自然环境特征，采用矩阵法对本工程建设期间</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运营期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退役期</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产生的影响进行识别</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，具体</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见</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表2.4-</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w:t>
      </w:r>
    </w:p>
    <w:p w14:paraId="313EC8C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根据本工程实际情况，结合所在区域的自然环境特征，采用矩阵法对本工程建设期间和运营期产生的影响进行识别</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，具体</w:t>
      </w:r>
      <w:r>
        <w:rPr>
          <w:rFonts w:hint="default" w:ascii="Times New Roman" w:hAnsi="Times New Roman" w:eastAsia="宋体" w:cs="Times New Roman"/>
          <w:color w:val="000000" w:themeColor="text1"/>
          <w:sz w:val="24"/>
          <w:szCs w:val="24"/>
          <w:highlight w:val="none"/>
          <w14:textFill>
            <w14:solidFill>
              <w14:schemeClr w14:val="tx1"/>
            </w14:solidFill>
          </w14:textFill>
        </w:rPr>
        <w:t>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表2.4-</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施工期生态影响评价因子筛选表见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表2.4-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2，运营期生态影响评价因子筛选表见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表2.4-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p>
    <w:p w14:paraId="1F357116">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Style w:val="43"/>
          <w:rFonts w:hint="eastAsia" w:ascii="Times New Roman" w:hAnsi="Times New Roman" w:eastAsia="宋体" w:cs="Times New Roman"/>
          <w:color w:val="000000" w:themeColor="text1"/>
          <w:highlight w:val="none"/>
          <w:lang w:eastAsia="zh-CN"/>
          <w14:textFill>
            <w14:solidFill>
              <w14:schemeClr w14:val="tx1"/>
            </w14:solidFill>
          </w14:textFill>
        </w:rPr>
        <w:t>表2.4-</w:t>
      </w:r>
      <w:r>
        <w:rPr>
          <w:rStyle w:val="43"/>
          <w:rFonts w:hint="default" w:ascii="Times New Roman" w:hAnsi="Times New Roman" w:cs="Times New Roman"/>
          <w:color w:val="000000" w:themeColor="text1"/>
          <w:highlight w:val="none"/>
          <w14:textFill>
            <w14:solidFill>
              <w14:schemeClr w14:val="tx1"/>
            </w14:solidFill>
          </w14:textFill>
        </w:rPr>
        <w:t>1</w:t>
      </w:r>
      <w:r>
        <w:rPr>
          <w:rStyle w:val="41"/>
          <w:rFonts w:hint="default" w:ascii="Times New Roman" w:hAnsi="Times New Roman" w:cs="Times New Roman"/>
          <w:color w:val="000000" w:themeColor="text1"/>
          <w:highlight w:val="none"/>
          <w14:textFill>
            <w14:solidFill>
              <w14:schemeClr w14:val="tx1"/>
            </w14:solidFill>
          </w14:textFill>
        </w:rPr>
        <w:t>项目环境</w:t>
      </w:r>
      <w:r>
        <w:rPr>
          <w:rFonts w:hint="default" w:ascii="Times New Roman" w:hAnsi="Times New Roman" w:eastAsia="宋体" w:cs="Times New Roman"/>
          <w:b/>
          <w:color w:val="000000" w:themeColor="text1"/>
          <w:sz w:val="24"/>
          <w:szCs w:val="24"/>
          <w:highlight w:val="none"/>
          <w14:textFill>
            <w14:solidFill>
              <w14:schemeClr w14:val="tx1"/>
            </w14:solidFill>
          </w14:textFill>
        </w:rPr>
        <w:t>影响因素一览表</w:t>
      </w:r>
    </w:p>
    <w:tbl>
      <w:tblPr>
        <w:tblStyle w:val="18"/>
        <w:tblW w:w="527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82"/>
        <w:gridCol w:w="1069"/>
        <w:gridCol w:w="1399"/>
        <w:gridCol w:w="1813"/>
        <w:gridCol w:w="959"/>
        <w:gridCol w:w="952"/>
        <w:gridCol w:w="992"/>
        <w:gridCol w:w="649"/>
        <w:gridCol w:w="979"/>
      </w:tblGrid>
      <w:tr w14:paraId="49D237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8" w:type="pct"/>
            <w:vMerge w:val="restart"/>
            <w:tcBorders>
              <w:top w:val="single" w:color="000000" w:sz="12" w:space="0"/>
              <w:bottom w:val="single" w:color="000000" w:sz="4" w:space="0"/>
              <w:tl2br w:val="single" w:color="auto" w:sz="4" w:space="0"/>
            </w:tcBorders>
            <w:shd w:val="clear" w:color="auto" w:fill="auto"/>
            <w:vAlign w:val="center"/>
          </w:tcPr>
          <w:p w14:paraId="4EC8DDB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影响</w:t>
            </w:r>
          </w:p>
          <w:p w14:paraId="1BE74BD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因素</w:t>
            </w:r>
          </w:p>
          <w:p w14:paraId="5A7F875E">
            <w:pPr>
              <w:pStyle w:val="32"/>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1B48166D">
            <w:pPr>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环境</w:t>
            </w:r>
          </w:p>
          <w:p w14:paraId="4D7FFE31">
            <w:pPr>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要素</w:t>
            </w:r>
          </w:p>
        </w:tc>
        <w:tc>
          <w:tcPr>
            <w:tcW w:w="2731" w:type="pct"/>
            <w:gridSpan w:val="4"/>
            <w:shd w:val="clear" w:color="auto" w:fill="auto"/>
            <w:vAlign w:val="center"/>
          </w:tcPr>
          <w:p w14:paraId="7B1605E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施工期</w:t>
            </w:r>
          </w:p>
        </w:tc>
        <w:tc>
          <w:tcPr>
            <w:tcW w:w="496" w:type="pct"/>
            <w:tcBorders>
              <w:left w:val="single" w:color="auto" w:sz="4" w:space="0"/>
            </w:tcBorders>
            <w:vAlign w:val="center"/>
          </w:tcPr>
          <w:p w14:paraId="5D03F73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运营期</w:t>
            </w:r>
          </w:p>
        </w:tc>
        <w:tc>
          <w:tcPr>
            <w:tcW w:w="1363" w:type="pct"/>
            <w:gridSpan w:val="3"/>
            <w:tcBorders>
              <w:left w:val="single" w:color="auto" w:sz="4" w:space="0"/>
            </w:tcBorders>
            <w:vAlign w:val="center"/>
          </w:tcPr>
          <w:p w14:paraId="3946802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退役期</w:t>
            </w:r>
          </w:p>
        </w:tc>
      </w:tr>
      <w:tr w14:paraId="468B3E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8" w:type="pct"/>
            <w:vMerge w:val="continue"/>
            <w:tcBorders>
              <w:top w:val="single" w:color="000000" w:sz="4" w:space="0"/>
              <w:bottom w:val="single" w:color="000000" w:sz="4" w:space="0"/>
              <w:tl2br w:val="single" w:color="auto" w:sz="4" w:space="0"/>
            </w:tcBorders>
            <w:shd w:val="clear" w:color="auto" w:fill="auto"/>
            <w:vAlign w:val="center"/>
          </w:tcPr>
          <w:p w14:paraId="6C11FA5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557" w:type="pct"/>
            <w:tcBorders>
              <w:bottom w:val="single" w:color="auto" w:sz="4" w:space="0"/>
            </w:tcBorders>
            <w:shd w:val="clear" w:color="auto" w:fill="auto"/>
            <w:vAlign w:val="center"/>
          </w:tcPr>
          <w:p w14:paraId="027F09F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废气</w:t>
            </w:r>
          </w:p>
        </w:tc>
        <w:tc>
          <w:tcPr>
            <w:tcW w:w="729" w:type="pct"/>
            <w:shd w:val="clear" w:color="auto" w:fill="auto"/>
            <w:vAlign w:val="center"/>
          </w:tcPr>
          <w:p w14:paraId="21536AA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废水</w:t>
            </w:r>
          </w:p>
        </w:tc>
        <w:tc>
          <w:tcPr>
            <w:tcW w:w="945" w:type="pct"/>
            <w:shd w:val="clear" w:color="auto" w:fill="auto"/>
            <w:vAlign w:val="center"/>
          </w:tcPr>
          <w:p w14:paraId="0C5BBB7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固体废物</w:t>
            </w:r>
          </w:p>
        </w:tc>
        <w:tc>
          <w:tcPr>
            <w:tcW w:w="498" w:type="pct"/>
            <w:shd w:val="clear" w:color="auto" w:fill="auto"/>
            <w:vAlign w:val="center"/>
          </w:tcPr>
          <w:p w14:paraId="638890E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噪声</w:t>
            </w:r>
          </w:p>
        </w:tc>
        <w:tc>
          <w:tcPr>
            <w:tcW w:w="496" w:type="pct"/>
            <w:vAlign w:val="center"/>
          </w:tcPr>
          <w:p w14:paraId="37F6201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风险</w:t>
            </w:r>
          </w:p>
        </w:tc>
        <w:tc>
          <w:tcPr>
            <w:tcW w:w="517" w:type="pct"/>
            <w:tcBorders>
              <w:left w:val="single" w:color="auto" w:sz="4" w:space="0"/>
              <w:right w:val="single" w:color="auto" w:sz="4" w:space="0"/>
            </w:tcBorders>
            <w:vAlign w:val="center"/>
          </w:tcPr>
          <w:p w14:paraId="1859CE6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废水</w:t>
            </w:r>
          </w:p>
        </w:tc>
        <w:tc>
          <w:tcPr>
            <w:tcW w:w="338" w:type="pct"/>
            <w:tcBorders>
              <w:left w:val="single" w:color="auto" w:sz="4" w:space="0"/>
            </w:tcBorders>
            <w:vAlign w:val="center"/>
          </w:tcPr>
          <w:p w14:paraId="24A1DE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噪声</w:t>
            </w:r>
          </w:p>
        </w:tc>
        <w:tc>
          <w:tcPr>
            <w:tcW w:w="507" w:type="pct"/>
            <w:tcBorders>
              <w:left w:val="single" w:color="auto" w:sz="4" w:space="0"/>
            </w:tcBorders>
            <w:vAlign w:val="center"/>
          </w:tcPr>
          <w:p w14:paraId="5E54E1F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固体废物</w:t>
            </w:r>
          </w:p>
        </w:tc>
      </w:tr>
      <w:tr w14:paraId="1184EA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8" w:type="pct"/>
            <w:vMerge w:val="continue"/>
            <w:tcBorders>
              <w:top w:val="single" w:color="000000" w:sz="4" w:space="0"/>
              <w:bottom w:val="single" w:color="000000" w:sz="4" w:space="0"/>
              <w:tl2br w:val="single" w:color="auto" w:sz="4" w:space="0"/>
            </w:tcBorders>
            <w:shd w:val="clear" w:color="auto" w:fill="auto"/>
            <w:vAlign w:val="center"/>
          </w:tcPr>
          <w:p w14:paraId="40916D7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557" w:type="pct"/>
            <w:tcBorders>
              <w:top w:val="single" w:color="auto" w:sz="4" w:space="0"/>
            </w:tcBorders>
            <w:shd w:val="clear" w:color="auto" w:fill="auto"/>
            <w:vAlign w:val="center"/>
          </w:tcPr>
          <w:p w14:paraId="0C27279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施工扬尘、焊接烟尘、车辆废气等</w:t>
            </w:r>
          </w:p>
        </w:tc>
        <w:tc>
          <w:tcPr>
            <w:tcW w:w="729" w:type="pct"/>
            <w:shd w:val="clear" w:color="auto" w:fill="auto"/>
            <w:vAlign w:val="center"/>
          </w:tcPr>
          <w:p w14:paraId="7571493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试压废水、废弃管道清管废水、生活污水</w:t>
            </w:r>
          </w:p>
        </w:tc>
        <w:tc>
          <w:tcPr>
            <w:tcW w:w="945" w:type="pct"/>
            <w:shd w:val="clear" w:color="auto" w:fill="auto"/>
            <w:vAlign w:val="center"/>
          </w:tcPr>
          <w:p w14:paraId="0B92C7F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管道施工废料、</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穿越工程废弃泥浆、废旧设备、</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生活垃圾</w:t>
            </w:r>
          </w:p>
        </w:tc>
        <w:tc>
          <w:tcPr>
            <w:tcW w:w="498" w:type="pct"/>
            <w:shd w:val="clear" w:color="auto" w:fill="auto"/>
            <w:vAlign w:val="center"/>
          </w:tcPr>
          <w:p w14:paraId="09852BC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施工车辆、挖掘机等施工机械噪声</w:t>
            </w:r>
          </w:p>
        </w:tc>
        <w:tc>
          <w:tcPr>
            <w:tcW w:w="496" w:type="pct"/>
            <w:vAlign w:val="center"/>
          </w:tcPr>
          <w:p w14:paraId="52D3CB31">
            <w:pPr>
              <w:pStyle w:val="39"/>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lang w:val="en-US" w:eastAsia="zh-CN"/>
                <w14:textFill>
                  <w14:solidFill>
                    <w14:schemeClr w14:val="tx1"/>
                  </w14:solidFill>
                </w14:textFill>
              </w:rPr>
              <w:t>场站</w:t>
            </w:r>
            <w:r>
              <w:rPr>
                <w:rFonts w:hint="default" w:ascii="Times New Roman" w:hAnsi="Times New Roman" w:cs="Times New Roman"/>
                <w:color w:val="000000" w:themeColor="text1"/>
                <w:highlight w:val="none"/>
                <w14:textFill>
                  <w14:solidFill>
                    <w14:schemeClr w14:val="tx1"/>
                  </w14:solidFill>
                </w14:textFill>
              </w:rPr>
              <w:t>泄漏、火灾、爆炸</w:t>
            </w:r>
          </w:p>
        </w:tc>
        <w:tc>
          <w:tcPr>
            <w:tcW w:w="517" w:type="pct"/>
            <w:tcBorders>
              <w:left w:val="single" w:color="auto" w:sz="4" w:space="0"/>
              <w:right w:val="single" w:color="auto" w:sz="4" w:space="0"/>
            </w:tcBorders>
            <w:vAlign w:val="center"/>
          </w:tcPr>
          <w:p w14:paraId="5D063B8C">
            <w:pPr>
              <w:pStyle w:val="39"/>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废弃管道清管废水、生活污水</w:t>
            </w:r>
          </w:p>
        </w:tc>
        <w:tc>
          <w:tcPr>
            <w:tcW w:w="338" w:type="pct"/>
            <w:tcBorders>
              <w:left w:val="single" w:color="auto" w:sz="4" w:space="0"/>
            </w:tcBorders>
            <w:vAlign w:val="center"/>
          </w:tcPr>
          <w:p w14:paraId="7F26F32D">
            <w:pPr>
              <w:pStyle w:val="39"/>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清管噪声</w:t>
            </w:r>
          </w:p>
        </w:tc>
        <w:tc>
          <w:tcPr>
            <w:tcW w:w="507" w:type="pct"/>
            <w:tcBorders>
              <w:left w:val="single" w:color="auto" w:sz="4" w:space="0"/>
            </w:tcBorders>
            <w:vAlign w:val="center"/>
          </w:tcPr>
          <w:p w14:paraId="5CA939DC">
            <w:pPr>
              <w:pStyle w:val="39"/>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生活垃圾</w:t>
            </w:r>
          </w:p>
        </w:tc>
      </w:tr>
      <w:tr w14:paraId="7239A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8" w:type="pct"/>
            <w:vAlign w:val="center"/>
          </w:tcPr>
          <w:p w14:paraId="73C161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环境空气</w:t>
            </w:r>
          </w:p>
        </w:tc>
        <w:tc>
          <w:tcPr>
            <w:tcW w:w="557" w:type="pct"/>
            <w:vAlign w:val="center"/>
          </w:tcPr>
          <w:p w14:paraId="63D02AF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729" w:type="pct"/>
            <w:vAlign w:val="center"/>
          </w:tcPr>
          <w:p w14:paraId="4D60723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945" w:type="pct"/>
            <w:vAlign w:val="center"/>
          </w:tcPr>
          <w:p w14:paraId="1551007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8" w:type="pct"/>
            <w:vAlign w:val="center"/>
          </w:tcPr>
          <w:p w14:paraId="0ED559D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6" w:type="pct"/>
            <w:vAlign w:val="center"/>
          </w:tcPr>
          <w:p w14:paraId="3F038DD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517" w:type="pct"/>
            <w:tcBorders>
              <w:left w:val="single" w:color="auto" w:sz="4" w:space="0"/>
              <w:right w:val="single" w:color="auto" w:sz="4" w:space="0"/>
            </w:tcBorders>
            <w:vAlign w:val="center"/>
          </w:tcPr>
          <w:p w14:paraId="1ED7BC7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338" w:type="pct"/>
            <w:tcBorders>
              <w:left w:val="single" w:color="auto" w:sz="4" w:space="0"/>
            </w:tcBorders>
            <w:vAlign w:val="center"/>
          </w:tcPr>
          <w:p w14:paraId="5727D60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07" w:type="pct"/>
            <w:tcBorders>
              <w:left w:val="single" w:color="auto" w:sz="4" w:space="0"/>
            </w:tcBorders>
            <w:vAlign w:val="center"/>
          </w:tcPr>
          <w:p w14:paraId="3489C2C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r>
      <w:tr w14:paraId="08CD8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8" w:type="pct"/>
            <w:vAlign w:val="center"/>
          </w:tcPr>
          <w:p w14:paraId="5CAA0A4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地表水</w:t>
            </w:r>
          </w:p>
        </w:tc>
        <w:tc>
          <w:tcPr>
            <w:tcW w:w="557" w:type="pct"/>
            <w:vAlign w:val="center"/>
          </w:tcPr>
          <w:p w14:paraId="57EDC04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729" w:type="pct"/>
            <w:vAlign w:val="center"/>
          </w:tcPr>
          <w:p w14:paraId="0512AA7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945" w:type="pct"/>
            <w:vAlign w:val="center"/>
          </w:tcPr>
          <w:p w14:paraId="6D7A447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498" w:type="pct"/>
            <w:vAlign w:val="center"/>
          </w:tcPr>
          <w:p w14:paraId="71D77A0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6" w:type="pct"/>
            <w:vAlign w:val="center"/>
          </w:tcPr>
          <w:p w14:paraId="4A9C447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517" w:type="pct"/>
            <w:tcBorders>
              <w:left w:val="single" w:color="auto" w:sz="4" w:space="0"/>
              <w:right w:val="single" w:color="auto" w:sz="4" w:space="0"/>
            </w:tcBorders>
            <w:vAlign w:val="center"/>
          </w:tcPr>
          <w:p w14:paraId="366CEF8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338" w:type="pct"/>
            <w:tcBorders>
              <w:left w:val="single" w:color="auto" w:sz="4" w:space="0"/>
            </w:tcBorders>
            <w:vAlign w:val="center"/>
          </w:tcPr>
          <w:p w14:paraId="170413D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07" w:type="pct"/>
            <w:tcBorders>
              <w:left w:val="single" w:color="auto" w:sz="4" w:space="0"/>
            </w:tcBorders>
            <w:vAlign w:val="center"/>
          </w:tcPr>
          <w:p w14:paraId="78752C6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r>
      <w:tr w14:paraId="02C819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8" w:type="pct"/>
            <w:vAlign w:val="center"/>
          </w:tcPr>
          <w:p w14:paraId="024B345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地下水</w:t>
            </w:r>
          </w:p>
        </w:tc>
        <w:tc>
          <w:tcPr>
            <w:tcW w:w="557" w:type="pct"/>
            <w:vAlign w:val="center"/>
          </w:tcPr>
          <w:p w14:paraId="534759E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729" w:type="pct"/>
            <w:vAlign w:val="center"/>
          </w:tcPr>
          <w:p w14:paraId="20E8A9D7">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945" w:type="pct"/>
            <w:vAlign w:val="center"/>
          </w:tcPr>
          <w:p w14:paraId="5991B83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498" w:type="pct"/>
            <w:vAlign w:val="center"/>
          </w:tcPr>
          <w:p w14:paraId="658188C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6" w:type="pct"/>
            <w:vAlign w:val="center"/>
          </w:tcPr>
          <w:p w14:paraId="0B60877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517" w:type="pct"/>
            <w:tcBorders>
              <w:left w:val="single" w:color="auto" w:sz="4" w:space="0"/>
              <w:right w:val="single" w:color="auto" w:sz="4" w:space="0"/>
            </w:tcBorders>
            <w:vAlign w:val="center"/>
          </w:tcPr>
          <w:p w14:paraId="26C5102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338" w:type="pct"/>
            <w:tcBorders>
              <w:left w:val="single" w:color="auto" w:sz="4" w:space="0"/>
            </w:tcBorders>
            <w:vAlign w:val="center"/>
          </w:tcPr>
          <w:p w14:paraId="40F7762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07" w:type="pct"/>
            <w:tcBorders>
              <w:left w:val="single" w:color="auto" w:sz="4" w:space="0"/>
            </w:tcBorders>
            <w:vAlign w:val="center"/>
          </w:tcPr>
          <w:p w14:paraId="788D098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r>
      <w:tr w14:paraId="53600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8" w:type="pct"/>
            <w:vAlign w:val="center"/>
          </w:tcPr>
          <w:p w14:paraId="45CD7C6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声环境</w:t>
            </w:r>
          </w:p>
        </w:tc>
        <w:tc>
          <w:tcPr>
            <w:tcW w:w="557" w:type="pct"/>
            <w:vAlign w:val="center"/>
          </w:tcPr>
          <w:p w14:paraId="0E0A8DC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729" w:type="pct"/>
            <w:vAlign w:val="center"/>
          </w:tcPr>
          <w:p w14:paraId="7A9A759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t>/</w:t>
            </w:r>
          </w:p>
        </w:tc>
        <w:tc>
          <w:tcPr>
            <w:tcW w:w="945" w:type="pct"/>
            <w:vAlign w:val="center"/>
          </w:tcPr>
          <w:p w14:paraId="7582D22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t>/</w:t>
            </w:r>
          </w:p>
        </w:tc>
        <w:tc>
          <w:tcPr>
            <w:tcW w:w="498" w:type="pct"/>
            <w:vAlign w:val="center"/>
          </w:tcPr>
          <w:p w14:paraId="5403BCA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496" w:type="pct"/>
            <w:vAlign w:val="center"/>
          </w:tcPr>
          <w:p w14:paraId="5DC7ED9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17" w:type="pct"/>
            <w:tcBorders>
              <w:left w:val="single" w:color="auto" w:sz="4" w:space="0"/>
              <w:right w:val="single" w:color="auto" w:sz="4" w:space="0"/>
            </w:tcBorders>
            <w:vAlign w:val="center"/>
          </w:tcPr>
          <w:p w14:paraId="39931D0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t>/</w:t>
            </w:r>
          </w:p>
        </w:tc>
        <w:tc>
          <w:tcPr>
            <w:tcW w:w="338" w:type="pct"/>
            <w:tcBorders>
              <w:left w:val="single" w:color="auto" w:sz="4" w:space="0"/>
            </w:tcBorders>
            <w:vAlign w:val="center"/>
          </w:tcPr>
          <w:p w14:paraId="204D6F1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507" w:type="pct"/>
            <w:tcBorders>
              <w:left w:val="single" w:color="auto" w:sz="4" w:space="0"/>
            </w:tcBorders>
            <w:vAlign w:val="center"/>
          </w:tcPr>
          <w:p w14:paraId="26CBBB7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t>/</w:t>
            </w:r>
          </w:p>
        </w:tc>
      </w:tr>
      <w:tr w14:paraId="7D5612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08" w:type="pct"/>
            <w:vAlign w:val="center"/>
          </w:tcPr>
          <w:p w14:paraId="7C9D182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土壤</w:t>
            </w:r>
          </w:p>
        </w:tc>
        <w:tc>
          <w:tcPr>
            <w:tcW w:w="557" w:type="pct"/>
            <w:vAlign w:val="center"/>
          </w:tcPr>
          <w:p w14:paraId="75222F7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729" w:type="pct"/>
          </w:tcPr>
          <w:p w14:paraId="6E61A9B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945" w:type="pct"/>
            <w:vAlign w:val="center"/>
          </w:tcPr>
          <w:p w14:paraId="70F23B4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498" w:type="pct"/>
            <w:vAlign w:val="center"/>
          </w:tcPr>
          <w:p w14:paraId="43B5DA5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6" w:type="pct"/>
            <w:vAlign w:val="center"/>
          </w:tcPr>
          <w:p w14:paraId="2C315A0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517" w:type="pct"/>
            <w:tcBorders>
              <w:left w:val="single" w:color="auto" w:sz="4" w:space="0"/>
              <w:right w:val="single" w:color="auto" w:sz="4" w:space="0"/>
            </w:tcBorders>
            <w:vAlign w:val="top"/>
          </w:tcPr>
          <w:p w14:paraId="1ECABB2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338" w:type="pct"/>
            <w:tcBorders>
              <w:left w:val="single" w:color="auto" w:sz="4" w:space="0"/>
            </w:tcBorders>
            <w:vAlign w:val="center"/>
          </w:tcPr>
          <w:p w14:paraId="26D91A2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07" w:type="pct"/>
            <w:tcBorders>
              <w:left w:val="single" w:color="auto" w:sz="4" w:space="0"/>
            </w:tcBorders>
            <w:vAlign w:val="center"/>
          </w:tcPr>
          <w:p w14:paraId="586A51D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r>
      <w:tr w14:paraId="0EBFD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8" w:type="pct"/>
            <w:vAlign w:val="center"/>
          </w:tcPr>
          <w:p w14:paraId="2D8CCB7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生态</w:t>
            </w:r>
          </w:p>
        </w:tc>
        <w:tc>
          <w:tcPr>
            <w:tcW w:w="557" w:type="pct"/>
            <w:vAlign w:val="center"/>
          </w:tcPr>
          <w:p w14:paraId="0894CAB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729" w:type="pct"/>
            <w:vAlign w:val="center"/>
          </w:tcPr>
          <w:p w14:paraId="52BDAF5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微软雅黑" w:cs="Times New Roman"/>
                <w:color w:val="000000" w:themeColor="text1"/>
                <w:kern w:val="0"/>
                <w:sz w:val="22"/>
                <w:szCs w:val="22"/>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945" w:type="pct"/>
            <w:vAlign w:val="center"/>
          </w:tcPr>
          <w:p w14:paraId="0F4EBD9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498" w:type="pct"/>
            <w:vAlign w:val="center"/>
          </w:tcPr>
          <w:p w14:paraId="6D11636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6" w:type="pct"/>
            <w:vAlign w:val="center"/>
          </w:tcPr>
          <w:p w14:paraId="4FD3CAD8">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-S</w:t>
            </w:r>
          </w:p>
        </w:tc>
        <w:tc>
          <w:tcPr>
            <w:tcW w:w="517" w:type="pct"/>
            <w:tcBorders>
              <w:left w:val="single" w:color="auto" w:sz="4" w:space="0"/>
              <w:right w:val="single" w:color="auto" w:sz="4" w:space="0"/>
            </w:tcBorders>
            <w:vAlign w:val="center"/>
          </w:tcPr>
          <w:p w14:paraId="556F75A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w:t>
            </w:r>
          </w:p>
        </w:tc>
        <w:tc>
          <w:tcPr>
            <w:tcW w:w="338" w:type="pct"/>
            <w:tcBorders>
              <w:left w:val="single" w:color="auto" w:sz="4" w:space="0"/>
            </w:tcBorders>
            <w:vAlign w:val="center"/>
          </w:tcPr>
          <w:p w14:paraId="74EF1AA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07" w:type="pct"/>
            <w:tcBorders>
              <w:left w:val="single" w:color="auto" w:sz="4" w:space="0"/>
            </w:tcBorders>
            <w:vAlign w:val="center"/>
          </w:tcPr>
          <w:p w14:paraId="0E9D86A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r>
      <w:tr w14:paraId="072DFA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8" w:type="pct"/>
            <w:vAlign w:val="center"/>
          </w:tcPr>
          <w:p w14:paraId="6F6913B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其他</w:t>
            </w:r>
          </w:p>
        </w:tc>
        <w:tc>
          <w:tcPr>
            <w:tcW w:w="557" w:type="pct"/>
            <w:vAlign w:val="center"/>
          </w:tcPr>
          <w:p w14:paraId="3D18F51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729" w:type="pct"/>
            <w:vAlign w:val="center"/>
          </w:tcPr>
          <w:p w14:paraId="728A3EF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945" w:type="pct"/>
            <w:vAlign w:val="center"/>
          </w:tcPr>
          <w:p w14:paraId="540A736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8" w:type="pct"/>
            <w:vAlign w:val="center"/>
          </w:tcPr>
          <w:p w14:paraId="3426F4F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496" w:type="pct"/>
            <w:vAlign w:val="center"/>
          </w:tcPr>
          <w:p w14:paraId="31DDF26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17" w:type="pct"/>
            <w:tcBorders>
              <w:left w:val="single" w:color="auto" w:sz="4" w:space="0"/>
              <w:right w:val="single" w:color="auto" w:sz="4" w:space="0"/>
            </w:tcBorders>
            <w:vAlign w:val="center"/>
          </w:tcPr>
          <w:p w14:paraId="566C811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338" w:type="pct"/>
            <w:tcBorders>
              <w:left w:val="single" w:color="auto" w:sz="4" w:space="0"/>
            </w:tcBorders>
            <w:vAlign w:val="center"/>
          </w:tcPr>
          <w:p w14:paraId="1DCF612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c>
          <w:tcPr>
            <w:tcW w:w="507" w:type="pct"/>
            <w:tcBorders>
              <w:left w:val="single" w:color="auto" w:sz="4" w:space="0"/>
            </w:tcBorders>
            <w:vAlign w:val="center"/>
          </w:tcPr>
          <w:p w14:paraId="6FE205F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p>
        </w:tc>
      </w:tr>
      <w:tr w14:paraId="66D6F7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9"/>
            <w:vAlign w:val="center"/>
          </w:tcPr>
          <w:p w14:paraId="27E6488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备注：</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表示不利影响；S表示短期影响；L表示长期影响；/表示此项环境因子不存在或与工程活动无关</w:t>
            </w:r>
          </w:p>
        </w:tc>
      </w:tr>
    </w:tbl>
    <w:p w14:paraId="732F06A7">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eastAsia="zh-CN"/>
          <w14:textFill>
            <w14:solidFill>
              <w14:schemeClr w14:val="tx1"/>
            </w14:solidFill>
          </w14:textFill>
        </w:rPr>
        <w:t>表2.4-</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施工期生态</w:t>
      </w:r>
      <w:r>
        <w:rPr>
          <w:rFonts w:hint="default" w:ascii="Times New Roman" w:hAnsi="Times New Roman" w:eastAsia="宋体" w:cs="Times New Roman"/>
          <w:b/>
          <w:color w:val="000000" w:themeColor="text1"/>
          <w:sz w:val="24"/>
          <w:szCs w:val="24"/>
          <w:highlight w:val="none"/>
          <w14:textFill>
            <w14:solidFill>
              <w14:schemeClr w14:val="tx1"/>
            </w14:solidFill>
          </w14:textFill>
        </w:rPr>
        <w:t>影响评价因子</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筛选表</w:t>
      </w:r>
    </w:p>
    <w:tbl>
      <w:tblPr>
        <w:tblStyle w:val="18"/>
        <w:tblW w:w="525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92"/>
        <w:gridCol w:w="4521"/>
        <w:gridCol w:w="2163"/>
        <w:gridCol w:w="876"/>
        <w:gridCol w:w="621"/>
      </w:tblGrid>
      <w:tr w14:paraId="78BE1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727" w:type="pct"/>
            <w:tcBorders>
              <w:tl2br w:val="nil"/>
              <w:tr2bl w:val="nil"/>
            </w:tcBorders>
            <w:shd w:val="clear" w:color="auto" w:fill="auto"/>
            <w:vAlign w:val="center"/>
          </w:tcPr>
          <w:p w14:paraId="1FA5314A">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受影响对象</w:t>
            </w:r>
          </w:p>
        </w:tc>
        <w:tc>
          <w:tcPr>
            <w:tcW w:w="2360" w:type="pct"/>
            <w:tcBorders>
              <w:tl2br w:val="nil"/>
              <w:tr2bl w:val="nil"/>
            </w:tcBorders>
            <w:shd w:val="clear" w:color="auto" w:fill="auto"/>
            <w:vAlign w:val="center"/>
          </w:tcPr>
          <w:p w14:paraId="76268D18">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评价因子</w:t>
            </w:r>
          </w:p>
        </w:tc>
        <w:tc>
          <w:tcPr>
            <w:tcW w:w="1129" w:type="pct"/>
            <w:tcBorders>
              <w:tl2br w:val="nil"/>
              <w:tr2bl w:val="nil"/>
            </w:tcBorders>
            <w:shd w:val="clear" w:color="auto" w:fill="auto"/>
            <w:vAlign w:val="center"/>
          </w:tcPr>
          <w:p w14:paraId="4E9E3B3A">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工程内容及影响方式</w:t>
            </w:r>
          </w:p>
        </w:tc>
        <w:tc>
          <w:tcPr>
            <w:tcW w:w="457" w:type="pct"/>
            <w:tcBorders>
              <w:tl2br w:val="nil"/>
              <w:tr2bl w:val="nil"/>
            </w:tcBorders>
            <w:shd w:val="clear" w:color="auto" w:fill="auto"/>
            <w:vAlign w:val="center"/>
          </w:tcPr>
          <w:p w14:paraId="11DCEEB9">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影响性质</w:t>
            </w:r>
          </w:p>
        </w:tc>
        <w:tc>
          <w:tcPr>
            <w:tcW w:w="324" w:type="pct"/>
            <w:tcBorders>
              <w:tl2br w:val="nil"/>
              <w:tr2bl w:val="nil"/>
            </w:tcBorders>
            <w:shd w:val="clear" w:color="auto" w:fill="auto"/>
            <w:vAlign w:val="center"/>
          </w:tcPr>
          <w:p w14:paraId="24CE1009">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影响程度</w:t>
            </w:r>
          </w:p>
        </w:tc>
      </w:tr>
      <w:tr w14:paraId="2E456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5" w:hRule="atLeast"/>
          <w:jc w:val="center"/>
        </w:trPr>
        <w:tc>
          <w:tcPr>
            <w:tcW w:w="727" w:type="pct"/>
            <w:tcBorders>
              <w:tl2br w:val="nil"/>
              <w:tr2bl w:val="nil"/>
            </w:tcBorders>
            <w:shd w:val="clear" w:color="auto" w:fill="auto"/>
            <w:vAlign w:val="center"/>
          </w:tcPr>
          <w:p w14:paraId="0A12E0D2">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w:t>
            </w:r>
          </w:p>
        </w:tc>
        <w:tc>
          <w:tcPr>
            <w:tcW w:w="2360" w:type="pct"/>
            <w:tcBorders>
              <w:tl2br w:val="nil"/>
              <w:tr2bl w:val="nil"/>
            </w:tcBorders>
            <w:shd w:val="clear" w:color="auto" w:fill="auto"/>
            <w:vAlign w:val="center"/>
          </w:tcPr>
          <w:p w14:paraId="3E75C5C9">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分布范围、种群数量、种群结构、行为</w:t>
            </w:r>
          </w:p>
        </w:tc>
        <w:tc>
          <w:tcPr>
            <w:tcW w:w="1129" w:type="pct"/>
            <w:vMerge w:val="restart"/>
            <w:tcBorders>
              <w:tl2br w:val="nil"/>
              <w:tr2bl w:val="nil"/>
            </w:tcBorders>
            <w:shd w:val="clear" w:color="auto" w:fill="auto"/>
            <w:vAlign w:val="center"/>
          </w:tcPr>
          <w:p w14:paraId="20BC4E76">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管道施工临时占地产生的直接影响</w:t>
            </w:r>
          </w:p>
        </w:tc>
        <w:tc>
          <w:tcPr>
            <w:tcW w:w="457" w:type="pct"/>
            <w:vMerge w:val="restart"/>
            <w:tcBorders>
              <w:tl2br w:val="nil"/>
              <w:tr2bl w:val="nil"/>
            </w:tcBorders>
            <w:shd w:val="clear" w:color="auto" w:fill="auto"/>
            <w:vAlign w:val="center"/>
          </w:tcPr>
          <w:p w14:paraId="7E85F10A">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短期、可逆</w:t>
            </w:r>
          </w:p>
        </w:tc>
        <w:tc>
          <w:tcPr>
            <w:tcW w:w="324" w:type="pct"/>
            <w:tcBorders>
              <w:tl2br w:val="nil"/>
              <w:tr2bl w:val="nil"/>
            </w:tcBorders>
            <w:shd w:val="clear" w:color="auto" w:fill="auto"/>
            <w:vAlign w:val="center"/>
          </w:tcPr>
          <w:p w14:paraId="3B94A2DB">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0F078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727" w:type="pct"/>
            <w:tcBorders>
              <w:tl2br w:val="nil"/>
              <w:tr2bl w:val="nil"/>
            </w:tcBorders>
            <w:shd w:val="clear" w:color="auto" w:fill="auto"/>
            <w:vAlign w:val="center"/>
          </w:tcPr>
          <w:p w14:paraId="4E8C51F0">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生境</w:t>
            </w:r>
          </w:p>
        </w:tc>
        <w:tc>
          <w:tcPr>
            <w:tcW w:w="2360" w:type="pct"/>
            <w:tcBorders>
              <w:tl2br w:val="nil"/>
              <w:tr2bl w:val="nil"/>
            </w:tcBorders>
            <w:shd w:val="clear" w:color="auto" w:fill="auto"/>
            <w:vAlign w:val="center"/>
          </w:tcPr>
          <w:p w14:paraId="39494603">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生境面积、质量、连通性</w:t>
            </w:r>
          </w:p>
        </w:tc>
        <w:tc>
          <w:tcPr>
            <w:tcW w:w="1129" w:type="pct"/>
            <w:vMerge w:val="continue"/>
            <w:tcBorders>
              <w:tl2br w:val="nil"/>
              <w:tr2bl w:val="nil"/>
            </w:tcBorders>
            <w:shd w:val="clear" w:color="auto" w:fill="auto"/>
            <w:vAlign w:val="center"/>
          </w:tcPr>
          <w:p w14:paraId="31BC0DEC">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57" w:type="pct"/>
            <w:vMerge w:val="continue"/>
            <w:tcBorders>
              <w:tl2br w:val="nil"/>
              <w:tr2bl w:val="nil"/>
            </w:tcBorders>
            <w:shd w:val="clear" w:color="auto" w:fill="auto"/>
            <w:vAlign w:val="center"/>
          </w:tcPr>
          <w:p w14:paraId="6D50E7EB">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24" w:type="pct"/>
            <w:tcBorders>
              <w:tl2br w:val="nil"/>
              <w:tr2bl w:val="nil"/>
            </w:tcBorders>
            <w:shd w:val="clear" w:color="auto" w:fill="auto"/>
            <w:vAlign w:val="center"/>
          </w:tcPr>
          <w:p w14:paraId="5C5394AD">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0B214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 w:hRule="atLeast"/>
          <w:jc w:val="center"/>
        </w:trPr>
        <w:tc>
          <w:tcPr>
            <w:tcW w:w="727" w:type="pct"/>
            <w:tcBorders>
              <w:tl2br w:val="nil"/>
              <w:tr2bl w:val="nil"/>
            </w:tcBorders>
            <w:shd w:val="clear" w:color="auto" w:fill="auto"/>
            <w:vAlign w:val="center"/>
          </w:tcPr>
          <w:p w14:paraId="6CC6539A">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生物群落</w:t>
            </w:r>
          </w:p>
        </w:tc>
        <w:tc>
          <w:tcPr>
            <w:tcW w:w="2360" w:type="pct"/>
            <w:tcBorders>
              <w:tl2br w:val="nil"/>
              <w:tr2bl w:val="nil"/>
            </w:tcBorders>
            <w:shd w:val="clear" w:color="auto" w:fill="auto"/>
            <w:vAlign w:val="center"/>
          </w:tcPr>
          <w:p w14:paraId="207E5D1A">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物种组成、群落结构等</w:t>
            </w:r>
          </w:p>
        </w:tc>
        <w:tc>
          <w:tcPr>
            <w:tcW w:w="1129" w:type="pct"/>
            <w:vMerge w:val="continue"/>
            <w:tcBorders>
              <w:tl2br w:val="nil"/>
              <w:tr2bl w:val="nil"/>
            </w:tcBorders>
            <w:shd w:val="clear" w:color="auto" w:fill="auto"/>
            <w:vAlign w:val="center"/>
          </w:tcPr>
          <w:p w14:paraId="64110F35">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57" w:type="pct"/>
            <w:vMerge w:val="continue"/>
            <w:tcBorders>
              <w:tl2br w:val="nil"/>
              <w:tr2bl w:val="nil"/>
            </w:tcBorders>
            <w:shd w:val="clear" w:color="auto" w:fill="auto"/>
            <w:vAlign w:val="center"/>
          </w:tcPr>
          <w:p w14:paraId="22EC7EA6">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24" w:type="pct"/>
            <w:tcBorders>
              <w:tl2br w:val="nil"/>
              <w:tr2bl w:val="nil"/>
            </w:tcBorders>
            <w:shd w:val="clear" w:color="auto" w:fill="auto"/>
            <w:vAlign w:val="center"/>
          </w:tcPr>
          <w:p w14:paraId="29A00B00">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0C9CC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7" w:hRule="atLeast"/>
          <w:jc w:val="center"/>
        </w:trPr>
        <w:tc>
          <w:tcPr>
            <w:tcW w:w="727" w:type="pct"/>
            <w:tcBorders>
              <w:tl2br w:val="nil"/>
              <w:tr2bl w:val="nil"/>
            </w:tcBorders>
            <w:shd w:val="clear" w:color="auto" w:fill="auto"/>
            <w:vAlign w:val="center"/>
          </w:tcPr>
          <w:p w14:paraId="0FF0F5BA">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生态系统</w:t>
            </w:r>
          </w:p>
        </w:tc>
        <w:tc>
          <w:tcPr>
            <w:tcW w:w="2360" w:type="pct"/>
            <w:tcBorders>
              <w:tl2br w:val="nil"/>
              <w:tr2bl w:val="nil"/>
            </w:tcBorders>
            <w:shd w:val="clear" w:color="auto" w:fill="auto"/>
            <w:vAlign w:val="center"/>
          </w:tcPr>
          <w:p w14:paraId="30CDBB61">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植被覆盖度、生产力、生物量、生态系统功能等</w:t>
            </w:r>
          </w:p>
        </w:tc>
        <w:tc>
          <w:tcPr>
            <w:tcW w:w="1129" w:type="pct"/>
            <w:vMerge w:val="continue"/>
            <w:tcBorders>
              <w:tl2br w:val="nil"/>
              <w:tr2bl w:val="nil"/>
            </w:tcBorders>
            <w:shd w:val="clear" w:color="auto" w:fill="auto"/>
            <w:vAlign w:val="center"/>
          </w:tcPr>
          <w:p w14:paraId="6D4050C1">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57" w:type="pct"/>
            <w:vMerge w:val="continue"/>
            <w:tcBorders>
              <w:tl2br w:val="nil"/>
              <w:tr2bl w:val="nil"/>
            </w:tcBorders>
            <w:shd w:val="clear" w:color="auto" w:fill="auto"/>
            <w:vAlign w:val="center"/>
          </w:tcPr>
          <w:p w14:paraId="4F531F6B">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24" w:type="pct"/>
            <w:tcBorders>
              <w:tl2br w:val="nil"/>
              <w:tr2bl w:val="nil"/>
            </w:tcBorders>
            <w:shd w:val="clear" w:color="auto" w:fill="auto"/>
            <w:vAlign w:val="center"/>
          </w:tcPr>
          <w:p w14:paraId="063CA471">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34E79F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8" w:hRule="atLeast"/>
          <w:jc w:val="center"/>
        </w:trPr>
        <w:tc>
          <w:tcPr>
            <w:tcW w:w="727" w:type="pct"/>
            <w:tcBorders>
              <w:tl2br w:val="nil"/>
              <w:tr2bl w:val="nil"/>
            </w:tcBorders>
            <w:shd w:val="clear" w:color="auto" w:fill="auto"/>
            <w:vAlign w:val="center"/>
          </w:tcPr>
          <w:p w14:paraId="21D5DA97">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生物多样性</w:t>
            </w:r>
          </w:p>
        </w:tc>
        <w:tc>
          <w:tcPr>
            <w:tcW w:w="2360" w:type="pct"/>
            <w:tcBorders>
              <w:tl2br w:val="nil"/>
              <w:tr2bl w:val="nil"/>
            </w:tcBorders>
            <w:shd w:val="clear" w:color="auto" w:fill="auto"/>
            <w:vAlign w:val="center"/>
          </w:tcPr>
          <w:p w14:paraId="2927A6D5">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物种丰富度、均匀度、优势度等</w:t>
            </w:r>
          </w:p>
        </w:tc>
        <w:tc>
          <w:tcPr>
            <w:tcW w:w="1129" w:type="pct"/>
            <w:vMerge w:val="continue"/>
            <w:tcBorders>
              <w:tl2br w:val="nil"/>
              <w:tr2bl w:val="nil"/>
            </w:tcBorders>
            <w:shd w:val="clear" w:color="auto" w:fill="auto"/>
            <w:vAlign w:val="center"/>
          </w:tcPr>
          <w:p w14:paraId="3BBB6C31">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57" w:type="pct"/>
            <w:vMerge w:val="continue"/>
            <w:tcBorders>
              <w:tl2br w:val="nil"/>
              <w:tr2bl w:val="nil"/>
            </w:tcBorders>
            <w:shd w:val="clear" w:color="auto" w:fill="auto"/>
            <w:vAlign w:val="center"/>
          </w:tcPr>
          <w:p w14:paraId="03D49AF0">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24" w:type="pct"/>
            <w:tcBorders>
              <w:tl2br w:val="nil"/>
              <w:tr2bl w:val="nil"/>
            </w:tcBorders>
            <w:shd w:val="clear" w:color="auto" w:fill="auto"/>
            <w:vAlign w:val="center"/>
          </w:tcPr>
          <w:p w14:paraId="355D9C95">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bl>
    <w:p w14:paraId="65F9548A">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4"/>
          <w:highlight w:val="none"/>
          <w:lang w:eastAsia="zh-CN"/>
          <w14:textFill>
            <w14:solidFill>
              <w14:schemeClr w14:val="tx1"/>
            </w14:solidFill>
          </w14:textFill>
        </w:rPr>
        <w:t>表2.4-</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运营期生态</w:t>
      </w:r>
      <w:r>
        <w:rPr>
          <w:rFonts w:hint="default" w:ascii="Times New Roman" w:hAnsi="Times New Roman" w:eastAsia="宋体" w:cs="Times New Roman"/>
          <w:b/>
          <w:color w:val="000000" w:themeColor="text1"/>
          <w:sz w:val="24"/>
          <w:szCs w:val="24"/>
          <w:highlight w:val="none"/>
          <w14:textFill>
            <w14:solidFill>
              <w14:schemeClr w14:val="tx1"/>
            </w14:solidFill>
          </w14:textFill>
        </w:rPr>
        <w:t>影响评价因子</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筛选表</w:t>
      </w:r>
    </w:p>
    <w:tbl>
      <w:tblPr>
        <w:tblStyle w:val="18"/>
        <w:tblW w:w="515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05"/>
        <w:gridCol w:w="4977"/>
        <w:gridCol w:w="1935"/>
        <w:gridCol w:w="652"/>
        <w:gridCol w:w="721"/>
      </w:tblGrid>
      <w:tr w14:paraId="0854C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88" w:type="pct"/>
            <w:tcBorders>
              <w:tl2br w:val="nil"/>
              <w:tr2bl w:val="nil"/>
            </w:tcBorders>
            <w:shd w:val="clear" w:color="auto" w:fill="auto"/>
            <w:vAlign w:val="center"/>
          </w:tcPr>
          <w:p w14:paraId="0BF6EFB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受影响对象</w:t>
            </w:r>
          </w:p>
        </w:tc>
        <w:tc>
          <w:tcPr>
            <w:tcW w:w="2649" w:type="pct"/>
            <w:tcBorders>
              <w:tl2br w:val="nil"/>
              <w:tr2bl w:val="nil"/>
            </w:tcBorders>
            <w:shd w:val="clear" w:color="auto" w:fill="auto"/>
            <w:vAlign w:val="center"/>
          </w:tcPr>
          <w:p w14:paraId="49F97223">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评价因子</w:t>
            </w:r>
          </w:p>
        </w:tc>
        <w:tc>
          <w:tcPr>
            <w:tcW w:w="1030" w:type="pct"/>
            <w:tcBorders>
              <w:tl2br w:val="nil"/>
              <w:tr2bl w:val="nil"/>
            </w:tcBorders>
            <w:shd w:val="clear" w:color="auto" w:fill="auto"/>
            <w:vAlign w:val="center"/>
          </w:tcPr>
          <w:p w14:paraId="5FA4C924">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工程内容及影响方式</w:t>
            </w:r>
          </w:p>
        </w:tc>
        <w:tc>
          <w:tcPr>
            <w:tcW w:w="347" w:type="pct"/>
            <w:tcBorders>
              <w:tl2br w:val="nil"/>
              <w:tr2bl w:val="nil"/>
            </w:tcBorders>
            <w:shd w:val="clear" w:color="auto" w:fill="auto"/>
            <w:vAlign w:val="center"/>
          </w:tcPr>
          <w:p w14:paraId="0A779587">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影响性质</w:t>
            </w:r>
          </w:p>
        </w:tc>
        <w:tc>
          <w:tcPr>
            <w:tcW w:w="384" w:type="pct"/>
            <w:tcBorders>
              <w:tl2br w:val="nil"/>
              <w:tr2bl w:val="nil"/>
            </w:tcBorders>
            <w:shd w:val="clear" w:color="auto" w:fill="auto"/>
            <w:vAlign w:val="center"/>
          </w:tcPr>
          <w:p w14:paraId="6C44517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影响程度</w:t>
            </w:r>
          </w:p>
        </w:tc>
      </w:tr>
      <w:tr w14:paraId="0E9CCD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2" w:hRule="atLeast"/>
          <w:jc w:val="center"/>
        </w:trPr>
        <w:tc>
          <w:tcPr>
            <w:tcW w:w="588" w:type="pct"/>
            <w:tcBorders>
              <w:tl2br w:val="nil"/>
              <w:tr2bl w:val="nil"/>
            </w:tcBorders>
            <w:shd w:val="clear" w:color="auto" w:fill="auto"/>
            <w:vAlign w:val="center"/>
          </w:tcPr>
          <w:p w14:paraId="32A1F2F8">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w:t>
            </w:r>
          </w:p>
        </w:tc>
        <w:tc>
          <w:tcPr>
            <w:tcW w:w="2649" w:type="pct"/>
            <w:tcBorders>
              <w:tl2br w:val="nil"/>
              <w:tr2bl w:val="nil"/>
            </w:tcBorders>
            <w:shd w:val="clear" w:color="auto" w:fill="auto"/>
            <w:vAlign w:val="center"/>
          </w:tcPr>
          <w:p w14:paraId="586C2E8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分布范围、种群数量、种群结构、行为</w:t>
            </w:r>
          </w:p>
        </w:tc>
        <w:tc>
          <w:tcPr>
            <w:tcW w:w="1030" w:type="pct"/>
            <w:vMerge w:val="restart"/>
            <w:tcBorders>
              <w:tl2br w:val="nil"/>
              <w:tr2bl w:val="nil"/>
            </w:tcBorders>
            <w:shd w:val="clear" w:color="auto" w:fill="auto"/>
            <w:vAlign w:val="center"/>
          </w:tcPr>
          <w:p w14:paraId="2917E2E0">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管道泄漏产生的直接生态影响</w:t>
            </w:r>
          </w:p>
        </w:tc>
        <w:tc>
          <w:tcPr>
            <w:tcW w:w="347" w:type="pct"/>
            <w:vMerge w:val="restart"/>
            <w:tcBorders>
              <w:tl2br w:val="nil"/>
              <w:tr2bl w:val="nil"/>
            </w:tcBorders>
            <w:shd w:val="clear" w:color="auto" w:fill="auto"/>
            <w:vAlign w:val="center"/>
          </w:tcPr>
          <w:p w14:paraId="133AE0A2">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短期、不可逆</w:t>
            </w:r>
          </w:p>
        </w:tc>
        <w:tc>
          <w:tcPr>
            <w:tcW w:w="384" w:type="pct"/>
            <w:tcBorders>
              <w:tl2br w:val="nil"/>
              <w:tr2bl w:val="nil"/>
            </w:tcBorders>
            <w:shd w:val="clear" w:color="auto" w:fill="auto"/>
            <w:vAlign w:val="center"/>
          </w:tcPr>
          <w:p w14:paraId="06395108">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579B75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4" w:hRule="atLeast"/>
          <w:jc w:val="center"/>
        </w:trPr>
        <w:tc>
          <w:tcPr>
            <w:tcW w:w="588" w:type="pct"/>
            <w:tcBorders>
              <w:tl2br w:val="nil"/>
              <w:tr2bl w:val="nil"/>
            </w:tcBorders>
            <w:shd w:val="clear" w:color="auto" w:fill="auto"/>
            <w:vAlign w:val="center"/>
          </w:tcPr>
          <w:p w14:paraId="5286FBA4">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生境</w:t>
            </w:r>
          </w:p>
        </w:tc>
        <w:tc>
          <w:tcPr>
            <w:tcW w:w="2649" w:type="pct"/>
            <w:tcBorders>
              <w:tl2br w:val="nil"/>
              <w:tr2bl w:val="nil"/>
            </w:tcBorders>
            <w:shd w:val="clear" w:color="auto" w:fill="auto"/>
            <w:vAlign w:val="center"/>
          </w:tcPr>
          <w:p w14:paraId="489D97F6">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生境面积、质量、连通性</w:t>
            </w:r>
          </w:p>
        </w:tc>
        <w:tc>
          <w:tcPr>
            <w:tcW w:w="1030" w:type="pct"/>
            <w:vMerge w:val="continue"/>
            <w:tcBorders>
              <w:tl2br w:val="nil"/>
              <w:tr2bl w:val="nil"/>
            </w:tcBorders>
            <w:shd w:val="clear" w:color="auto" w:fill="auto"/>
            <w:vAlign w:val="center"/>
          </w:tcPr>
          <w:p w14:paraId="5B91A4A5">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47" w:type="pct"/>
            <w:vMerge w:val="continue"/>
            <w:tcBorders>
              <w:tl2br w:val="nil"/>
              <w:tr2bl w:val="nil"/>
            </w:tcBorders>
            <w:shd w:val="clear" w:color="auto" w:fill="auto"/>
            <w:vAlign w:val="center"/>
          </w:tcPr>
          <w:p w14:paraId="7907AAD0">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84" w:type="pct"/>
            <w:tcBorders>
              <w:tl2br w:val="nil"/>
              <w:tr2bl w:val="nil"/>
            </w:tcBorders>
            <w:shd w:val="clear" w:color="auto" w:fill="auto"/>
            <w:vAlign w:val="center"/>
          </w:tcPr>
          <w:p w14:paraId="08502C8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48EFC4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 w:hRule="atLeast"/>
          <w:jc w:val="center"/>
        </w:trPr>
        <w:tc>
          <w:tcPr>
            <w:tcW w:w="588" w:type="pct"/>
            <w:tcBorders>
              <w:tl2br w:val="nil"/>
              <w:tr2bl w:val="nil"/>
            </w:tcBorders>
            <w:shd w:val="clear" w:color="auto" w:fill="auto"/>
            <w:vAlign w:val="center"/>
          </w:tcPr>
          <w:p w14:paraId="34F69307">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生物群落</w:t>
            </w:r>
          </w:p>
        </w:tc>
        <w:tc>
          <w:tcPr>
            <w:tcW w:w="2649" w:type="pct"/>
            <w:tcBorders>
              <w:tl2br w:val="nil"/>
              <w:tr2bl w:val="nil"/>
            </w:tcBorders>
            <w:shd w:val="clear" w:color="auto" w:fill="auto"/>
            <w:vAlign w:val="center"/>
          </w:tcPr>
          <w:p w14:paraId="5CE3AA3C">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物种组成、群落结构等</w:t>
            </w:r>
          </w:p>
        </w:tc>
        <w:tc>
          <w:tcPr>
            <w:tcW w:w="1030" w:type="pct"/>
            <w:vMerge w:val="continue"/>
            <w:tcBorders>
              <w:tl2br w:val="nil"/>
              <w:tr2bl w:val="nil"/>
            </w:tcBorders>
            <w:shd w:val="clear" w:color="auto" w:fill="auto"/>
            <w:vAlign w:val="center"/>
          </w:tcPr>
          <w:p w14:paraId="0AFD10A1">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47" w:type="pct"/>
            <w:vMerge w:val="continue"/>
            <w:tcBorders>
              <w:tl2br w:val="nil"/>
              <w:tr2bl w:val="nil"/>
            </w:tcBorders>
            <w:shd w:val="clear" w:color="auto" w:fill="auto"/>
            <w:vAlign w:val="center"/>
          </w:tcPr>
          <w:p w14:paraId="00DF4316">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84" w:type="pct"/>
            <w:tcBorders>
              <w:tl2br w:val="nil"/>
              <w:tr2bl w:val="nil"/>
            </w:tcBorders>
            <w:shd w:val="clear" w:color="auto" w:fill="auto"/>
            <w:vAlign w:val="center"/>
          </w:tcPr>
          <w:p w14:paraId="24067522">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6256A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7" w:hRule="atLeast"/>
          <w:jc w:val="center"/>
        </w:trPr>
        <w:tc>
          <w:tcPr>
            <w:tcW w:w="588" w:type="pct"/>
            <w:tcBorders>
              <w:tl2br w:val="nil"/>
              <w:tr2bl w:val="nil"/>
            </w:tcBorders>
            <w:shd w:val="clear" w:color="auto" w:fill="auto"/>
            <w:vAlign w:val="center"/>
          </w:tcPr>
          <w:p w14:paraId="68F002EE">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生态系统</w:t>
            </w:r>
          </w:p>
        </w:tc>
        <w:tc>
          <w:tcPr>
            <w:tcW w:w="2649" w:type="pct"/>
            <w:tcBorders>
              <w:tl2br w:val="nil"/>
              <w:tr2bl w:val="nil"/>
            </w:tcBorders>
            <w:shd w:val="clear" w:color="auto" w:fill="auto"/>
            <w:vAlign w:val="center"/>
          </w:tcPr>
          <w:p w14:paraId="316988F0">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植被覆盖度、生产力、生物量、生态系统功能等</w:t>
            </w:r>
          </w:p>
        </w:tc>
        <w:tc>
          <w:tcPr>
            <w:tcW w:w="1030" w:type="pct"/>
            <w:vMerge w:val="continue"/>
            <w:tcBorders>
              <w:tl2br w:val="nil"/>
              <w:tr2bl w:val="nil"/>
            </w:tcBorders>
            <w:shd w:val="clear" w:color="auto" w:fill="auto"/>
            <w:vAlign w:val="center"/>
          </w:tcPr>
          <w:p w14:paraId="04B4E856">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47" w:type="pct"/>
            <w:vMerge w:val="continue"/>
            <w:tcBorders>
              <w:tl2br w:val="nil"/>
              <w:tr2bl w:val="nil"/>
            </w:tcBorders>
            <w:shd w:val="clear" w:color="auto" w:fill="auto"/>
            <w:vAlign w:val="center"/>
          </w:tcPr>
          <w:p w14:paraId="3096ABAD">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84" w:type="pct"/>
            <w:tcBorders>
              <w:tl2br w:val="nil"/>
              <w:tr2bl w:val="nil"/>
            </w:tcBorders>
            <w:shd w:val="clear" w:color="auto" w:fill="auto"/>
            <w:vAlign w:val="center"/>
          </w:tcPr>
          <w:p w14:paraId="20879121">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r w14:paraId="430D8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88" w:type="pct"/>
            <w:tcBorders>
              <w:tl2br w:val="nil"/>
              <w:tr2bl w:val="nil"/>
            </w:tcBorders>
            <w:shd w:val="clear" w:color="auto" w:fill="auto"/>
            <w:vAlign w:val="center"/>
          </w:tcPr>
          <w:p w14:paraId="58C1856E">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生物多样性</w:t>
            </w:r>
          </w:p>
        </w:tc>
        <w:tc>
          <w:tcPr>
            <w:tcW w:w="2649" w:type="pct"/>
            <w:tcBorders>
              <w:tl2br w:val="nil"/>
              <w:tr2bl w:val="nil"/>
            </w:tcBorders>
            <w:shd w:val="clear" w:color="auto" w:fill="auto"/>
            <w:vAlign w:val="center"/>
          </w:tcPr>
          <w:p w14:paraId="45F9949E">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物种丰富度、均匀度、优势度等</w:t>
            </w:r>
          </w:p>
        </w:tc>
        <w:tc>
          <w:tcPr>
            <w:tcW w:w="1030" w:type="pct"/>
            <w:vMerge w:val="continue"/>
            <w:tcBorders>
              <w:tl2br w:val="nil"/>
              <w:tr2bl w:val="nil"/>
            </w:tcBorders>
            <w:shd w:val="clear" w:color="auto" w:fill="auto"/>
            <w:vAlign w:val="center"/>
          </w:tcPr>
          <w:p w14:paraId="6E2FD00F">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47" w:type="pct"/>
            <w:vMerge w:val="continue"/>
            <w:tcBorders>
              <w:tl2br w:val="nil"/>
              <w:tr2bl w:val="nil"/>
            </w:tcBorders>
            <w:shd w:val="clear" w:color="auto" w:fill="auto"/>
            <w:vAlign w:val="center"/>
          </w:tcPr>
          <w:p w14:paraId="4D3C6EE4">
            <w:pPr>
              <w:keepNext w:val="0"/>
              <w:keepLines w:val="0"/>
              <w:pageBreakBefore w:val="0"/>
              <w:widowControl w:val="0"/>
              <w:kinsoku/>
              <w:wordWrap/>
              <w:overflowPunct/>
              <w:topLinePunct w:val="0"/>
              <w:autoSpaceDE/>
              <w:autoSpaceDN/>
              <w:bidi w:val="0"/>
              <w:adjustRightInd w:val="0"/>
              <w:snapToGrid w:val="0"/>
              <w:spacing w:after="0"/>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84" w:type="pct"/>
            <w:tcBorders>
              <w:tl2br w:val="nil"/>
              <w:tr2bl w:val="nil"/>
            </w:tcBorders>
            <w:shd w:val="clear" w:color="auto" w:fill="auto"/>
            <w:vAlign w:val="center"/>
          </w:tcPr>
          <w:p w14:paraId="00EEFCD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r>
    </w:tbl>
    <w:p w14:paraId="3014A752">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从上表可知本工程的主要环境影响表现在水环境、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土壤环境、</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生态环境、环境空气、声环境、环境风险等方面</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3D12DA8">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2.4.2</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评价因子筛选</w:t>
      </w:r>
    </w:p>
    <w:p w14:paraId="03A12EFE">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经过对油田产生污染物排放特点及油田周围环境情况进行分析后，确定本工程评价因子详见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表2.4-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EDABB85">
      <w:pPr>
        <w:keepNext w:val="0"/>
        <w:keepLines w:val="0"/>
        <w:pageBreakBefore w:val="0"/>
        <w:widowControl w:val="0"/>
        <w:kinsoku/>
        <w:wordWrap/>
        <w:topLinePunct w:val="0"/>
        <w:bidi w:val="0"/>
        <w:spacing w:after="0"/>
        <w:jc w:val="center"/>
        <w:rPr>
          <w:rFonts w:hint="default" w:ascii="Times New Roman" w:hAnsi="Times New Roman" w:cs="Times New Roman"/>
          <w:color w:val="000000" w:themeColor="text1"/>
          <w:highlight w:val="none"/>
          <w14:textFill>
            <w14:solidFill>
              <w14:schemeClr w14:val="tx1"/>
            </w14:solidFill>
          </w14:textFill>
        </w:rPr>
      </w:pPr>
      <w:r>
        <w:rPr>
          <w:rStyle w:val="43"/>
          <w:rFonts w:hint="eastAsia" w:ascii="Times New Roman" w:hAnsi="Times New Roman" w:eastAsia="宋体" w:cs="Times New Roman"/>
          <w:color w:val="000000" w:themeColor="text1"/>
          <w:highlight w:val="none"/>
          <w:lang w:eastAsia="zh-CN"/>
          <w14:textFill>
            <w14:solidFill>
              <w14:schemeClr w14:val="tx1"/>
            </w14:solidFill>
          </w14:textFill>
        </w:rPr>
        <w:t>表2.4-</w:t>
      </w:r>
      <w:r>
        <w:rPr>
          <w:rStyle w:val="43"/>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项目环境影响评价因子一览表</w:t>
      </w:r>
    </w:p>
    <w:tbl>
      <w:tblPr>
        <w:tblStyle w:val="18"/>
        <w:tblW w:w="501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88"/>
        <w:gridCol w:w="1001"/>
        <w:gridCol w:w="7040"/>
      </w:tblGrid>
      <w:tr w14:paraId="7D5920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shd w:val="clear" w:color="auto" w:fill="auto"/>
            <w:vAlign w:val="center"/>
          </w:tcPr>
          <w:p w14:paraId="2B332A4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bookmarkStart w:id="47" w:name="_Toc16547"/>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环境要素</w:t>
            </w:r>
          </w:p>
        </w:tc>
        <w:tc>
          <w:tcPr>
            <w:tcW w:w="548" w:type="pct"/>
            <w:tcBorders>
              <w:tl2br w:val="nil"/>
              <w:tr2bl w:val="nil"/>
            </w:tcBorders>
            <w:shd w:val="clear" w:color="auto" w:fill="auto"/>
            <w:vAlign w:val="center"/>
          </w:tcPr>
          <w:p w14:paraId="2D98619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评价阶段</w:t>
            </w:r>
          </w:p>
        </w:tc>
        <w:tc>
          <w:tcPr>
            <w:tcW w:w="3854" w:type="pct"/>
            <w:tcBorders>
              <w:tl2br w:val="nil"/>
              <w:tr2bl w:val="nil"/>
            </w:tcBorders>
            <w:shd w:val="clear" w:color="auto" w:fill="auto"/>
            <w:vAlign w:val="center"/>
          </w:tcPr>
          <w:p w14:paraId="6D6D0A0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评价因子</w:t>
            </w:r>
          </w:p>
        </w:tc>
      </w:tr>
      <w:tr w14:paraId="549FC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6" w:type="pct"/>
            <w:vMerge w:val="restart"/>
            <w:tcBorders>
              <w:tl2br w:val="nil"/>
              <w:tr2bl w:val="nil"/>
            </w:tcBorders>
            <w:shd w:val="clear" w:color="auto" w:fill="auto"/>
            <w:vAlign w:val="center"/>
          </w:tcPr>
          <w:p w14:paraId="5689B0E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环境空气</w:t>
            </w:r>
          </w:p>
        </w:tc>
        <w:tc>
          <w:tcPr>
            <w:tcW w:w="548" w:type="pct"/>
            <w:tcBorders>
              <w:tl2br w:val="nil"/>
              <w:tr2bl w:val="nil"/>
            </w:tcBorders>
            <w:shd w:val="clear" w:color="auto" w:fill="auto"/>
            <w:vAlign w:val="center"/>
          </w:tcPr>
          <w:p w14:paraId="00C4056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现状调查</w:t>
            </w:r>
          </w:p>
        </w:tc>
        <w:tc>
          <w:tcPr>
            <w:tcW w:w="3854" w:type="pct"/>
            <w:tcBorders>
              <w:tl2br w:val="nil"/>
              <w:tr2bl w:val="nil"/>
            </w:tcBorders>
            <w:shd w:val="clear" w:color="auto" w:fill="auto"/>
            <w:vAlign w:val="center"/>
          </w:tcPr>
          <w:p w14:paraId="7C35272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、CO、SO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、NO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、非甲烷总烃</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TSP</w:t>
            </w:r>
          </w:p>
        </w:tc>
      </w:tr>
      <w:tr w14:paraId="0AC95A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continue"/>
            <w:tcBorders>
              <w:tl2br w:val="nil"/>
              <w:tr2bl w:val="nil"/>
            </w:tcBorders>
            <w:shd w:val="clear" w:color="auto" w:fill="auto"/>
            <w:vAlign w:val="center"/>
          </w:tcPr>
          <w:p w14:paraId="4C7C6DC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48" w:type="pct"/>
            <w:tcBorders>
              <w:tl2br w:val="nil"/>
              <w:tr2bl w:val="nil"/>
            </w:tcBorders>
            <w:shd w:val="clear" w:color="auto" w:fill="auto"/>
            <w:vAlign w:val="center"/>
          </w:tcPr>
          <w:p w14:paraId="7AC23D0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3854" w:type="pct"/>
            <w:tcBorders>
              <w:tl2br w:val="nil"/>
              <w:tr2bl w:val="nil"/>
            </w:tcBorders>
            <w:shd w:val="clear" w:color="auto" w:fill="auto"/>
            <w:vAlign w:val="center"/>
          </w:tcPr>
          <w:p w14:paraId="6B34F7C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运输车辆及</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施工扬尘、运输车辆排放的尾气、焊接扬尘</w:t>
            </w:r>
          </w:p>
        </w:tc>
      </w:tr>
      <w:tr w14:paraId="21516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6" w:type="pct"/>
            <w:vMerge w:val="restart"/>
            <w:tcBorders>
              <w:tl2br w:val="nil"/>
              <w:tr2bl w:val="nil"/>
            </w:tcBorders>
            <w:shd w:val="clear" w:color="auto" w:fill="auto"/>
            <w:vAlign w:val="center"/>
          </w:tcPr>
          <w:p w14:paraId="2375FC33">
            <w:pPr>
              <w:keepNext w:val="0"/>
              <w:keepLines w:val="0"/>
              <w:pageBreakBefore w:val="0"/>
              <w:widowControl w:val="0"/>
              <w:kinsoku/>
              <w:wordWrap/>
              <w:topLinePunct w:val="0"/>
              <w:bidi w:val="0"/>
              <w:adjustRightInd w:val="0"/>
              <w:snapToGrid w:val="0"/>
              <w:spacing w:after="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地表水</w:t>
            </w:r>
          </w:p>
        </w:tc>
        <w:tc>
          <w:tcPr>
            <w:tcW w:w="1001" w:type="dxa"/>
            <w:tcBorders>
              <w:tl2br w:val="nil"/>
              <w:tr2bl w:val="nil"/>
            </w:tcBorders>
            <w:shd w:val="clear" w:color="auto" w:fill="auto"/>
            <w:vAlign w:val="center"/>
          </w:tcPr>
          <w:p w14:paraId="0D22EE3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现状调查</w:t>
            </w:r>
          </w:p>
        </w:tc>
        <w:tc>
          <w:tcPr>
            <w:tcW w:w="7040" w:type="dxa"/>
            <w:tcBorders>
              <w:tl2br w:val="nil"/>
              <w:tr2bl w:val="nil"/>
            </w:tcBorders>
            <w:shd w:val="clear" w:color="auto" w:fill="auto"/>
            <w:vAlign w:val="center"/>
          </w:tcPr>
          <w:p w14:paraId="59F485B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pH值、悬浮物、COD、BOD</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、氨氮、总磷、石油类、挥发酚、硫化物、阴离子表面活性剂、汞、总铬、六价铬、镉、砷、镍、铅</w:t>
            </w:r>
          </w:p>
        </w:tc>
      </w:tr>
      <w:tr w14:paraId="285221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6" w:type="pct"/>
            <w:vMerge w:val="continue"/>
            <w:tcBorders>
              <w:tl2br w:val="nil"/>
              <w:tr2bl w:val="nil"/>
            </w:tcBorders>
            <w:shd w:val="clear" w:color="auto" w:fill="auto"/>
            <w:vAlign w:val="center"/>
          </w:tcPr>
          <w:p w14:paraId="192EEDC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01" w:type="dxa"/>
            <w:tcBorders>
              <w:tl2br w:val="nil"/>
              <w:tr2bl w:val="nil"/>
            </w:tcBorders>
            <w:shd w:val="clear" w:color="auto" w:fill="auto"/>
            <w:vAlign w:val="center"/>
          </w:tcPr>
          <w:p w14:paraId="33E37CE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7040" w:type="dxa"/>
            <w:tcBorders>
              <w:tl2br w:val="nil"/>
              <w:tr2bl w:val="nil"/>
            </w:tcBorders>
            <w:shd w:val="clear" w:color="auto" w:fill="auto"/>
            <w:vAlign w:val="center"/>
          </w:tcPr>
          <w:p w14:paraId="539D152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试压废水、生活污水、施工废料、穿越工程废弃泥浆</w:t>
            </w:r>
          </w:p>
        </w:tc>
      </w:tr>
      <w:tr w14:paraId="67033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96" w:type="pct"/>
            <w:vMerge w:val="restart"/>
            <w:tcBorders>
              <w:tl2br w:val="nil"/>
              <w:tr2bl w:val="nil"/>
            </w:tcBorders>
            <w:shd w:val="clear" w:color="auto" w:fill="auto"/>
            <w:vAlign w:val="center"/>
          </w:tcPr>
          <w:p w14:paraId="0B685FA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w:t>
            </w:r>
          </w:p>
        </w:tc>
        <w:tc>
          <w:tcPr>
            <w:tcW w:w="548" w:type="pct"/>
            <w:tcBorders>
              <w:tl2br w:val="nil"/>
              <w:tr2bl w:val="nil"/>
            </w:tcBorders>
            <w:shd w:val="clear" w:color="auto" w:fill="auto"/>
            <w:vAlign w:val="center"/>
          </w:tcPr>
          <w:p w14:paraId="2E3F97F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现状调查</w:t>
            </w:r>
          </w:p>
        </w:tc>
        <w:tc>
          <w:tcPr>
            <w:tcW w:w="3854" w:type="pct"/>
            <w:tcBorders>
              <w:tl2br w:val="nil"/>
              <w:tr2bl w:val="nil"/>
            </w:tcBorders>
            <w:shd w:val="clear" w:color="auto" w:fill="auto"/>
            <w:vAlign w:val="center"/>
          </w:tcPr>
          <w:p w14:paraId="350BAA3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K</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、Na</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、Ca</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、CO</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、HCO</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、Cl</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、pH、氨氮、硝酸盐、亚硝酸盐、挥发性酚类、氰化物、砷、汞、铬（六价）、总硬度、铅、氟化物、镉、铁、锰、溶解性总固体、耗氧量、总大肠菌群、菌落总数、石油类、硫化物</w:t>
            </w:r>
          </w:p>
        </w:tc>
      </w:tr>
      <w:tr w14:paraId="09B34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continue"/>
            <w:tcBorders>
              <w:tl2br w:val="nil"/>
              <w:tr2bl w:val="nil"/>
            </w:tcBorders>
            <w:shd w:val="clear" w:color="auto" w:fill="auto"/>
            <w:vAlign w:val="center"/>
          </w:tcPr>
          <w:p w14:paraId="2F5BF1E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48" w:type="pct"/>
            <w:tcBorders>
              <w:tl2br w:val="nil"/>
              <w:tr2bl w:val="nil"/>
            </w:tcBorders>
            <w:shd w:val="clear" w:color="auto" w:fill="auto"/>
            <w:vAlign w:val="center"/>
          </w:tcPr>
          <w:p w14:paraId="12FE036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影响预测</w:t>
            </w:r>
          </w:p>
        </w:tc>
        <w:tc>
          <w:tcPr>
            <w:tcW w:w="3854" w:type="pct"/>
            <w:tcBorders>
              <w:tl2br w:val="nil"/>
              <w:tr2bl w:val="nil"/>
            </w:tcBorders>
            <w:shd w:val="clear" w:color="auto" w:fill="auto"/>
            <w:vAlign w:val="center"/>
          </w:tcPr>
          <w:p w14:paraId="0EC9F56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石油类</w:t>
            </w:r>
          </w:p>
        </w:tc>
      </w:tr>
      <w:tr w14:paraId="3534E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restart"/>
            <w:tcBorders>
              <w:tl2br w:val="nil"/>
              <w:tr2bl w:val="nil"/>
            </w:tcBorders>
            <w:shd w:val="clear" w:color="auto" w:fill="auto"/>
            <w:vAlign w:val="center"/>
          </w:tcPr>
          <w:p w14:paraId="4E9D25D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声环境</w:t>
            </w:r>
          </w:p>
        </w:tc>
        <w:tc>
          <w:tcPr>
            <w:tcW w:w="548" w:type="pct"/>
            <w:tcBorders>
              <w:tl2br w:val="nil"/>
              <w:tr2bl w:val="nil"/>
            </w:tcBorders>
            <w:shd w:val="clear" w:color="auto" w:fill="auto"/>
            <w:vAlign w:val="center"/>
          </w:tcPr>
          <w:p w14:paraId="0388F04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现状调查</w:t>
            </w:r>
          </w:p>
        </w:tc>
        <w:tc>
          <w:tcPr>
            <w:tcW w:w="3854" w:type="pct"/>
            <w:tcBorders>
              <w:tl2br w:val="nil"/>
              <w:tr2bl w:val="nil"/>
            </w:tcBorders>
            <w:shd w:val="clear" w:color="auto" w:fill="auto"/>
            <w:vAlign w:val="center"/>
          </w:tcPr>
          <w:p w14:paraId="2F63934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等效连续A声级</w:t>
            </w:r>
          </w:p>
        </w:tc>
      </w:tr>
      <w:tr w14:paraId="432C48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continue"/>
            <w:tcBorders>
              <w:tl2br w:val="nil"/>
              <w:tr2bl w:val="nil"/>
            </w:tcBorders>
            <w:shd w:val="clear" w:color="auto" w:fill="auto"/>
            <w:vAlign w:val="center"/>
          </w:tcPr>
          <w:p w14:paraId="7408A42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48" w:type="pct"/>
            <w:tcBorders>
              <w:tl2br w:val="nil"/>
              <w:tr2bl w:val="nil"/>
            </w:tcBorders>
            <w:shd w:val="clear" w:color="auto" w:fill="auto"/>
            <w:vAlign w:val="center"/>
          </w:tcPr>
          <w:p w14:paraId="03EC18E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影响预测</w:t>
            </w:r>
          </w:p>
        </w:tc>
        <w:tc>
          <w:tcPr>
            <w:tcW w:w="3854" w:type="pct"/>
            <w:tcBorders>
              <w:tl2br w:val="nil"/>
              <w:tr2bl w:val="nil"/>
            </w:tcBorders>
            <w:shd w:val="clear" w:color="auto" w:fill="auto"/>
            <w:vAlign w:val="center"/>
          </w:tcPr>
          <w:p w14:paraId="7124C74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等效连续A声级</w:t>
            </w:r>
          </w:p>
        </w:tc>
      </w:tr>
      <w:tr w14:paraId="1909A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shd w:val="clear" w:color="auto" w:fill="auto"/>
            <w:vAlign w:val="center"/>
          </w:tcPr>
          <w:p w14:paraId="7EF387D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固体废物</w:t>
            </w:r>
          </w:p>
        </w:tc>
        <w:tc>
          <w:tcPr>
            <w:tcW w:w="548" w:type="pct"/>
            <w:tcBorders>
              <w:tl2br w:val="nil"/>
              <w:tr2bl w:val="nil"/>
            </w:tcBorders>
            <w:shd w:val="clear" w:color="auto" w:fill="auto"/>
            <w:vAlign w:val="center"/>
          </w:tcPr>
          <w:p w14:paraId="7C1D481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影响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3854" w:type="pct"/>
            <w:tcBorders>
              <w:tl2br w:val="nil"/>
              <w:tr2bl w:val="nil"/>
            </w:tcBorders>
            <w:shd w:val="clear" w:color="auto" w:fill="auto"/>
            <w:vAlign w:val="center"/>
          </w:tcPr>
          <w:p w14:paraId="0392301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施工期：管道施工废料、</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穿越工程废弃泥浆、废旧设备、</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生活垃圾；</w:t>
            </w:r>
          </w:p>
          <w:p w14:paraId="0C236B4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退役期：生活垃圾</w:t>
            </w:r>
          </w:p>
        </w:tc>
      </w:tr>
      <w:tr w14:paraId="30F21C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tcBorders>
              <w:tl2br w:val="nil"/>
              <w:tr2bl w:val="nil"/>
            </w:tcBorders>
            <w:shd w:val="clear" w:color="auto" w:fill="auto"/>
            <w:vAlign w:val="center"/>
          </w:tcPr>
          <w:p w14:paraId="695520D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环境风险</w:t>
            </w:r>
          </w:p>
        </w:tc>
        <w:tc>
          <w:tcPr>
            <w:tcW w:w="548" w:type="pct"/>
            <w:tcBorders>
              <w:tl2br w:val="nil"/>
              <w:tr2bl w:val="nil"/>
            </w:tcBorders>
            <w:shd w:val="clear" w:color="auto" w:fill="auto"/>
            <w:vAlign w:val="center"/>
          </w:tcPr>
          <w:p w14:paraId="13D76E1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3854" w:type="pct"/>
            <w:tcBorders>
              <w:tl2br w:val="nil"/>
              <w:tr2bl w:val="nil"/>
            </w:tcBorders>
            <w:shd w:val="clear" w:color="auto" w:fill="auto"/>
            <w:vAlign w:val="center"/>
          </w:tcPr>
          <w:p w14:paraId="5658349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油类物质或天然气泄漏；火灾、爆炸伴生/次生污染物CO</w:t>
            </w:r>
          </w:p>
        </w:tc>
      </w:tr>
      <w:tr w14:paraId="585CDD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restart"/>
            <w:tcBorders>
              <w:tl2br w:val="nil"/>
              <w:tr2bl w:val="nil"/>
            </w:tcBorders>
            <w:shd w:val="clear" w:color="auto" w:fill="auto"/>
            <w:vAlign w:val="center"/>
          </w:tcPr>
          <w:p w14:paraId="00540B7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土壤</w:t>
            </w:r>
          </w:p>
        </w:tc>
        <w:tc>
          <w:tcPr>
            <w:tcW w:w="548" w:type="pct"/>
            <w:tcBorders>
              <w:tl2br w:val="nil"/>
              <w:tr2bl w:val="nil"/>
            </w:tcBorders>
            <w:shd w:val="clear" w:color="auto" w:fill="auto"/>
            <w:vAlign w:val="center"/>
          </w:tcPr>
          <w:p w14:paraId="66DC5C8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现状调查</w:t>
            </w:r>
          </w:p>
        </w:tc>
        <w:tc>
          <w:tcPr>
            <w:tcW w:w="3854" w:type="pct"/>
            <w:tcBorders>
              <w:tl2br w:val="nil"/>
              <w:tr2bl w:val="nil"/>
            </w:tcBorders>
            <w:shd w:val="clear" w:color="auto" w:fill="auto"/>
            <w:vAlign w:val="center"/>
          </w:tcPr>
          <w:p w14:paraId="3C83508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建设用地：</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土壤盐分含量，</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砷、镉、铬（六价）、铜、铅、汞、镍、四氯化碳、氯仿、氯甲烷、1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1-二氯乙烷、1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2-二氯乙烷、1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1-二氯乙烯、顺-1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2-二氯乙烯、反-1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2-二氯乙烯、二氯甲烷、1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2-二氯丙烷、1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2-四氯乙烷、1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2-四氯乙烷、四氯乙烯、1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1-三氯乙烷、1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b w:val="0"/>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1"/>
                <w:szCs w:val="21"/>
                <w:highlight w:val="none"/>
                <w14:textFill>
                  <w14:solidFill>
                    <w14:schemeClr w14:val="tx1"/>
                  </w14:solidFill>
                </w14:textFill>
              </w:rPr>
              <w:t>2-三</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氯乙烷、三氯乙烯、1</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3-三氯丙烷、氯乙烯、苯、氯苯、1</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2-二氯苯、1</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4-二氯苯、乙苯、苯乙烯、甲苯、间/对二甲苯、邻二甲苯、硝基苯、苯胺、2-氯酚、苯并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蒽、苯并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芘、苯并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b</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荧蒽、苯并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k</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荧蒽、䓛、二苯并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a</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h</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蒽、茚并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3-cd</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芘、萘、</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石油类、</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p w14:paraId="0BC8C31D">
            <w:pPr>
              <w:keepNext w:val="0"/>
              <w:keepLines w:val="0"/>
              <w:pageBreakBefore w:val="0"/>
              <w:widowControl w:val="0"/>
              <w:kinsoku/>
              <w:wordWrap/>
              <w:topLinePunct w:val="0"/>
              <w:bidi w:val="0"/>
              <w:adjustRightInd w:val="0"/>
              <w:snapToGrid w:val="0"/>
              <w:spacing w:after="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农用地：</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土壤盐分含量，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镉、汞、砷、铅、铬、铜、镍、锌</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石油类</w:t>
            </w:r>
          </w:p>
        </w:tc>
      </w:tr>
      <w:tr w14:paraId="097C66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continue"/>
            <w:tcBorders>
              <w:tl2br w:val="nil"/>
              <w:tr2bl w:val="nil"/>
            </w:tcBorders>
            <w:shd w:val="clear" w:color="auto" w:fill="auto"/>
            <w:vAlign w:val="center"/>
          </w:tcPr>
          <w:p w14:paraId="6E8E8AE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48" w:type="pct"/>
            <w:tcBorders>
              <w:tl2br w:val="nil"/>
              <w:tr2bl w:val="nil"/>
            </w:tcBorders>
            <w:shd w:val="clear" w:color="auto" w:fill="auto"/>
            <w:vAlign w:val="center"/>
          </w:tcPr>
          <w:p w14:paraId="05FB009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3854" w:type="pct"/>
            <w:tcBorders>
              <w:tl2br w:val="nil"/>
              <w:tr2bl w:val="nil"/>
            </w:tcBorders>
            <w:shd w:val="clear" w:color="auto" w:fill="auto"/>
            <w:vAlign w:val="center"/>
          </w:tcPr>
          <w:p w14:paraId="66C30C2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pH、</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铬、砷、汞、铅、石油烃（C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）、铬（六价）、铜、镉、镍</w:t>
            </w:r>
          </w:p>
        </w:tc>
      </w:tr>
      <w:tr w14:paraId="287AB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restart"/>
            <w:tcBorders>
              <w:tl2br w:val="nil"/>
              <w:tr2bl w:val="nil"/>
            </w:tcBorders>
            <w:shd w:val="clear" w:color="auto" w:fill="auto"/>
            <w:vAlign w:val="center"/>
          </w:tcPr>
          <w:p w14:paraId="13EBC5F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w:t>
            </w:r>
          </w:p>
        </w:tc>
        <w:tc>
          <w:tcPr>
            <w:tcW w:w="548" w:type="pct"/>
            <w:tcBorders>
              <w:tl2br w:val="nil"/>
              <w:tr2bl w:val="nil"/>
            </w:tcBorders>
            <w:shd w:val="clear" w:color="auto" w:fill="auto"/>
            <w:vAlign w:val="center"/>
          </w:tcPr>
          <w:p w14:paraId="168FFEA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现状调查</w:t>
            </w:r>
          </w:p>
        </w:tc>
        <w:tc>
          <w:tcPr>
            <w:tcW w:w="3854" w:type="pct"/>
            <w:tcBorders>
              <w:tl2br w:val="nil"/>
              <w:tr2bl w:val="nil"/>
            </w:tcBorders>
            <w:shd w:val="clear" w:color="auto" w:fill="auto"/>
            <w:vAlign w:val="center"/>
          </w:tcPr>
          <w:p w14:paraId="060C0CA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地表扰动面积及类型、物种分布范围、生物群落结构和组成等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水土流失、防沙治沙等</w:t>
            </w:r>
          </w:p>
        </w:tc>
      </w:tr>
      <w:tr w14:paraId="0883C6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96" w:type="pct"/>
            <w:vMerge w:val="continue"/>
            <w:tcBorders>
              <w:tl2br w:val="nil"/>
              <w:tr2bl w:val="nil"/>
            </w:tcBorders>
            <w:shd w:val="clear" w:color="auto" w:fill="auto"/>
            <w:vAlign w:val="center"/>
          </w:tcPr>
          <w:p w14:paraId="21A9C60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48" w:type="pct"/>
            <w:tcBorders>
              <w:tl2br w:val="nil"/>
              <w:tr2bl w:val="nil"/>
            </w:tcBorders>
            <w:shd w:val="clear" w:color="auto" w:fill="auto"/>
            <w:vAlign w:val="center"/>
          </w:tcPr>
          <w:p w14:paraId="5FA0FA5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tc>
        <w:tc>
          <w:tcPr>
            <w:tcW w:w="3854" w:type="pct"/>
            <w:tcBorders>
              <w:tl2br w:val="nil"/>
              <w:tr2bl w:val="nil"/>
            </w:tcBorders>
            <w:shd w:val="clear" w:color="auto" w:fill="auto"/>
            <w:vAlign w:val="center"/>
          </w:tcPr>
          <w:p w14:paraId="367AD2E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地表扰动面积及类型、生物量损失、物种多样性等</w:t>
            </w:r>
          </w:p>
        </w:tc>
      </w:tr>
    </w:tbl>
    <w:p w14:paraId="134ECE3E">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48" w:name="_Toc20283"/>
      <w:r>
        <w:rPr>
          <w:rFonts w:hint="default" w:ascii="Times New Roman" w:hAnsi="Times New Roman" w:eastAsia="宋体" w:cs="Times New Roman"/>
          <w:b/>
          <w:color w:val="000000" w:themeColor="text1"/>
          <w:sz w:val="28"/>
          <w:szCs w:val="28"/>
          <w:highlight w:val="none"/>
          <w14:textFill>
            <w14:solidFill>
              <w14:schemeClr w14:val="tx1"/>
            </w14:solidFill>
          </w14:textFill>
        </w:rPr>
        <w:t>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环境功能区划及环境评价标准</w:t>
      </w:r>
      <w:bookmarkEnd w:id="48"/>
    </w:p>
    <w:p w14:paraId="7D8FDEF2">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2.5.</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1环境功能区划</w:t>
      </w:r>
    </w:p>
    <w:p w14:paraId="4659F1B3">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1.1</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环境空气</w:t>
      </w:r>
    </w:p>
    <w:p w14:paraId="7FF4DA0C">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val="zh-CN"/>
          <w14:textFill>
            <w14:solidFill>
              <w14:schemeClr w14:val="tx1"/>
            </w14:solidFill>
          </w14:textFill>
        </w:rPr>
      </w:pPr>
      <w:r>
        <w:rPr>
          <w:rFonts w:hint="default" w:ascii="Times New Roman" w:hAnsi="Times New Roman" w:cs="Times New Roman"/>
          <w:snapToGrid w:val="0"/>
          <w:color w:val="000000" w:themeColor="text1"/>
          <w:highlight w:val="none"/>
          <w:lang w:val="en-US" w:eastAsia="zh-CN"/>
          <w14:textFill>
            <w14:solidFill>
              <w14:schemeClr w14:val="tx1"/>
            </w14:solidFill>
          </w14:textFill>
        </w:rPr>
        <w:t>本项目位于黑龙江省绥化市安达市昌德镇</w:t>
      </w:r>
      <w:r>
        <w:rPr>
          <w:rFonts w:hint="eastAsia" w:cs="Times New Roman"/>
          <w:snapToGrid w:val="0"/>
          <w:color w:val="000000" w:themeColor="text1"/>
          <w:highlight w:val="none"/>
          <w:lang w:val="en-US" w:eastAsia="zh-CN"/>
          <w14:textFill>
            <w14:solidFill>
              <w14:schemeClr w14:val="tx1"/>
            </w14:solidFill>
          </w14:textFill>
        </w:rPr>
        <w:t>、升平镇</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w:t>
      </w:r>
      <w:r>
        <w:rPr>
          <w:rFonts w:hint="default" w:ascii="Times New Roman" w:hAnsi="Times New Roman" w:cs="Times New Roman"/>
          <w:snapToGrid w:val="0"/>
          <w:color w:val="000000" w:themeColor="text1"/>
          <w:highlight w:val="none"/>
          <w:lang w:eastAsia="zh-CN"/>
          <w14:textFill>
            <w14:solidFill>
              <w14:schemeClr w14:val="tx1"/>
            </w14:solidFill>
          </w14:textFill>
        </w:rPr>
        <w:t>大庆市</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大同区祝三乡</w:t>
      </w:r>
      <w:r>
        <w:rPr>
          <w:rFonts w:hint="default" w:ascii="Times New Roman" w:hAnsi="Times New Roman" w:cs="Times New Roman"/>
          <w:snapToGrid w:val="0"/>
          <w:color w:val="000000" w:themeColor="text1"/>
          <w:highlight w:val="none"/>
          <w:lang w:eastAsia="zh-CN"/>
          <w14:textFill>
            <w14:solidFill>
              <w14:schemeClr w14:val="tx1"/>
            </w14:solidFill>
          </w14:textFill>
        </w:rPr>
        <w:t>境内</w:t>
      </w:r>
      <w:r>
        <w:rPr>
          <w:rFonts w:hint="default" w:ascii="Times New Roman" w:hAnsi="Times New Roman" w:cs="Times New Roman"/>
          <w:snapToGrid w:val="0"/>
          <w:color w:val="000000" w:themeColor="text1"/>
          <w:highlight w:val="none"/>
          <w:lang w:val="zh-CN"/>
          <w14:textFill>
            <w14:solidFill>
              <w14:schemeClr w14:val="tx1"/>
            </w14:solidFill>
          </w14:textFill>
        </w:rPr>
        <w:t>，根据《环境空气质量标准》（GB3095-2012）的规定，项目所在区域环境空气功能区为二类区。</w:t>
      </w:r>
    </w:p>
    <w:p w14:paraId="1ECD553D">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水环境</w:t>
      </w:r>
    </w:p>
    <w:p w14:paraId="4FA382F2">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评价区域内地表水体主要为</w:t>
      </w:r>
      <w:r>
        <w:rPr>
          <w:rFonts w:hint="eastAsia" w:cs="Times New Roman"/>
          <w:snapToGrid w:val="0"/>
          <w:color w:val="000000" w:themeColor="text1"/>
          <w:highlight w:val="none"/>
          <w:lang w:val="en-US" w:eastAsia="zh-CN"/>
          <w14:textFill>
            <w14:solidFill>
              <w14:schemeClr w14:val="tx1"/>
            </w14:solidFill>
          </w14:textFill>
        </w:rPr>
        <w:t>宋芳屯排水沟</w:t>
      </w:r>
      <w:r>
        <w:rPr>
          <w:rFonts w:hint="default" w:ascii="Times New Roman" w:hAnsi="Times New Roman" w:cs="Times New Roman"/>
          <w:snapToGrid w:val="0"/>
          <w:color w:val="000000" w:themeColor="text1"/>
          <w:highlight w:val="none"/>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《大庆市人民政府关于印发大庆市声环境功能区划分、大庆市环境空气质量功能区划分、大庆市地表水环境功能区划分的通知》（庆政发[2019]11号）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eastAsia="宋体" w:cs="Times New Roman"/>
          <w:color w:val="000000" w:themeColor="text1"/>
          <w:sz w:val="24"/>
          <w:szCs w:val="24"/>
          <w:highlight w:val="none"/>
          <w:lang w:eastAsia="zh-CN"/>
          <w14:textFill>
            <w14:solidFill>
              <w14:schemeClr w14:val="tx1"/>
            </w14:solidFill>
          </w14:textFill>
        </w:rPr>
        <w:t>无</w:t>
      </w:r>
      <w:r>
        <w:rPr>
          <w:rFonts w:hint="eastAsia" w:cs="Times New Roman"/>
          <w:snapToGrid w:val="0"/>
          <w:color w:val="000000" w:themeColor="text1"/>
          <w:highlight w:val="none"/>
          <w:lang w:val="en-US" w:eastAsia="zh-CN"/>
          <w14:textFill>
            <w14:solidFill>
              <w14:schemeClr w14:val="tx1"/>
            </w14:solidFill>
          </w14:textFill>
        </w:rPr>
        <w:t>宋芳屯排水沟</w:t>
      </w:r>
      <w:r>
        <w:rPr>
          <w:rFonts w:hint="eastAsia" w:eastAsia="宋体"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功能区划分</w:t>
      </w:r>
      <w:r>
        <w:rPr>
          <w:rFonts w:hint="eastAsia" w:eastAsia="宋体" w:cs="Times New Roman"/>
          <w:color w:val="000000" w:themeColor="text1"/>
          <w:sz w:val="24"/>
          <w:szCs w:val="24"/>
          <w:highlight w:val="none"/>
          <w:lang w:eastAsia="zh-CN"/>
          <w14:textFill>
            <w14:solidFill>
              <w14:schemeClr w14:val="tx1"/>
            </w14:solidFill>
          </w14:textFill>
        </w:rPr>
        <w:t>。</w:t>
      </w:r>
    </w:p>
    <w:p w14:paraId="54B03280">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评价区域地下水使用功能为工农业用水及生活饮用水，评价区域地下水环境质量执行《地下水质量标准》（GB/T14848-2017）中的III类标准。</w:t>
      </w:r>
    </w:p>
    <w:p w14:paraId="6F9609EB">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声环境</w:t>
      </w:r>
    </w:p>
    <w:p w14:paraId="7E64B8F1">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本工程所在地区未划分声环境功能区，按照《声环境质量标准》（GB3096</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2008）乡村声环境功能确定的要求，村庄执行1类标准，</w:t>
      </w:r>
      <w:r>
        <w:rPr>
          <w:rFonts w:hint="eastAsia" w:cs="Times New Roman"/>
          <w:snapToGrid w:val="0"/>
          <w:color w:val="000000" w:themeColor="text1"/>
          <w:highlight w:val="none"/>
          <w:lang w:eastAsia="zh-CN"/>
          <w14:textFill>
            <w14:solidFill>
              <w14:schemeClr w14:val="tx1"/>
            </w14:solidFill>
          </w14:textFill>
        </w:rPr>
        <w:t>其他区域</w:t>
      </w: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执行2类标准要求。</w:t>
      </w:r>
    </w:p>
    <w:p w14:paraId="712A927A">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土壤环境</w:t>
      </w:r>
    </w:p>
    <w:p w14:paraId="6D291E2B">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t>本工程所在地区未划分土壤环境功能区，本工程所在区域及周边区域主要为</w:t>
      </w:r>
      <w:r>
        <w:rPr>
          <w:rFonts w:hint="eastAsia" w:cs="Times New Roman"/>
          <w:snapToGrid w:val="0"/>
          <w:color w:val="000000" w:themeColor="text1"/>
          <w:highlight w:val="none"/>
          <w:lang w:val="en-US" w:eastAsia="zh-CN"/>
          <w14:textFill>
            <w14:solidFill>
              <w14:schemeClr w14:val="tx1"/>
            </w14:solidFill>
          </w14:textFill>
        </w:rPr>
        <w:t>耕地（基本农田）</w:t>
      </w: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草地（非基本草原）</w:t>
      </w:r>
      <w:r>
        <w:rPr>
          <w:rFonts w:hint="eastAsia" w:cs="Times New Roman"/>
          <w:snapToGrid w:val="0"/>
          <w:color w:val="000000" w:themeColor="text1"/>
          <w:highlight w:val="none"/>
          <w:lang w:val="en-US" w:eastAsia="zh-CN"/>
          <w14:textFill>
            <w14:solidFill>
              <w14:schemeClr w14:val="tx1"/>
            </w14:solidFill>
          </w14:textFill>
        </w:rPr>
        <w:t>、林地</w:t>
      </w:r>
      <w:r>
        <w:rPr>
          <w:rFonts w:hint="default" w:ascii="Times New Roman" w:hAnsi="Times New Roman" w:cs="Times New Roman"/>
          <w:snapToGrid w:val="0"/>
          <w:color w:val="000000" w:themeColor="text1"/>
          <w:highlight w:val="none"/>
          <w14:textFill>
            <w14:solidFill>
              <w14:schemeClr w14:val="tx1"/>
            </w14:solidFill>
          </w14:textFill>
        </w:rPr>
        <w:t>，</w:t>
      </w:r>
      <w:r>
        <w:rPr>
          <w:rFonts w:hint="eastAsia" w:cs="Times New Roman"/>
          <w:snapToGrid w:val="0"/>
          <w:color w:val="000000" w:themeColor="text1"/>
          <w:highlight w:val="none"/>
          <w:lang w:val="en-US" w:eastAsia="zh-CN"/>
          <w14:textFill>
            <w14:solidFill>
              <w14:schemeClr w14:val="tx1"/>
            </w14:solidFill>
          </w14:textFill>
        </w:rPr>
        <w:t>建设用地</w:t>
      </w:r>
      <w:r>
        <w:rPr>
          <w:rFonts w:hint="default" w:ascii="Times New Roman" w:hAnsi="Times New Roman" w:cs="Times New Roman"/>
          <w:snapToGrid w:val="0"/>
          <w:color w:val="000000" w:themeColor="text1"/>
          <w:highlight w:val="none"/>
          <w14:textFill>
            <w14:solidFill>
              <w14:schemeClr w14:val="tx1"/>
            </w14:solidFill>
          </w14:textFill>
        </w:rPr>
        <w:t>土壤环境执行《土壤环境质量建设用地土壤污染风险管控标准（试行）》（GB36600-2018）第二类用地筛选值，</w:t>
      </w:r>
      <w:r>
        <w:rPr>
          <w:rFonts w:hint="eastAsia" w:cs="Times New Roman"/>
          <w:snapToGrid w:val="0"/>
          <w:color w:val="000000" w:themeColor="text1"/>
          <w:highlight w:val="none"/>
          <w:lang w:val="en-US" w:eastAsia="zh-CN"/>
          <w14:textFill>
            <w14:solidFill>
              <w14:schemeClr w14:val="tx1"/>
            </w14:solidFill>
          </w14:textFill>
        </w:rPr>
        <w:t>农用地</w:t>
      </w:r>
      <w:r>
        <w:rPr>
          <w:rFonts w:hint="default" w:ascii="Times New Roman" w:hAnsi="Times New Roman" w:cs="Times New Roman"/>
          <w:snapToGrid w:val="0"/>
          <w:color w:val="000000" w:themeColor="text1"/>
          <w:highlight w:val="none"/>
          <w14:textFill>
            <w14:solidFill>
              <w14:schemeClr w14:val="tx1"/>
            </w14:solidFill>
          </w14:textFill>
        </w:rPr>
        <w:t>土壤环境执行《土壤环境质量农用地土壤污染风险管控标准（试行）》表1农用地风险筛选值</w:t>
      </w:r>
      <w:r>
        <w:rPr>
          <w:rFonts w:hint="default" w:ascii="Times New Roman" w:hAnsi="Times New Roman" w:cs="Times New Roman"/>
          <w:snapToGrid w:val="0"/>
          <w:color w:val="000000" w:themeColor="text1"/>
          <w:highlight w:val="none"/>
          <w:lang w:eastAsia="zh-CN"/>
          <w14:textFill>
            <w14:solidFill>
              <w14:schemeClr w14:val="tx1"/>
            </w14:solidFill>
          </w14:textFill>
        </w:rPr>
        <w:t>。</w:t>
      </w:r>
    </w:p>
    <w:p w14:paraId="2E36BBEC">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14:textFill>
            <w14:solidFill>
              <w14:schemeClr w14:val="tx1"/>
            </w14:solidFill>
          </w14:textFill>
        </w:rPr>
        <w:t>1.</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生态环境</w:t>
      </w:r>
    </w:p>
    <w:p w14:paraId="4376CA97">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pP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根据《黑龙江省生态功能区划》，本项目评价区</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位于“I-6-1-2大庆地区矿业与土壤保持生态功能区”及</w:t>
      </w: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I-</w:t>
      </w: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6</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1</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-3安达</w:t>
      </w:r>
      <w:r>
        <w:rPr>
          <w:rFonts w:hint="eastAsia" w:cs="Times New Roman"/>
          <w:snapToGrid w:val="0"/>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肇东</w:t>
      </w:r>
      <w:r>
        <w:rPr>
          <w:rFonts w:hint="eastAsia" w:cs="Times New Roman"/>
          <w:snapToGrid w:val="0"/>
          <w:color w:val="000000" w:themeColor="text1"/>
          <w:highlight w:val="none"/>
          <w:lang w:val="en-US" w:eastAsia="zh-CN"/>
          <w14:textFill>
            <w14:solidFill>
              <w14:schemeClr w14:val="tx1"/>
            </w14:solidFill>
          </w14:textFill>
        </w:rPr>
        <w:t>－</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肇源农、牧业与盐渍化控制生态功能区</w:t>
      </w:r>
      <w:r>
        <w:rPr>
          <w:rFonts w:hint="default" w:ascii="Times New Roman" w:hAnsi="Times New Roman" w:cs="Times New Roman" w:eastAsiaTheme="minorEastAsia"/>
          <w:snapToGrid w:val="0"/>
          <w:color w:val="000000" w:themeColor="text1"/>
          <w:highlight w:val="none"/>
          <w:lang w:eastAsia="zh-CN"/>
          <w14:textFill>
            <w14:solidFill>
              <w14:schemeClr w14:val="tx1"/>
            </w14:solidFill>
          </w14:textFill>
        </w:rPr>
        <w:t>”</w:t>
      </w:r>
      <w:r>
        <w:rPr>
          <w:rFonts w:hint="eastAsia" w:cs="Times New Roman"/>
          <w:snapToGrid w:val="0"/>
          <w:color w:val="000000" w:themeColor="text1"/>
          <w:highlight w:val="none"/>
          <w:lang w:eastAsia="zh-CN"/>
          <w14:textFill>
            <w14:solidFill>
              <w14:schemeClr w14:val="tx1"/>
            </w14:solidFill>
          </w14:textFill>
        </w:rPr>
        <w:t>。</w:t>
      </w:r>
    </w:p>
    <w:p w14:paraId="2CABC28B">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2.5.</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2环境评价标准</w:t>
      </w:r>
    </w:p>
    <w:p w14:paraId="5E2CA329">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2.1</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环境质量标准</w:t>
      </w:r>
    </w:p>
    <w:p w14:paraId="14D294B5">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1</w:t>
      </w:r>
      <w:r>
        <w:rPr>
          <w:rFonts w:hint="default" w:ascii="Times New Roman" w:hAnsi="Times New Roman" w:cs="Times New Roman"/>
          <w:snapToGrid w:val="0"/>
          <w:color w:val="000000" w:themeColor="text1"/>
          <w:highlight w:val="none"/>
          <w:lang w:eastAsia="zh-CN"/>
          <w14:textFill>
            <w14:solidFill>
              <w14:schemeClr w14:val="tx1"/>
            </w14:solidFill>
          </w14:textFill>
        </w:rPr>
        <w:t>）环境空气</w:t>
      </w:r>
    </w:p>
    <w:p w14:paraId="2EF7AA3B">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color w:val="000000" w:themeColor="text1"/>
          <w:spacing w:val="-4"/>
          <w:sz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4"/>
          <w:sz w:val="24"/>
          <w:highlight w:val="none"/>
          <w14:textFill>
            <w14:solidFill>
              <w14:schemeClr w14:val="tx1"/>
            </w14:solidFill>
          </w14:textFill>
        </w:rPr>
        <w:t>区域环境空气中SO</w:t>
      </w:r>
      <w:r>
        <w:rPr>
          <w:rFonts w:hint="default" w:ascii="Times New Roman" w:hAnsi="Times New Roman" w:cs="Times New Roman"/>
          <w:color w:val="000000" w:themeColor="text1"/>
          <w:spacing w:val="-4"/>
          <w:sz w:val="24"/>
          <w:highlight w:val="none"/>
          <w:vertAlign w:val="subscript"/>
          <w14:textFill>
            <w14:solidFill>
              <w14:schemeClr w14:val="tx1"/>
            </w14:solidFill>
          </w14:textFill>
        </w:rPr>
        <w:t>2</w:t>
      </w:r>
      <w:r>
        <w:rPr>
          <w:rFonts w:hint="default" w:ascii="Times New Roman" w:hAnsi="Times New Roman" w:cs="Times New Roman"/>
          <w:color w:val="000000" w:themeColor="text1"/>
          <w:spacing w:val="-4"/>
          <w:sz w:val="24"/>
          <w:highlight w:val="none"/>
          <w14:textFill>
            <w14:solidFill>
              <w14:schemeClr w14:val="tx1"/>
            </w14:solidFill>
          </w14:textFill>
        </w:rPr>
        <w:t>、NO</w:t>
      </w:r>
      <w:r>
        <w:rPr>
          <w:rFonts w:hint="default" w:ascii="Times New Roman" w:hAnsi="Times New Roman" w:cs="Times New Roman"/>
          <w:color w:val="000000" w:themeColor="text1"/>
          <w:spacing w:val="-4"/>
          <w:sz w:val="24"/>
          <w:highlight w:val="none"/>
          <w:vertAlign w:val="subscript"/>
          <w14:textFill>
            <w14:solidFill>
              <w14:schemeClr w14:val="tx1"/>
            </w14:solidFill>
          </w14:textFill>
        </w:rPr>
        <w:t>2</w:t>
      </w:r>
      <w:r>
        <w:rPr>
          <w:rFonts w:hint="default" w:ascii="Times New Roman" w:hAnsi="Times New Roman" w:cs="Times New Roman"/>
          <w:color w:val="000000" w:themeColor="text1"/>
          <w:spacing w:val="-4"/>
          <w:sz w:val="24"/>
          <w:highlight w:val="none"/>
          <w14:textFill>
            <w14:solidFill>
              <w14:schemeClr w14:val="tx1"/>
            </w14:solidFill>
          </w14:textFill>
        </w:rPr>
        <w:t>、PM</w:t>
      </w:r>
      <w:r>
        <w:rPr>
          <w:rFonts w:hint="default" w:ascii="Times New Roman" w:hAnsi="Times New Roman" w:cs="Times New Roman"/>
          <w:color w:val="000000" w:themeColor="text1"/>
          <w:spacing w:val="-4"/>
          <w:sz w:val="24"/>
          <w:highlight w:val="none"/>
          <w:vertAlign w:val="subscript"/>
          <w14:textFill>
            <w14:solidFill>
              <w14:schemeClr w14:val="tx1"/>
            </w14:solidFill>
          </w14:textFill>
        </w:rPr>
        <w:t>10</w:t>
      </w:r>
      <w:r>
        <w:rPr>
          <w:rFonts w:hint="default" w:ascii="Times New Roman" w:hAnsi="Times New Roman" w:cs="Times New Roman"/>
          <w:color w:val="000000" w:themeColor="text1"/>
          <w:spacing w:val="-4"/>
          <w:sz w:val="24"/>
          <w:highlight w:val="none"/>
          <w14:textFill>
            <w14:solidFill>
              <w14:schemeClr w14:val="tx1"/>
            </w14:solidFill>
          </w14:textFill>
        </w:rPr>
        <w:t>、PM</w:t>
      </w:r>
      <w:r>
        <w:rPr>
          <w:rFonts w:hint="default" w:ascii="Times New Roman" w:hAnsi="Times New Roman" w:cs="Times New Roman"/>
          <w:color w:val="000000" w:themeColor="text1"/>
          <w:spacing w:val="-4"/>
          <w:sz w:val="24"/>
          <w:highlight w:val="none"/>
          <w:vertAlign w:val="subscript"/>
          <w14:textFill>
            <w14:solidFill>
              <w14:schemeClr w14:val="tx1"/>
            </w14:solidFill>
          </w14:textFill>
        </w:rPr>
        <w:t>2.5</w:t>
      </w:r>
      <w:r>
        <w:rPr>
          <w:rFonts w:hint="default" w:ascii="Times New Roman" w:hAnsi="Times New Roman" w:cs="Times New Roman"/>
          <w:color w:val="000000" w:themeColor="text1"/>
          <w:spacing w:val="-4"/>
          <w:sz w:val="24"/>
          <w:highlight w:val="none"/>
          <w14:textFill>
            <w14:solidFill>
              <w14:schemeClr w14:val="tx1"/>
            </w14:solidFill>
          </w14:textFill>
        </w:rPr>
        <w:t>、</w:t>
      </w:r>
      <w:r>
        <w:rPr>
          <w:rFonts w:hint="default" w:ascii="Times New Roman" w:hAnsi="Times New Roman" w:cs="Times New Roman"/>
          <w:color w:val="000000" w:themeColor="text1"/>
          <w:spacing w:val="-4"/>
          <w:sz w:val="24"/>
          <w:highlight w:val="none"/>
          <w:lang w:val="en-US" w:eastAsia="zh-CN"/>
          <w14:textFill>
            <w14:solidFill>
              <w14:schemeClr w14:val="tx1"/>
            </w14:solidFill>
          </w14:textFill>
        </w:rPr>
        <w:t>CO</w:t>
      </w:r>
      <w:r>
        <w:rPr>
          <w:rFonts w:hint="default" w:ascii="Times New Roman" w:hAnsi="Times New Roman" w:cs="Times New Roman"/>
          <w:color w:val="000000" w:themeColor="text1"/>
          <w:spacing w:val="-4"/>
          <w:sz w:val="24"/>
          <w:highlight w:val="none"/>
          <w:lang w:eastAsia="zh-CN"/>
          <w14:textFill>
            <w14:solidFill>
              <w14:schemeClr w14:val="tx1"/>
            </w14:solidFill>
          </w14:textFill>
        </w:rPr>
        <w:t>、</w:t>
      </w:r>
      <w:r>
        <w:rPr>
          <w:rFonts w:hint="default" w:ascii="Times New Roman" w:hAnsi="Times New Roman" w:cs="Times New Roman"/>
          <w:color w:val="000000" w:themeColor="text1"/>
          <w:spacing w:val="-4"/>
          <w:sz w:val="24"/>
          <w:highlight w:val="none"/>
          <w14:textFill>
            <w14:solidFill>
              <w14:schemeClr w14:val="tx1"/>
            </w14:solidFill>
          </w14:textFill>
        </w:rPr>
        <w:t>O</w:t>
      </w:r>
      <w:r>
        <w:rPr>
          <w:rFonts w:hint="default" w:ascii="Times New Roman" w:hAnsi="Times New Roman" w:cs="Times New Roman"/>
          <w:color w:val="000000" w:themeColor="text1"/>
          <w:spacing w:val="-4"/>
          <w:sz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pacing w:val="-4"/>
          <w:sz w:val="24"/>
          <w:highlight w:val="none"/>
          <w:lang w:eastAsia="zh-CN"/>
          <w14:textFill>
            <w14:solidFill>
              <w14:schemeClr w14:val="tx1"/>
            </w14:solidFill>
          </w14:textFill>
        </w:rPr>
        <w:t>、</w:t>
      </w:r>
      <w:r>
        <w:rPr>
          <w:rFonts w:hint="default" w:ascii="Times New Roman" w:hAnsi="Times New Roman" w:cs="Times New Roman"/>
          <w:color w:val="000000" w:themeColor="text1"/>
          <w:spacing w:val="-4"/>
          <w:sz w:val="24"/>
          <w:highlight w:val="none"/>
          <w:lang w:val="en-US" w:eastAsia="zh-CN"/>
          <w14:textFill>
            <w14:solidFill>
              <w14:schemeClr w14:val="tx1"/>
            </w14:solidFill>
          </w14:textFill>
        </w:rPr>
        <w:t>TSP</w:t>
      </w:r>
      <w:r>
        <w:rPr>
          <w:rFonts w:hint="default" w:ascii="Times New Roman" w:hAnsi="Times New Roman" w:cs="Times New Roman"/>
          <w:color w:val="000000" w:themeColor="text1"/>
          <w:spacing w:val="-4"/>
          <w:sz w:val="24"/>
          <w:highlight w:val="none"/>
          <w14:textFill>
            <w14:solidFill>
              <w14:schemeClr w14:val="tx1"/>
            </w14:solidFill>
          </w14:textFill>
        </w:rPr>
        <w:t>执行</w:t>
      </w:r>
      <w:r>
        <w:rPr>
          <w:rFonts w:hint="default" w:ascii="Times New Roman" w:hAnsi="Times New Roman" w:cs="Times New Roman"/>
          <w:color w:val="000000" w:themeColor="text1"/>
          <w:spacing w:val="-4"/>
          <w:sz w:val="24"/>
          <w:highlight w:val="none"/>
          <w:lang w:eastAsia="zh-CN"/>
          <w14:textFill>
            <w14:solidFill>
              <w14:schemeClr w14:val="tx1"/>
            </w14:solidFill>
          </w14:textFill>
        </w:rPr>
        <w:t>《环境空气质量标准》（GB3095-2012）及其修改单中二级标准，具体见</w:t>
      </w:r>
      <w:r>
        <w:rPr>
          <w:rFonts w:hint="eastAsia" w:cs="Times New Roman"/>
          <w:color w:val="000000" w:themeColor="text1"/>
          <w:spacing w:val="-4"/>
          <w:sz w:val="24"/>
          <w:highlight w:val="none"/>
          <w:lang w:eastAsia="zh-CN"/>
          <w14:textFill>
            <w14:solidFill>
              <w14:schemeClr w14:val="tx1"/>
            </w14:solidFill>
          </w14:textFill>
        </w:rPr>
        <w:t>表2.5-</w:t>
      </w:r>
      <w:r>
        <w:rPr>
          <w:rFonts w:hint="default" w:ascii="Times New Roman" w:hAnsi="Times New Roman" w:cs="Times New Roman"/>
          <w:color w:val="000000" w:themeColor="text1"/>
          <w:spacing w:val="-4"/>
          <w:sz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4"/>
          <w:sz w:val="24"/>
          <w:highlight w:val="none"/>
          <w:lang w:eastAsia="zh-CN"/>
          <w14:textFill>
            <w14:solidFill>
              <w14:schemeClr w14:val="tx1"/>
            </w14:solidFill>
          </w14:textFill>
        </w:rPr>
        <w:t>。</w:t>
      </w:r>
    </w:p>
    <w:p w14:paraId="10EAE7BF">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color w:val="000000" w:themeColor="text1"/>
          <w:spacing w:val="-4"/>
          <w:sz w:val="24"/>
          <w:highlight w:val="none"/>
          <w:lang w:eastAsia="zh-CN"/>
          <w14:textFill>
            <w14:solidFill>
              <w14:schemeClr w14:val="tx1"/>
            </w14:solidFill>
          </w14:textFill>
        </w:rPr>
      </w:pPr>
      <w:r>
        <w:rPr>
          <w:rFonts w:hint="default" w:ascii="Times New Roman" w:hAnsi="Times New Roman" w:cs="Times New Roman"/>
          <w:color w:val="000000" w:themeColor="text1"/>
          <w:spacing w:val="-4"/>
          <w:sz w:val="24"/>
          <w:highlight w:val="none"/>
          <w:lang w:eastAsia="zh-CN"/>
          <w14:textFill>
            <w14:solidFill>
              <w14:schemeClr w14:val="tx1"/>
            </w14:solidFill>
          </w14:textFill>
        </w:rPr>
        <w:t>非甲烷总烃采用《大气污染物综合标准详解》中规定的数值小时均值2.0mg/m</w:t>
      </w:r>
      <w:r>
        <w:rPr>
          <w:rFonts w:hint="default" w:ascii="Times New Roman" w:hAnsi="Times New Roman" w:cs="Times New Roman"/>
          <w:color w:val="000000" w:themeColor="text1"/>
          <w:spacing w:val="-4"/>
          <w:sz w:val="24"/>
          <w:highlight w:val="none"/>
          <w:vertAlign w:val="superscript"/>
          <w:lang w:eastAsia="zh-CN"/>
          <w14:textFill>
            <w14:solidFill>
              <w14:schemeClr w14:val="tx1"/>
            </w14:solidFill>
          </w14:textFill>
        </w:rPr>
        <w:t>3</w:t>
      </w:r>
      <w:r>
        <w:rPr>
          <w:rFonts w:hint="default" w:ascii="Times New Roman" w:hAnsi="Times New Roman" w:cs="Times New Roman"/>
          <w:color w:val="000000" w:themeColor="text1"/>
          <w:spacing w:val="-4"/>
          <w:sz w:val="24"/>
          <w:highlight w:val="none"/>
          <w:lang w:eastAsia="zh-CN"/>
          <w14:textFill>
            <w14:solidFill>
              <w14:schemeClr w14:val="tx1"/>
            </w14:solidFill>
          </w14:textFill>
        </w:rPr>
        <w:t>。</w:t>
      </w:r>
    </w:p>
    <w:p w14:paraId="5A033564">
      <w:pPr>
        <w:keepNext w:val="0"/>
        <w:keepLines w:val="0"/>
        <w:pageBreakBefore w:val="0"/>
        <w:widowControl w:val="0"/>
        <w:kinsoku/>
        <w:wordWrap/>
        <w:topLinePunct w:val="0"/>
        <w:bidi w:val="0"/>
        <w:spacing w:after="0"/>
        <w:jc w:val="cente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eastAsia="zh-CN"/>
          <w14:textFill>
            <w14:solidFill>
              <w14:schemeClr w14:val="tx1"/>
            </w14:solidFill>
          </w14:textFill>
        </w:rPr>
        <w:t>表2.5-</w:t>
      </w: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环境空气标准</w:t>
      </w:r>
      <w:r>
        <w:rPr>
          <w:rFonts w:hint="default" w:ascii="Times New Roman" w:hAnsi="Times New Roman" w:eastAsia="宋体" w:cs="Times New Roman"/>
          <w:b/>
          <w:bCs/>
          <w:color w:val="000000" w:themeColor="text1"/>
          <w:kern w:val="2"/>
          <w:sz w:val="24"/>
          <w:szCs w:val="24"/>
          <w:highlight w:val="none"/>
          <w:lang w:eastAsia="zh-CN"/>
          <w14:textFill>
            <w14:solidFill>
              <w14:schemeClr w14:val="tx1"/>
            </w14:solidFill>
          </w14:textFill>
        </w:rPr>
        <w:t>限值</w:t>
      </w: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单位：</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μg/m</w:t>
      </w:r>
      <w:r>
        <w:rPr>
          <w:rFonts w:hint="default" w:ascii="Times New Roman" w:hAnsi="Times New Roman" w:eastAsia="宋体" w:cs="Times New Roman"/>
          <w:b/>
          <w:bCs/>
          <w:color w:val="000000" w:themeColor="text1"/>
          <w:kern w:val="2"/>
          <w:sz w:val="24"/>
          <w:szCs w:val="24"/>
          <w:highlight w:val="none"/>
          <w:vertAlign w:val="superscript"/>
          <w14:textFill>
            <w14:solidFill>
              <w14:schemeClr w14:val="tx1"/>
            </w14:solidFill>
          </w14:textFill>
        </w:rPr>
        <w:t>3</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7"/>
        <w:gridCol w:w="2268"/>
        <w:gridCol w:w="3076"/>
        <w:gridCol w:w="2583"/>
      </w:tblGrid>
      <w:tr w14:paraId="1143C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1" w:type="pct"/>
            <w:tcBorders>
              <w:tl2br w:val="nil"/>
              <w:tr2bl w:val="nil"/>
            </w:tcBorders>
            <w:noWrap w:val="0"/>
            <w:vAlign w:val="center"/>
          </w:tcPr>
          <w:p w14:paraId="405FF4C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221" w:type="pct"/>
            <w:tcBorders>
              <w:tl2br w:val="nil"/>
              <w:tr2bl w:val="nil"/>
            </w:tcBorders>
            <w:noWrap w:val="0"/>
            <w:vAlign w:val="center"/>
          </w:tcPr>
          <w:p w14:paraId="4BE635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3047" w:type="pct"/>
            <w:gridSpan w:val="2"/>
            <w:tcBorders>
              <w:tl2br w:val="nil"/>
              <w:tr2bl w:val="nil"/>
            </w:tcBorders>
            <w:noWrap w:val="0"/>
            <w:vAlign w:val="center"/>
          </w:tcPr>
          <w:p w14:paraId="68D12FB5">
            <w:pPr>
              <w:keepNext w:val="0"/>
              <w:keepLines w:val="0"/>
              <w:pageBreakBefore w:val="0"/>
              <w:widowControl w:val="0"/>
              <w:kinsoku/>
              <w:wordWrap/>
              <w:topLinePunct w:val="0"/>
              <w:bidi w:val="0"/>
              <w:spacing w:after="0"/>
              <w:jc w:val="center"/>
              <w:rPr>
                <w:rFonts w:hint="default" w:ascii="Times New Roman" w:hAnsi="Times New Roman" w:eastAsia="宋体" w:cs="Times New Roman"/>
                <w:b/>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eastAsia="zh-CN"/>
                <w14:textFill>
                  <w14:solidFill>
                    <w14:schemeClr w14:val="tx1"/>
                  </w14:solidFill>
                </w14:textFill>
              </w:rPr>
              <w:t>二级标准值</w:t>
            </w:r>
          </w:p>
        </w:tc>
      </w:tr>
      <w:tr w14:paraId="68128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restart"/>
            <w:tcBorders>
              <w:tl2br w:val="nil"/>
              <w:tr2bl w:val="nil"/>
            </w:tcBorders>
            <w:noWrap w:val="0"/>
            <w:vAlign w:val="center"/>
          </w:tcPr>
          <w:p w14:paraId="3187D9D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221" w:type="pct"/>
            <w:vMerge w:val="restart"/>
            <w:tcBorders>
              <w:tl2br w:val="nil"/>
              <w:tr2bl w:val="nil"/>
            </w:tcBorders>
            <w:noWrap w:val="0"/>
            <w:vAlign w:val="center"/>
          </w:tcPr>
          <w:p w14:paraId="62DDD45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656" w:type="pct"/>
            <w:tcBorders>
              <w:tl2br w:val="nil"/>
              <w:tr2bl w:val="nil"/>
            </w:tcBorders>
            <w:noWrap w:val="0"/>
            <w:vAlign w:val="center"/>
          </w:tcPr>
          <w:p w14:paraId="0CD7094E">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1小时平均</w:t>
            </w:r>
          </w:p>
        </w:tc>
        <w:tc>
          <w:tcPr>
            <w:tcW w:w="1390" w:type="pct"/>
            <w:tcBorders>
              <w:tl2br w:val="nil"/>
              <w:tr2bl w:val="nil"/>
            </w:tcBorders>
            <w:noWrap w:val="0"/>
            <w:vAlign w:val="center"/>
          </w:tcPr>
          <w:p w14:paraId="60880C47">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500</w:t>
            </w:r>
          </w:p>
        </w:tc>
      </w:tr>
      <w:tr w14:paraId="6EB15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56B248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vMerge w:val="continue"/>
            <w:tcBorders>
              <w:tl2br w:val="nil"/>
              <w:tr2bl w:val="nil"/>
            </w:tcBorders>
            <w:noWrap w:val="0"/>
            <w:vAlign w:val="center"/>
          </w:tcPr>
          <w:p w14:paraId="78BF7DE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56" w:type="pct"/>
            <w:tcBorders>
              <w:tl2br w:val="nil"/>
              <w:tr2bl w:val="nil"/>
            </w:tcBorders>
            <w:noWrap w:val="0"/>
            <w:vAlign w:val="center"/>
          </w:tcPr>
          <w:p w14:paraId="370FF9E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24小时平均</w:t>
            </w:r>
          </w:p>
        </w:tc>
        <w:tc>
          <w:tcPr>
            <w:tcW w:w="1390" w:type="pct"/>
            <w:tcBorders>
              <w:tl2br w:val="nil"/>
              <w:tr2bl w:val="nil"/>
            </w:tcBorders>
            <w:noWrap w:val="0"/>
            <w:vAlign w:val="center"/>
          </w:tcPr>
          <w:p w14:paraId="44AC5AF5">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150</w:t>
            </w:r>
          </w:p>
        </w:tc>
      </w:tr>
      <w:tr w14:paraId="372C1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511C56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21" w:type="pct"/>
            <w:vMerge w:val="continue"/>
            <w:tcBorders>
              <w:tl2br w:val="nil"/>
              <w:tr2bl w:val="nil"/>
            </w:tcBorders>
            <w:noWrap w:val="0"/>
            <w:vAlign w:val="center"/>
          </w:tcPr>
          <w:p w14:paraId="463A57B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56" w:type="pct"/>
            <w:tcBorders>
              <w:tl2br w:val="nil"/>
              <w:tr2bl w:val="nil"/>
            </w:tcBorders>
            <w:noWrap w:val="0"/>
            <w:vAlign w:val="center"/>
          </w:tcPr>
          <w:p w14:paraId="742967C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t>年平均</w:t>
            </w:r>
          </w:p>
        </w:tc>
        <w:tc>
          <w:tcPr>
            <w:tcW w:w="1390" w:type="pct"/>
            <w:tcBorders>
              <w:tl2br w:val="nil"/>
              <w:tr2bl w:val="nil"/>
            </w:tcBorders>
            <w:noWrap w:val="0"/>
            <w:vAlign w:val="center"/>
          </w:tcPr>
          <w:p w14:paraId="1FB02D21">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60</w:t>
            </w:r>
          </w:p>
        </w:tc>
      </w:tr>
      <w:tr w14:paraId="1FF68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restart"/>
            <w:tcBorders>
              <w:tl2br w:val="nil"/>
              <w:tr2bl w:val="nil"/>
            </w:tcBorders>
            <w:noWrap w:val="0"/>
            <w:vAlign w:val="center"/>
          </w:tcPr>
          <w:p w14:paraId="72714AC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1221" w:type="pct"/>
            <w:vMerge w:val="restart"/>
            <w:tcBorders>
              <w:tl2br w:val="nil"/>
              <w:tr2bl w:val="nil"/>
            </w:tcBorders>
            <w:noWrap w:val="0"/>
            <w:vAlign w:val="center"/>
          </w:tcPr>
          <w:p w14:paraId="724A95F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656" w:type="pct"/>
            <w:tcBorders>
              <w:tl2br w:val="nil"/>
              <w:tr2bl w:val="nil"/>
            </w:tcBorders>
            <w:noWrap w:val="0"/>
            <w:vAlign w:val="center"/>
          </w:tcPr>
          <w:p w14:paraId="03107781">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1小时平均</w:t>
            </w:r>
          </w:p>
        </w:tc>
        <w:tc>
          <w:tcPr>
            <w:tcW w:w="1390" w:type="pct"/>
            <w:tcBorders>
              <w:tl2br w:val="nil"/>
              <w:tr2bl w:val="nil"/>
            </w:tcBorders>
            <w:noWrap w:val="0"/>
            <w:vAlign w:val="center"/>
          </w:tcPr>
          <w:p w14:paraId="6B9CCAC0">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200</w:t>
            </w:r>
          </w:p>
        </w:tc>
      </w:tr>
      <w:tr w14:paraId="0760C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27A514C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21" w:type="pct"/>
            <w:vMerge w:val="continue"/>
            <w:tcBorders>
              <w:tl2br w:val="nil"/>
              <w:tr2bl w:val="nil"/>
            </w:tcBorders>
            <w:noWrap w:val="0"/>
            <w:vAlign w:val="center"/>
          </w:tcPr>
          <w:p w14:paraId="202041D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56" w:type="pct"/>
            <w:tcBorders>
              <w:tl2br w:val="nil"/>
              <w:tr2bl w:val="nil"/>
            </w:tcBorders>
            <w:noWrap w:val="0"/>
            <w:vAlign w:val="center"/>
          </w:tcPr>
          <w:p w14:paraId="74BB9B99">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24小时平均</w:t>
            </w:r>
          </w:p>
        </w:tc>
        <w:tc>
          <w:tcPr>
            <w:tcW w:w="1390" w:type="pct"/>
            <w:tcBorders>
              <w:tl2br w:val="nil"/>
              <w:tr2bl w:val="nil"/>
            </w:tcBorders>
            <w:noWrap w:val="0"/>
            <w:vAlign w:val="center"/>
          </w:tcPr>
          <w:p w14:paraId="171C9A9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80</w:t>
            </w:r>
          </w:p>
        </w:tc>
      </w:tr>
      <w:tr w14:paraId="7BBFC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515F14B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21" w:type="pct"/>
            <w:vMerge w:val="continue"/>
            <w:tcBorders>
              <w:tl2br w:val="nil"/>
              <w:tr2bl w:val="nil"/>
            </w:tcBorders>
            <w:noWrap w:val="0"/>
            <w:vAlign w:val="center"/>
          </w:tcPr>
          <w:p w14:paraId="745F35E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56" w:type="pct"/>
            <w:tcBorders>
              <w:tl2br w:val="nil"/>
              <w:tr2bl w:val="nil"/>
            </w:tcBorders>
            <w:noWrap w:val="0"/>
            <w:vAlign w:val="center"/>
          </w:tcPr>
          <w:p w14:paraId="03F934B3">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t>年平均</w:t>
            </w:r>
          </w:p>
        </w:tc>
        <w:tc>
          <w:tcPr>
            <w:tcW w:w="1390" w:type="pct"/>
            <w:tcBorders>
              <w:tl2br w:val="nil"/>
              <w:tr2bl w:val="nil"/>
            </w:tcBorders>
            <w:noWrap w:val="0"/>
            <w:vAlign w:val="center"/>
          </w:tcPr>
          <w:p w14:paraId="1A46522B">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40</w:t>
            </w:r>
          </w:p>
        </w:tc>
      </w:tr>
      <w:tr w14:paraId="69262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restart"/>
            <w:tcBorders>
              <w:tl2br w:val="nil"/>
              <w:tr2bl w:val="nil"/>
            </w:tcBorders>
            <w:noWrap w:val="0"/>
            <w:vAlign w:val="center"/>
          </w:tcPr>
          <w:p w14:paraId="077DDC4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221" w:type="pct"/>
            <w:vMerge w:val="restart"/>
            <w:tcBorders>
              <w:tl2br w:val="nil"/>
              <w:tr2bl w:val="nil"/>
            </w:tcBorders>
            <w:noWrap w:val="0"/>
            <w:vAlign w:val="center"/>
          </w:tcPr>
          <w:p w14:paraId="0D4EB66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PM</w:t>
            </w:r>
            <w:r>
              <w:rPr>
                <w:rFonts w:hint="default" w:ascii="Times New Roman" w:hAnsi="Times New Roman" w:eastAsia="宋体" w:cs="Times New Roman"/>
                <w:color w:val="000000" w:themeColor="text1"/>
                <w:spacing w:val="-4"/>
                <w:sz w:val="21"/>
                <w:szCs w:val="21"/>
                <w:highlight w:val="none"/>
                <w:vertAlign w:val="subscript"/>
                <w14:textFill>
                  <w14:solidFill>
                    <w14:schemeClr w14:val="tx1"/>
                  </w14:solidFill>
                </w14:textFill>
              </w:rPr>
              <w:t>10</w:t>
            </w:r>
          </w:p>
        </w:tc>
        <w:tc>
          <w:tcPr>
            <w:tcW w:w="1656" w:type="pct"/>
            <w:tcBorders>
              <w:tl2br w:val="nil"/>
              <w:tr2bl w:val="nil"/>
            </w:tcBorders>
            <w:noWrap w:val="0"/>
            <w:vAlign w:val="center"/>
          </w:tcPr>
          <w:p w14:paraId="5CA24362">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24小时平均</w:t>
            </w:r>
          </w:p>
        </w:tc>
        <w:tc>
          <w:tcPr>
            <w:tcW w:w="1390" w:type="pct"/>
            <w:tcBorders>
              <w:tl2br w:val="nil"/>
              <w:tr2bl w:val="nil"/>
            </w:tcBorders>
            <w:noWrap w:val="0"/>
            <w:vAlign w:val="center"/>
          </w:tcPr>
          <w:p w14:paraId="5E69BE00">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150</w:t>
            </w:r>
          </w:p>
        </w:tc>
      </w:tr>
      <w:tr w14:paraId="6F8D06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41DDDF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21" w:type="pct"/>
            <w:vMerge w:val="continue"/>
            <w:tcBorders>
              <w:tl2br w:val="nil"/>
              <w:tr2bl w:val="nil"/>
            </w:tcBorders>
            <w:noWrap w:val="0"/>
            <w:vAlign w:val="center"/>
          </w:tcPr>
          <w:p w14:paraId="18967FA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56" w:type="pct"/>
            <w:tcBorders>
              <w:tl2br w:val="nil"/>
              <w:tr2bl w:val="nil"/>
            </w:tcBorders>
            <w:noWrap w:val="0"/>
            <w:vAlign w:val="center"/>
          </w:tcPr>
          <w:p w14:paraId="5361A202">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t>年平均</w:t>
            </w:r>
          </w:p>
        </w:tc>
        <w:tc>
          <w:tcPr>
            <w:tcW w:w="1390" w:type="pct"/>
            <w:tcBorders>
              <w:tl2br w:val="nil"/>
              <w:tr2bl w:val="nil"/>
            </w:tcBorders>
            <w:noWrap w:val="0"/>
            <w:vAlign w:val="center"/>
          </w:tcPr>
          <w:p w14:paraId="346BF832">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70</w:t>
            </w:r>
          </w:p>
        </w:tc>
      </w:tr>
      <w:tr w14:paraId="738AB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restart"/>
            <w:tcBorders>
              <w:tl2br w:val="nil"/>
              <w:tr2bl w:val="nil"/>
            </w:tcBorders>
            <w:noWrap w:val="0"/>
            <w:vAlign w:val="center"/>
          </w:tcPr>
          <w:p w14:paraId="5BB4BE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221" w:type="pct"/>
            <w:vMerge w:val="restart"/>
            <w:tcBorders>
              <w:tl2br w:val="nil"/>
              <w:tr2bl w:val="nil"/>
            </w:tcBorders>
            <w:noWrap w:val="0"/>
            <w:vAlign w:val="center"/>
          </w:tcPr>
          <w:p w14:paraId="14ACEB4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PM</w:t>
            </w:r>
            <w:r>
              <w:rPr>
                <w:rFonts w:hint="default" w:ascii="Times New Roman" w:hAnsi="Times New Roman" w:eastAsia="宋体" w:cs="Times New Roman"/>
                <w:color w:val="000000" w:themeColor="text1"/>
                <w:spacing w:val="-4"/>
                <w:sz w:val="21"/>
                <w:szCs w:val="21"/>
                <w:highlight w:val="none"/>
                <w:vertAlign w:val="subscript"/>
                <w14:textFill>
                  <w14:solidFill>
                    <w14:schemeClr w14:val="tx1"/>
                  </w14:solidFill>
                </w14:textFill>
              </w:rPr>
              <w:t>2.5</w:t>
            </w:r>
          </w:p>
        </w:tc>
        <w:tc>
          <w:tcPr>
            <w:tcW w:w="1656" w:type="pct"/>
            <w:tcBorders>
              <w:tl2br w:val="nil"/>
              <w:tr2bl w:val="nil"/>
            </w:tcBorders>
            <w:noWrap w:val="0"/>
            <w:vAlign w:val="center"/>
          </w:tcPr>
          <w:p w14:paraId="6F503BC3">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24小时平均</w:t>
            </w:r>
          </w:p>
        </w:tc>
        <w:tc>
          <w:tcPr>
            <w:tcW w:w="1390" w:type="pct"/>
            <w:tcBorders>
              <w:tl2br w:val="nil"/>
              <w:tr2bl w:val="nil"/>
            </w:tcBorders>
            <w:noWrap w:val="0"/>
            <w:vAlign w:val="center"/>
          </w:tcPr>
          <w:p w14:paraId="4E81B645">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75</w:t>
            </w:r>
          </w:p>
        </w:tc>
      </w:tr>
      <w:tr w14:paraId="311E3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238F349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21" w:type="pct"/>
            <w:vMerge w:val="continue"/>
            <w:tcBorders>
              <w:tl2br w:val="nil"/>
              <w:tr2bl w:val="nil"/>
            </w:tcBorders>
            <w:noWrap w:val="0"/>
            <w:vAlign w:val="center"/>
          </w:tcPr>
          <w:p w14:paraId="02B1FB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56" w:type="pct"/>
            <w:tcBorders>
              <w:tl2br w:val="nil"/>
              <w:tr2bl w:val="nil"/>
            </w:tcBorders>
            <w:noWrap w:val="0"/>
            <w:vAlign w:val="center"/>
          </w:tcPr>
          <w:p w14:paraId="1F3FA851">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t>年平均</w:t>
            </w:r>
          </w:p>
        </w:tc>
        <w:tc>
          <w:tcPr>
            <w:tcW w:w="1390" w:type="pct"/>
            <w:tcBorders>
              <w:tl2br w:val="nil"/>
              <w:tr2bl w:val="nil"/>
            </w:tcBorders>
            <w:noWrap w:val="0"/>
            <w:vAlign w:val="center"/>
          </w:tcPr>
          <w:p w14:paraId="6AAC7217">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35</w:t>
            </w:r>
          </w:p>
        </w:tc>
      </w:tr>
      <w:tr w14:paraId="17928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restart"/>
            <w:tcBorders>
              <w:tl2br w:val="nil"/>
              <w:tr2bl w:val="nil"/>
            </w:tcBorders>
            <w:noWrap w:val="0"/>
            <w:vAlign w:val="center"/>
          </w:tcPr>
          <w:p w14:paraId="5FA869B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221" w:type="pct"/>
            <w:vMerge w:val="restart"/>
            <w:tcBorders>
              <w:tl2br w:val="nil"/>
              <w:tr2bl w:val="nil"/>
            </w:tcBorders>
            <w:noWrap w:val="0"/>
            <w:vAlign w:val="center"/>
          </w:tcPr>
          <w:p w14:paraId="3471543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CO</w:t>
            </w:r>
          </w:p>
        </w:tc>
        <w:tc>
          <w:tcPr>
            <w:tcW w:w="1656" w:type="pct"/>
            <w:tcBorders>
              <w:tl2br w:val="nil"/>
              <w:tr2bl w:val="nil"/>
            </w:tcBorders>
            <w:noWrap w:val="0"/>
            <w:vAlign w:val="center"/>
          </w:tcPr>
          <w:p w14:paraId="292FA04E">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1小时平均</w:t>
            </w:r>
          </w:p>
        </w:tc>
        <w:tc>
          <w:tcPr>
            <w:tcW w:w="1390" w:type="pct"/>
            <w:tcBorders>
              <w:tl2br w:val="nil"/>
              <w:tr2bl w:val="nil"/>
            </w:tcBorders>
            <w:noWrap w:val="0"/>
            <w:vAlign w:val="center"/>
          </w:tcPr>
          <w:p w14:paraId="2AE83C07">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10000</w:t>
            </w:r>
          </w:p>
        </w:tc>
      </w:tr>
      <w:tr w14:paraId="2F407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33DFED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vMerge w:val="continue"/>
            <w:tcBorders>
              <w:tl2br w:val="nil"/>
              <w:tr2bl w:val="nil"/>
            </w:tcBorders>
            <w:noWrap w:val="0"/>
            <w:vAlign w:val="center"/>
          </w:tcPr>
          <w:p w14:paraId="697685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p>
        </w:tc>
        <w:tc>
          <w:tcPr>
            <w:tcW w:w="1656" w:type="pct"/>
            <w:tcBorders>
              <w:tl2br w:val="nil"/>
              <w:tr2bl w:val="nil"/>
            </w:tcBorders>
            <w:noWrap w:val="0"/>
            <w:vAlign w:val="center"/>
          </w:tcPr>
          <w:p w14:paraId="45AC15C5">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24小时平均</w:t>
            </w:r>
          </w:p>
        </w:tc>
        <w:tc>
          <w:tcPr>
            <w:tcW w:w="1390" w:type="pct"/>
            <w:tcBorders>
              <w:tl2br w:val="nil"/>
              <w:tr2bl w:val="nil"/>
            </w:tcBorders>
            <w:noWrap w:val="0"/>
            <w:vAlign w:val="center"/>
          </w:tcPr>
          <w:p w14:paraId="71CDE447">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4000</w:t>
            </w:r>
          </w:p>
        </w:tc>
      </w:tr>
      <w:tr w14:paraId="3082F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restart"/>
            <w:tcBorders>
              <w:tl2br w:val="nil"/>
              <w:tr2bl w:val="nil"/>
            </w:tcBorders>
            <w:noWrap w:val="0"/>
            <w:vAlign w:val="center"/>
          </w:tcPr>
          <w:p w14:paraId="42E2AB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21" w:type="pct"/>
            <w:vMerge w:val="restart"/>
            <w:tcBorders>
              <w:tl2br w:val="nil"/>
              <w:tr2bl w:val="nil"/>
            </w:tcBorders>
            <w:noWrap w:val="0"/>
            <w:vAlign w:val="center"/>
          </w:tcPr>
          <w:p w14:paraId="494FEA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pacing w:val="-4"/>
                <w:sz w:val="21"/>
                <w:szCs w:val="21"/>
                <w:highlight w:val="none"/>
                <w:vertAlign w:val="subscript"/>
                <w:lang w:val="en-US" w:eastAsia="zh-CN"/>
                <w14:textFill>
                  <w14:solidFill>
                    <w14:schemeClr w14:val="tx1"/>
                  </w14:solidFill>
                </w14:textFill>
              </w:rPr>
              <w:t>3</w:t>
            </w:r>
          </w:p>
        </w:tc>
        <w:tc>
          <w:tcPr>
            <w:tcW w:w="1656" w:type="pct"/>
            <w:tcBorders>
              <w:tl2br w:val="nil"/>
              <w:tr2bl w:val="nil"/>
            </w:tcBorders>
            <w:noWrap w:val="0"/>
            <w:vAlign w:val="center"/>
          </w:tcPr>
          <w:p w14:paraId="7C78CA84">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日最大8小时平均</w:t>
            </w:r>
          </w:p>
        </w:tc>
        <w:tc>
          <w:tcPr>
            <w:tcW w:w="1390" w:type="pct"/>
            <w:tcBorders>
              <w:tl2br w:val="nil"/>
              <w:tr2bl w:val="nil"/>
            </w:tcBorders>
            <w:noWrap w:val="0"/>
            <w:vAlign w:val="center"/>
          </w:tcPr>
          <w:p w14:paraId="63AFA93F">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160</w:t>
            </w:r>
          </w:p>
        </w:tc>
      </w:tr>
      <w:tr w14:paraId="74A02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31" w:type="pct"/>
            <w:vMerge w:val="continue"/>
            <w:tcBorders>
              <w:tl2br w:val="nil"/>
              <w:tr2bl w:val="nil"/>
            </w:tcBorders>
            <w:noWrap w:val="0"/>
            <w:vAlign w:val="center"/>
          </w:tcPr>
          <w:p w14:paraId="015EB5D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vMerge w:val="continue"/>
            <w:tcBorders>
              <w:tl2br w:val="nil"/>
              <w:tr2bl w:val="nil"/>
            </w:tcBorders>
            <w:noWrap w:val="0"/>
            <w:vAlign w:val="center"/>
          </w:tcPr>
          <w:p w14:paraId="3FE5424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kern w:val="2"/>
                <w:sz w:val="21"/>
                <w:szCs w:val="21"/>
                <w:highlight w:val="none"/>
                <w:vertAlign w:val="subscript"/>
                <w:lang w:val="en-US" w:eastAsia="zh-CN" w:bidi="ar-SA"/>
                <w14:textFill>
                  <w14:solidFill>
                    <w14:schemeClr w14:val="tx1"/>
                  </w14:solidFill>
                </w14:textFill>
              </w:rPr>
            </w:pPr>
          </w:p>
        </w:tc>
        <w:tc>
          <w:tcPr>
            <w:tcW w:w="1656" w:type="pct"/>
            <w:tcBorders>
              <w:tl2br w:val="nil"/>
              <w:tr2bl w:val="nil"/>
            </w:tcBorders>
            <w:noWrap w:val="0"/>
            <w:vAlign w:val="center"/>
          </w:tcPr>
          <w:p w14:paraId="10D7A393">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1小时平均</w:t>
            </w:r>
          </w:p>
        </w:tc>
        <w:tc>
          <w:tcPr>
            <w:tcW w:w="1390" w:type="pct"/>
            <w:tcBorders>
              <w:tl2br w:val="nil"/>
              <w:tr2bl w:val="nil"/>
            </w:tcBorders>
            <w:noWrap w:val="0"/>
            <w:vAlign w:val="center"/>
          </w:tcPr>
          <w:p w14:paraId="78942070">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200</w:t>
            </w:r>
          </w:p>
        </w:tc>
      </w:tr>
      <w:tr w14:paraId="42BB82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 w:hRule="atLeast"/>
          <w:jc w:val="center"/>
        </w:trPr>
        <w:tc>
          <w:tcPr>
            <w:tcW w:w="731" w:type="pct"/>
            <w:vMerge w:val="restart"/>
            <w:tcBorders>
              <w:tl2br w:val="nil"/>
              <w:tr2bl w:val="nil"/>
            </w:tcBorders>
            <w:noWrap w:val="0"/>
            <w:vAlign w:val="center"/>
          </w:tcPr>
          <w:p w14:paraId="30CE2E14">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7</w:t>
            </w:r>
          </w:p>
        </w:tc>
        <w:tc>
          <w:tcPr>
            <w:tcW w:w="1221" w:type="pct"/>
            <w:vMerge w:val="restart"/>
            <w:tcBorders>
              <w:tl2br w:val="nil"/>
              <w:tr2bl w:val="nil"/>
            </w:tcBorders>
            <w:noWrap w:val="0"/>
            <w:vAlign w:val="center"/>
          </w:tcPr>
          <w:p w14:paraId="3573A43F">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TSP</w:t>
            </w:r>
          </w:p>
        </w:tc>
        <w:tc>
          <w:tcPr>
            <w:tcW w:w="3076" w:type="dxa"/>
            <w:tcBorders>
              <w:bottom w:val="single" w:color="auto" w:sz="4" w:space="0"/>
              <w:tl2br w:val="nil"/>
              <w:tr2bl w:val="nil"/>
            </w:tcBorders>
            <w:noWrap w:val="0"/>
            <w:vAlign w:val="center"/>
          </w:tcPr>
          <w:p w14:paraId="7FA56DA9">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24小时平均</w:t>
            </w:r>
          </w:p>
        </w:tc>
        <w:tc>
          <w:tcPr>
            <w:tcW w:w="1390" w:type="pct"/>
            <w:tcBorders>
              <w:bottom w:val="single" w:color="auto" w:sz="4" w:space="0"/>
              <w:tl2br w:val="nil"/>
              <w:tr2bl w:val="nil"/>
            </w:tcBorders>
            <w:noWrap w:val="0"/>
            <w:vAlign w:val="center"/>
          </w:tcPr>
          <w:p w14:paraId="793C1977">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300</w:t>
            </w:r>
          </w:p>
        </w:tc>
      </w:tr>
      <w:tr w14:paraId="07AF5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9" w:hRule="atLeast"/>
          <w:jc w:val="center"/>
        </w:trPr>
        <w:tc>
          <w:tcPr>
            <w:tcW w:w="731" w:type="pct"/>
            <w:vMerge w:val="continue"/>
            <w:tcBorders>
              <w:tl2br w:val="nil"/>
              <w:tr2bl w:val="nil"/>
            </w:tcBorders>
            <w:noWrap w:val="0"/>
            <w:vAlign w:val="center"/>
          </w:tcPr>
          <w:p w14:paraId="02B2BD3F">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p>
        </w:tc>
        <w:tc>
          <w:tcPr>
            <w:tcW w:w="1221" w:type="pct"/>
            <w:vMerge w:val="continue"/>
            <w:tcBorders>
              <w:tl2br w:val="nil"/>
              <w:tr2bl w:val="nil"/>
            </w:tcBorders>
            <w:noWrap w:val="0"/>
            <w:vAlign w:val="center"/>
          </w:tcPr>
          <w:p w14:paraId="44186550">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p>
        </w:tc>
        <w:tc>
          <w:tcPr>
            <w:tcW w:w="3076" w:type="dxa"/>
            <w:tcBorders>
              <w:top w:val="single" w:color="auto" w:sz="4" w:space="0"/>
              <w:tl2br w:val="nil"/>
              <w:tr2bl w:val="nil"/>
            </w:tcBorders>
            <w:noWrap w:val="0"/>
            <w:vAlign w:val="center"/>
          </w:tcPr>
          <w:p w14:paraId="0DAE08A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eastAsia="zh-CN"/>
                <w14:textFill>
                  <w14:solidFill>
                    <w14:schemeClr w14:val="tx1"/>
                  </w14:solidFill>
                </w14:textFill>
              </w:rPr>
              <w:t>年平均</w:t>
            </w:r>
          </w:p>
        </w:tc>
        <w:tc>
          <w:tcPr>
            <w:tcW w:w="1390" w:type="pct"/>
            <w:tcBorders>
              <w:top w:val="single" w:color="auto" w:sz="4" w:space="0"/>
              <w:tl2br w:val="nil"/>
              <w:tr2bl w:val="nil"/>
            </w:tcBorders>
            <w:noWrap w:val="0"/>
            <w:vAlign w:val="center"/>
          </w:tcPr>
          <w:p w14:paraId="46FCD27D">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lang w:val="en-US" w:eastAsia="zh-CN"/>
                <w14:textFill>
                  <w14:solidFill>
                    <w14:schemeClr w14:val="tx1"/>
                  </w14:solidFill>
                </w14:textFill>
              </w:rPr>
              <w:t>200</w:t>
            </w:r>
          </w:p>
        </w:tc>
      </w:tr>
    </w:tbl>
    <w:p w14:paraId="7CEB59EE">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color w:val="000000" w:themeColor="text1"/>
          <w:spacing w:val="-4"/>
          <w:sz w:val="24"/>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2</w:t>
      </w: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pacing w:val="-4"/>
          <w:sz w:val="24"/>
          <w:highlight w:val="none"/>
          <w:lang w:eastAsia="zh-CN"/>
          <w14:textFill>
            <w14:solidFill>
              <w14:schemeClr w14:val="tx1"/>
            </w14:solidFill>
          </w14:textFill>
        </w:rPr>
        <w:t>地下水环境</w:t>
      </w:r>
    </w:p>
    <w:p w14:paraId="55B1A4EB">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color w:val="000000" w:themeColor="text1"/>
          <w:spacing w:val="-4"/>
          <w:sz w:val="24"/>
          <w:highlight w:val="none"/>
          <w:lang w:eastAsia="zh-CN"/>
          <w14:textFill>
            <w14:solidFill>
              <w14:schemeClr w14:val="tx1"/>
            </w14:solidFill>
          </w14:textFill>
        </w:rPr>
      </w:pPr>
      <w:r>
        <w:rPr>
          <w:rFonts w:hint="default" w:ascii="Times New Roman" w:hAnsi="Times New Roman" w:cs="Times New Roman"/>
          <w:color w:val="000000" w:themeColor="text1"/>
          <w:spacing w:val="-4"/>
          <w:sz w:val="24"/>
          <w:highlight w:val="none"/>
          <w:lang w:eastAsia="zh-CN"/>
          <w14:textFill>
            <w14:solidFill>
              <w14:schemeClr w14:val="tx1"/>
            </w14:solidFill>
          </w14:textFill>
        </w:rPr>
        <w:t>评价区域内地下水质量执行《地下水质量标准》（GB/T14848-2017）III类标准，石油类参考执行《地表水环境质量标准》（GB3838-2002）中</w:t>
      </w:r>
      <w:r>
        <w:rPr>
          <w:rFonts w:hint="eastAsia" w:cs="Times New Roman"/>
          <w:color w:val="000000" w:themeColor="text1"/>
          <w:spacing w:val="-4"/>
          <w:sz w:val="24"/>
          <w:highlight w:val="none"/>
          <w:lang w:val="en-US" w:eastAsia="zh-CN"/>
          <w14:textFill>
            <w14:solidFill>
              <w14:schemeClr w14:val="tx1"/>
            </w14:solidFill>
          </w14:textFill>
        </w:rPr>
        <w:t>II</w:t>
      </w:r>
      <w:r>
        <w:rPr>
          <w:rFonts w:hint="default" w:ascii="Times New Roman" w:hAnsi="Times New Roman" w:cs="Times New Roman"/>
          <w:color w:val="000000" w:themeColor="text1"/>
          <w:spacing w:val="-4"/>
          <w:sz w:val="24"/>
          <w:highlight w:val="none"/>
          <w:lang w:eastAsia="zh-CN"/>
          <w14:textFill>
            <w14:solidFill>
              <w14:schemeClr w14:val="tx1"/>
            </w14:solidFill>
          </w14:textFill>
        </w:rPr>
        <w:t>类标准，具体标准值见</w:t>
      </w:r>
      <w:r>
        <w:rPr>
          <w:rFonts w:hint="eastAsia" w:cs="Times New Roman"/>
          <w:color w:val="000000" w:themeColor="text1"/>
          <w:spacing w:val="-4"/>
          <w:sz w:val="24"/>
          <w:highlight w:val="none"/>
          <w:lang w:eastAsia="zh-CN"/>
          <w14:textFill>
            <w14:solidFill>
              <w14:schemeClr w14:val="tx1"/>
            </w14:solidFill>
          </w14:textFill>
        </w:rPr>
        <w:t>表2.5-</w:t>
      </w:r>
      <w:r>
        <w:rPr>
          <w:rFonts w:hint="default" w:ascii="Times New Roman" w:hAnsi="Times New Roman" w:cs="Times New Roman"/>
          <w:color w:val="000000" w:themeColor="text1"/>
          <w:spacing w:val="-4"/>
          <w:sz w:val="24"/>
          <w:highlight w:val="none"/>
          <w:lang w:val="en-US" w:eastAsia="zh-CN"/>
          <w14:textFill>
            <w14:solidFill>
              <w14:schemeClr w14:val="tx1"/>
            </w14:solidFill>
          </w14:textFill>
        </w:rPr>
        <w:t>2</w:t>
      </w:r>
      <w:r>
        <w:rPr>
          <w:rFonts w:hint="default" w:ascii="Times New Roman" w:hAnsi="Times New Roman" w:cs="Times New Roman"/>
          <w:color w:val="000000" w:themeColor="text1"/>
          <w:spacing w:val="-4"/>
          <w:sz w:val="24"/>
          <w:highlight w:val="none"/>
          <w:lang w:eastAsia="zh-CN"/>
          <w14:textFill>
            <w14:solidFill>
              <w14:schemeClr w14:val="tx1"/>
            </w14:solidFill>
          </w14:textFill>
        </w:rPr>
        <w:t>。</w:t>
      </w:r>
    </w:p>
    <w:p w14:paraId="083697B7">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Style w:val="43"/>
          <w:rFonts w:hint="eastAsia" w:ascii="Times New Roman" w:hAnsi="Times New Roman" w:eastAsia="宋体" w:cs="Times New Roman"/>
          <w:color w:val="000000" w:themeColor="text1"/>
          <w:highlight w:val="none"/>
          <w:lang w:eastAsia="zh-CN"/>
          <w14:textFill>
            <w14:solidFill>
              <w14:schemeClr w14:val="tx1"/>
            </w14:solidFill>
          </w14:textFill>
        </w:rPr>
        <w:t>表2.5-</w:t>
      </w:r>
      <w:r>
        <w:rPr>
          <w:rStyle w:val="43"/>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地下水质量标准</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589"/>
        <w:gridCol w:w="1917"/>
        <w:gridCol w:w="884"/>
        <w:gridCol w:w="1583"/>
        <w:gridCol w:w="1584"/>
      </w:tblGrid>
      <w:tr w14:paraId="4B858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74E6313F">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1394" w:type="pct"/>
            <w:vAlign w:val="center"/>
          </w:tcPr>
          <w:p w14:paraId="3FA28F0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项目</w:t>
            </w:r>
          </w:p>
        </w:tc>
        <w:tc>
          <w:tcPr>
            <w:tcW w:w="1032" w:type="pct"/>
            <w:vAlign w:val="center"/>
          </w:tcPr>
          <w:p w14:paraId="3B5AE1E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标准值mg/L</w:t>
            </w:r>
          </w:p>
        </w:tc>
        <w:tc>
          <w:tcPr>
            <w:tcW w:w="476" w:type="pct"/>
            <w:vAlign w:val="center"/>
          </w:tcPr>
          <w:p w14:paraId="51A055AF">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852" w:type="pct"/>
            <w:vAlign w:val="center"/>
          </w:tcPr>
          <w:p w14:paraId="09FD7512">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项目</w:t>
            </w:r>
          </w:p>
        </w:tc>
        <w:tc>
          <w:tcPr>
            <w:tcW w:w="852" w:type="pct"/>
            <w:vAlign w:val="center"/>
          </w:tcPr>
          <w:p w14:paraId="61D8869D">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标准值mg/L</w:t>
            </w:r>
          </w:p>
        </w:tc>
      </w:tr>
      <w:tr w14:paraId="69E0A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1B2860B6">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394" w:type="pct"/>
            <w:vAlign w:val="center"/>
          </w:tcPr>
          <w:p w14:paraId="5863240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lang w:val="zh-CN"/>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pH</w:t>
            </w:r>
          </w:p>
        </w:tc>
        <w:tc>
          <w:tcPr>
            <w:tcW w:w="1032" w:type="pct"/>
            <w:vAlign w:val="center"/>
          </w:tcPr>
          <w:p w14:paraId="092B7686">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6.5</w:t>
            </w:r>
            <w:r>
              <w:rPr>
                <w:rFonts w:hint="default"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8.5</w:t>
            </w:r>
          </w:p>
        </w:tc>
        <w:tc>
          <w:tcPr>
            <w:tcW w:w="476" w:type="pct"/>
            <w:vAlign w:val="center"/>
          </w:tcPr>
          <w:p w14:paraId="2D7AA1A2">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13</w:t>
            </w:r>
          </w:p>
        </w:tc>
        <w:tc>
          <w:tcPr>
            <w:tcW w:w="852" w:type="pct"/>
            <w:vAlign w:val="center"/>
          </w:tcPr>
          <w:p w14:paraId="782DB81A">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铅</w:t>
            </w:r>
          </w:p>
        </w:tc>
        <w:tc>
          <w:tcPr>
            <w:tcW w:w="852" w:type="pct"/>
            <w:vAlign w:val="center"/>
          </w:tcPr>
          <w:p w14:paraId="1520657F">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≤0.01</w:t>
            </w:r>
          </w:p>
        </w:tc>
      </w:tr>
      <w:tr w14:paraId="18359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322A39AA">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394" w:type="pct"/>
            <w:vAlign w:val="center"/>
          </w:tcPr>
          <w:p w14:paraId="5957B49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总硬度</w:t>
            </w:r>
          </w:p>
        </w:tc>
        <w:tc>
          <w:tcPr>
            <w:tcW w:w="1032" w:type="pct"/>
            <w:vAlign w:val="center"/>
          </w:tcPr>
          <w:p w14:paraId="6AF483F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≤450</w:t>
            </w:r>
          </w:p>
        </w:tc>
        <w:tc>
          <w:tcPr>
            <w:tcW w:w="476" w:type="pct"/>
            <w:vAlign w:val="center"/>
          </w:tcPr>
          <w:p w14:paraId="4120E6D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w:t>
            </w:r>
          </w:p>
        </w:tc>
        <w:tc>
          <w:tcPr>
            <w:tcW w:w="852" w:type="pct"/>
            <w:vAlign w:val="center"/>
          </w:tcPr>
          <w:p w14:paraId="24899E0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镉</w:t>
            </w:r>
          </w:p>
        </w:tc>
        <w:tc>
          <w:tcPr>
            <w:tcW w:w="852" w:type="pct"/>
            <w:vAlign w:val="center"/>
          </w:tcPr>
          <w:p w14:paraId="56D5BFC0">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≤0.005</w:t>
            </w:r>
          </w:p>
        </w:tc>
      </w:tr>
      <w:tr w14:paraId="1B5B8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668EF2C3">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394" w:type="pct"/>
            <w:vAlign w:val="center"/>
          </w:tcPr>
          <w:p w14:paraId="15ADDD84">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耗氧量</w:t>
            </w:r>
          </w:p>
        </w:tc>
        <w:tc>
          <w:tcPr>
            <w:tcW w:w="1032" w:type="pct"/>
            <w:vAlign w:val="center"/>
          </w:tcPr>
          <w:p w14:paraId="5FD38AC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≤3.0</w:t>
            </w:r>
          </w:p>
        </w:tc>
        <w:tc>
          <w:tcPr>
            <w:tcW w:w="476" w:type="pct"/>
            <w:vAlign w:val="center"/>
          </w:tcPr>
          <w:p w14:paraId="390373F6">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c>
          <w:tcPr>
            <w:tcW w:w="852" w:type="pct"/>
            <w:vAlign w:val="center"/>
          </w:tcPr>
          <w:p w14:paraId="51A82B2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铬（六价）</w:t>
            </w:r>
          </w:p>
        </w:tc>
        <w:tc>
          <w:tcPr>
            <w:tcW w:w="852" w:type="pct"/>
            <w:vAlign w:val="center"/>
          </w:tcPr>
          <w:p w14:paraId="09732630">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≤0.05</w:t>
            </w:r>
          </w:p>
        </w:tc>
      </w:tr>
      <w:tr w14:paraId="29BD0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74094188">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394" w:type="pct"/>
            <w:vAlign w:val="center"/>
          </w:tcPr>
          <w:p w14:paraId="79A6ABFA">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挥发酚</w:t>
            </w:r>
          </w:p>
        </w:tc>
        <w:tc>
          <w:tcPr>
            <w:tcW w:w="1032" w:type="pct"/>
            <w:vAlign w:val="center"/>
          </w:tcPr>
          <w:p w14:paraId="616CCBF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≤0.002</w:t>
            </w:r>
          </w:p>
        </w:tc>
        <w:tc>
          <w:tcPr>
            <w:tcW w:w="476" w:type="pct"/>
            <w:vAlign w:val="center"/>
          </w:tcPr>
          <w:p w14:paraId="419AB3C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16</w:t>
            </w:r>
          </w:p>
        </w:tc>
        <w:tc>
          <w:tcPr>
            <w:tcW w:w="852" w:type="pct"/>
            <w:vAlign w:val="center"/>
          </w:tcPr>
          <w:p w14:paraId="7FF474C4">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汞</w:t>
            </w:r>
          </w:p>
        </w:tc>
        <w:tc>
          <w:tcPr>
            <w:tcW w:w="852" w:type="pct"/>
            <w:vAlign w:val="center"/>
          </w:tcPr>
          <w:p w14:paraId="376CB81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≤0.001</w:t>
            </w:r>
          </w:p>
        </w:tc>
      </w:tr>
      <w:tr w14:paraId="129BF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7BCFE59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394" w:type="pct"/>
            <w:vAlign w:val="center"/>
          </w:tcPr>
          <w:p w14:paraId="547C75C2">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氟化物</w:t>
            </w:r>
          </w:p>
        </w:tc>
        <w:tc>
          <w:tcPr>
            <w:tcW w:w="1032" w:type="pct"/>
            <w:vAlign w:val="center"/>
          </w:tcPr>
          <w:p w14:paraId="670D6708">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≤1.0</w:t>
            </w:r>
          </w:p>
        </w:tc>
        <w:tc>
          <w:tcPr>
            <w:tcW w:w="476" w:type="pct"/>
            <w:vAlign w:val="center"/>
          </w:tcPr>
          <w:p w14:paraId="1E649B33">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17</w:t>
            </w:r>
          </w:p>
        </w:tc>
        <w:tc>
          <w:tcPr>
            <w:tcW w:w="852" w:type="pct"/>
            <w:vAlign w:val="center"/>
          </w:tcPr>
          <w:p w14:paraId="75C48D45">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砷</w:t>
            </w:r>
          </w:p>
        </w:tc>
        <w:tc>
          <w:tcPr>
            <w:tcW w:w="852" w:type="pct"/>
            <w:vAlign w:val="center"/>
          </w:tcPr>
          <w:p w14:paraId="206E92F1">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≤0.01</w:t>
            </w:r>
          </w:p>
        </w:tc>
      </w:tr>
      <w:tr w14:paraId="5A4F6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3ED7C0E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394" w:type="pct"/>
            <w:vAlign w:val="center"/>
          </w:tcPr>
          <w:p w14:paraId="5948AD8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硝酸盐（以N计）</w:t>
            </w:r>
          </w:p>
        </w:tc>
        <w:tc>
          <w:tcPr>
            <w:tcW w:w="1032" w:type="pct"/>
            <w:vAlign w:val="center"/>
          </w:tcPr>
          <w:p w14:paraId="6609F32A">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≤20.0</w:t>
            </w:r>
          </w:p>
        </w:tc>
        <w:tc>
          <w:tcPr>
            <w:tcW w:w="476" w:type="pct"/>
            <w:vAlign w:val="center"/>
          </w:tcPr>
          <w:p w14:paraId="7B1AB2C0">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w:t>
            </w:r>
          </w:p>
        </w:tc>
        <w:tc>
          <w:tcPr>
            <w:tcW w:w="852" w:type="pct"/>
            <w:vAlign w:val="center"/>
          </w:tcPr>
          <w:p w14:paraId="7B97929F">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氰化物</w:t>
            </w:r>
          </w:p>
        </w:tc>
        <w:tc>
          <w:tcPr>
            <w:tcW w:w="852" w:type="pct"/>
            <w:vAlign w:val="center"/>
          </w:tcPr>
          <w:p w14:paraId="7C98704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≤0.05</w:t>
            </w:r>
          </w:p>
        </w:tc>
      </w:tr>
      <w:tr w14:paraId="040AD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2DBCD830">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1394" w:type="pct"/>
            <w:vAlign w:val="center"/>
          </w:tcPr>
          <w:p w14:paraId="2385B0C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亚硝酸盐（以N计）</w:t>
            </w:r>
          </w:p>
        </w:tc>
        <w:tc>
          <w:tcPr>
            <w:tcW w:w="1032" w:type="pct"/>
            <w:vAlign w:val="center"/>
          </w:tcPr>
          <w:p w14:paraId="5699761F">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≤1.00</w:t>
            </w:r>
          </w:p>
        </w:tc>
        <w:tc>
          <w:tcPr>
            <w:tcW w:w="476" w:type="pct"/>
            <w:vAlign w:val="center"/>
          </w:tcPr>
          <w:p w14:paraId="6DE69C7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19</w:t>
            </w:r>
          </w:p>
        </w:tc>
        <w:tc>
          <w:tcPr>
            <w:tcW w:w="852" w:type="pct"/>
            <w:vAlign w:val="center"/>
          </w:tcPr>
          <w:p w14:paraId="71A50FD0">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铁</w:t>
            </w:r>
          </w:p>
        </w:tc>
        <w:tc>
          <w:tcPr>
            <w:tcW w:w="852" w:type="pct"/>
            <w:vAlign w:val="center"/>
          </w:tcPr>
          <w:p w14:paraId="4067FCD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≤0.3</w:t>
            </w:r>
          </w:p>
        </w:tc>
      </w:tr>
      <w:tr w14:paraId="61FD3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3748726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394" w:type="pct"/>
            <w:vAlign w:val="center"/>
          </w:tcPr>
          <w:p w14:paraId="78DD3FF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氨氮</w:t>
            </w:r>
          </w:p>
        </w:tc>
        <w:tc>
          <w:tcPr>
            <w:tcW w:w="1032" w:type="pct"/>
            <w:vAlign w:val="center"/>
          </w:tcPr>
          <w:p w14:paraId="7D5A110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≤0.50</w:t>
            </w:r>
          </w:p>
        </w:tc>
        <w:tc>
          <w:tcPr>
            <w:tcW w:w="476" w:type="pct"/>
            <w:vAlign w:val="center"/>
          </w:tcPr>
          <w:p w14:paraId="5E47D00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c>
          <w:tcPr>
            <w:tcW w:w="852" w:type="pct"/>
            <w:vAlign w:val="center"/>
          </w:tcPr>
          <w:p w14:paraId="48718ACF">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锰</w:t>
            </w:r>
          </w:p>
        </w:tc>
        <w:tc>
          <w:tcPr>
            <w:tcW w:w="852" w:type="pct"/>
            <w:vAlign w:val="center"/>
          </w:tcPr>
          <w:p w14:paraId="69A335F8">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≤0.10</w:t>
            </w:r>
          </w:p>
        </w:tc>
      </w:tr>
      <w:tr w14:paraId="6C5D6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2F63DB5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1394" w:type="pct"/>
            <w:vAlign w:val="center"/>
          </w:tcPr>
          <w:p w14:paraId="63BE582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石油类</w:t>
            </w:r>
          </w:p>
        </w:tc>
        <w:tc>
          <w:tcPr>
            <w:tcW w:w="1032" w:type="pct"/>
            <w:vAlign w:val="center"/>
          </w:tcPr>
          <w:p w14:paraId="3C6B58BB">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≤0.05（I</w:t>
            </w:r>
            <w:r>
              <w:rPr>
                <w:rFonts w:hint="default" w:ascii="Times New Roman" w:hAnsi="Times New Roman" w:cs="Times New Roman"/>
                <w:bCs/>
                <w:color w:val="000000" w:themeColor="text1"/>
                <w:highlight w:val="none"/>
                <w:lang w:val="en-US" w:eastAsia="zh-CN"/>
                <w14:textFill>
                  <w14:solidFill>
                    <w14:schemeClr w14:val="tx1"/>
                  </w14:solidFill>
                </w14:textFill>
              </w:rPr>
              <w:t>I</w:t>
            </w:r>
            <w:r>
              <w:rPr>
                <w:rFonts w:hint="default" w:ascii="Times New Roman" w:hAnsi="Times New Roman" w:cs="Times New Roman"/>
                <w:bCs/>
                <w:color w:val="000000" w:themeColor="text1"/>
                <w:highlight w:val="none"/>
                <w14:textFill>
                  <w14:solidFill>
                    <w14:schemeClr w14:val="tx1"/>
                  </w14:solidFill>
                </w14:textFill>
              </w:rPr>
              <w:t>类标准）</w:t>
            </w:r>
          </w:p>
        </w:tc>
        <w:tc>
          <w:tcPr>
            <w:tcW w:w="476" w:type="pct"/>
            <w:vAlign w:val="center"/>
          </w:tcPr>
          <w:p w14:paraId="0F8F861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w:t>
            </w:r>
          </w:p>
        </w:tc>
        <w:tc>
          <w:tcPr>
            <w:tcW w:w="852" w:type="pct"/>
            <w:vAlign w:val="center"/>
          </w:tcPr>
          <w:p w14:paraId="67B50309">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溶解性总固体</w:t>
            </w:r>
          </w:p>
        </w:tc>
        <w:tc>
          <w:tcPr>
            <w:tcW w:w="852" w:type="pct"/>
            <w:vAlign w:val="center"/>
          </w:tcPr>
          <w:p w14:paraId="1C10661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≤1000</w:t>
            </w:r>
          </w:p>
        </w:tc>
      </w:tr>
      <w:tr w14:paraId="0E71E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620E2E75">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394" w:type="pct"/>
            <w:vAlign w:val="center"/>
          </w:tcPr>
          <w:p w14:paraId="61978DD2">
            <w:pPr>
              <w:pStyle w:val="39"/>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菌落总数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CF</w:t>
            </w:r>
            <w:r>
              <w:rPr>
                <w:rFonts w:hint="default" w:ascii="Times New Roman" w:hAnsi="Times New Roman" w:cs="Times New Roman"/>
                <w:color w:val="000000" w:themeColor="text1"/>
                <w:spacing w:val="-1"/>
                <w:highlight w:val="none"/>
                <w14:textFill>
                  <w14:solidFill>
                    <w14:schemeClr w14:val="tx1"/>
                  </w14:solidFill>
                </w14:textFill>
              </w:rPr>
              <w:t>U</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spacing w:val="-5"/>
                <w:highlight w:val="none"/>
                <w14:textFill>
                  <w14:solidFill>
                    <w14:schemeClr w14:val="tx1"/>
                  </w14:solidFill>
                </w14:textFill>
              </w:rPr>
              <w:t>m</w:t>
            </w: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bCs/>
                <w:color w:val="000000" w:themeColor="text1"/>
                <w:highlight w:val="none"/>
                <w14:textFill>
                  <w14:solidFill>
                    <w14:schemeClr w14:val="tx1"/>
                  </w14:solidFill>
                </w14:textFill>
              </w:rPr>
              <w:t>）</w:t>
            </w:r>
          </w:p>
        </w:tc>
        <w:tc>
          <w:tcPr>
            <w:tcW w:w="1032" w:type="pct"/>
            <w:vAlign w:val="center"/>
          </w:tcPr>
          <w:p w14:paraId="152E9FDC">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≤100</w:t>
            </w:r>
          </w:p>
        </w:tc>
        <w:tc>
          <w:tcPr>
            <w:tcW w:w="476" w:type="pct"/>
            <w:vAlign w:val="center"/>
          </w:tcPr>
          <w:p w14:paraId="454C4F6D">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22</w:t>
            </w:r>
          </w:p>
        </w:tc>
        <w:tc>
          <w:tcPr>
            <w:tcW w:w="852" w:type="pct"/>
            <w:vAlign w:val="center"/>
          </w:tcPr>
          <w:p w14:paraId="0732BF4A">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氯化物</w:t>
            </w:r>
          </w:p>
        </w:tc>
        <w:tc>
          <w:tcPr>
            <w:tcW w:w="852" w:type="pct"/>
            <w:vAlign w:val="center"/>
          </w:tcPr>
          <w:p w14:paraId="5F814E83">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≤250</w:t>
            </w:r>
          </w:p>
        </w:tc>
      </w:tr>
      <w:tr w14:paraId="02CB9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42DFF104">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w:t>
            </w:r>
          </w:p>
        </w:tc>
        <w:tc>
          <w:tcPr>
            <w:tcW w:w="1394" w:type="pct"/>
            <w:vAlign w:val="center"/>
          </w:tcPr>
          <w:p w14:paraId="7B8ACDE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总大肠菌群</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Times New Roman" w:cs="Times New Roman"/>
                <w:color w:val="000000" w:themeColor="text1"/>
                <w:sz w:val="18"/>
                <w:szCs w:val="18"/>
                <w:highlight w:val="none"/>
                <w14:textFill>
                  <w14:solidFill>
                    <w14:schemeClr w14:val="tx1"/>
                  </w14:solidFill>
                </w14:textFill>
              </w:rPr>
              <w:t>MP</w:t>
            </w:r>
            <w:r>
              <w:rPr>
                <w:rFonts w:hint="default" w:ascii="Times New Roman" w:hAnsi="Times New Roman" w:eastAsia="Times New Roman" w:cs="Times New Roman"/>
                <w:color w:val="000000" w:themeColor="text1"/>
                <w:spacing w:val="-1"/>
                <w:sz w:val="18"/>
                <w:szCs w:val="18"/>
                <w:highlight w:val="none"/>
                <w14:textFill>
                  <w14:solidFill>
                    <w14:schemeClr w14:val="tx1"/>
                  </w14:solidFill>
                </w14:textFill>
              </w:rPr>
              <w:t>N</w:t>
            </w:r>
            <w:r>
              <w:rPr>
                <w:rFonts w:hint="default" w:ascii="Times New Roman" w:hAnsi="Times New Roman" w:eastAsia="Times New Roman" w:cs="Times New Roman"/>
                <w:color w:val="000000" w:themeColor="text1"/>
                <w:sz w:val="18"/>
                <w:szCs w:val="18"/>
                <w:highlight w:val="none"/>
                <w14:textFill>
                  <w14:solidFill>
                    <w14:schemeClr w14:val="tx1"/>
                  </w14:solidFill>
                </w14:textFill>
              </w:rPr>
              <w:t>/</w:t>
            </w:r>
            <w:r>
              <w:rPr>
                <w:rFonts w:hint="default" w:ascii="Times New Roman" w:hAnsi="Times New Roman" w:eastAsia="Times New Roman" w:cs="Times New Roman"/>
                <w:color w:val="000000" w:themeColor="text1"/>
                <w:spacing w:val="-2"/>
                <w:sz w:val="18"/>
                <w:szCs w:val="18"/>
                <w:highlight w:val="none"/>
                <w14:textFill>
                  <w14:solidFill>
                    <w14:schemeClr w14:val="tx1"/>
                  </w14:solidFill>
                </w14:textFill>
              </w:rPr>
              <w:t>1</w:t>
            </w:r>
            <w:r>
              <w:rPr>
                <w:rFonts w:hint="default" w:ascii="Times New Roman" w:hAnsi="Times New Roman" w:eastAsia="Times New Roman" w:cs="Times New Roman"/>
                <w:color w:val="000000" w:themeColor="text1"/>
                <w:spacing w:val="1"/>
                <w:sz w:val="18"/>
                <w:szCs w:val="18"/>
                <w:highlight w:val="none"/>
                <w14:textFill>
                  <w14:solidFill>
                    <w14:schemeClr w14:val="tx1"/>
                  </w14:solidFill>
                </w14:textFill>
              </w:rPr>
              <w:t>0</w:t>
            </w:r>
            <w:r>
              <w:rPr>
                <w:rFonts w:hint="default" w:ascii="Times New Roman" w:hAnsi="Times New Roman" w:eastAsia="Times New Roman" w:cs="Times New Roman"/>
                <w:color w:val="000000" w:themeColor="text1"/>
                <w:spacing w:val="-2"/>
                <w:sz w:val="18"/>
                <w:szCs w:val="18"/>
                <w:highlight w:val="none"/>
                <w14:textFill>
                  <w14:solidFill>
                    <w14:schemeClr w14:val="tx1"/>
                  </w14:solidFill>
                </w14:textFill>
              </w:rPr>
              <w:t>0</w:t>
            </w:r>
            <w:r>
              <w:rPr>
                <w:rFonts w:hint="default" w:ascii="Times New Roman" w:hAnsi="Times New Roman" w:eastAsia="Times New Roman" w:cs="Times New Roman"/>
                <w:color w:val="000000" w:themeColor="text1"/>
                <w:spacing w:val="-1"/>
                <w:sz w:val="18"/>
                <w:szCs w:val="18"/>
                <w:highlight w:val="none"/>
                <w14:textFill>
                  <w14:solidFill>
                    <w14:schemeClr w14:val="tx1"/>
                  </w14:solidFill>
                </w14:textFill>
              </w:rPr>
              <w:t>m</w:t>
            </w:r>
            <w:r>
              <w:rPr>
                <w:rFonts w:hint="default" w:ascii="Times New Roman" w:hAnsi="Times New Roman" w:eastAsia="Times New Roman" w:cs="Times New Roman"/>
                <w:color w:val="000000" w:themeColor="text1"/>
                <w:sz w:val="18"/>
                <w:szCs w:val="18"/>
                <w:highlight w:val="none"/>
                <w14:textFill>
                  <w14:solidFill>
                    <w14:schemeClr w14:val="tx1"/>
                  </w14:solidFill>
                </w14:textFill>
              </w:rPr>
              <w:t>l</w:t>
            </w:r>
            <w:r>
              <w:rPr>
                <w:rFonts w:hint="default" w:ascii="Times New Roman" w:hAnsi="Times New Roman" w:cs="Times New Roman"/>
                <w:bCs/>
                <w:color w:val="000000" w:themeColor="text1"/>
                <w:highlight w:val="none"/>
                <w14:textFill>
                  <w14:solidFill>
                    <w14:schemeClr w14:val="tx1"/>
                  </w14:solidFill>
                </w14:textFill>
              </w:rPr>
              <w:t>）</w:t>
            </w:r>
          </w:p>
        </w:tc>
        <w:tc>
          <w:tcPr>
            <w:tcW w:w="1032" w:type="pct"/>
            <w:vAlign w:val="center"/>
          </w:tcPr>
          <w:p w14:paraId="4EF3B315">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≤3.0</w:t>
            </w:r>
          </w:p>
        </w:tc>
        <w:tc>
          <w:tcPr>
            <w:tcW w:w="476" w:type="pct"/>
            <w:vAlign w:val="center"/>
          </w:tcPr>
          <w:p w14:paraId="66C5C2C3">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23</w:t>
            </w:r>
          </w:p>
        </w:tc>
        <w:tc>
          <w:tcPr>
            <w:tcW w:w="852" w:type="pct"/>
            <w:vAlign w:val="center"/>
          </w:tcPr>
          <w:p w14:paraId="5149D493">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钠</w:t>
            </w:r>
          </w:p>
        </w:tc>
        <w:tc>
          <w:tcPr>
            <w:tcW w:w="852" w:type="pct"/>
            <w:vAlign w:val="center"/>
          </w:tcPr>
          <w:p w14:paraId="05298848">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≤2</w:t>
            </w:r>
            <w:r>
              <w:rPr>
                <w:rFonts w:hint="default" w:ascii="Times New Roman" w:hAnsi="Times New Roman" w:cs="Times New Roman"/>
                <w:bCs/>
                <w:color w:val="000000" w:themeColor="text1"/>
                <w:highlight w:val="none"/>
                <w:lang w:val="en-US" w:eastAsia="zh-CN"/>
                <w14:textFill>
                  <w14:solidFill>
                    <w14:schemeClr w14:val="tx1"/>
                  </w14:solidFill>
                </w14:textFill>
              </w:rPr>
              <w:t>0</w:t>
            </w:r>
            <w:r>
              <w:rPr>
                <w:rFonts w:hint="default" w:ascii="Times New Roman" w:hAnsi="Times New Roman" w:cs="Times New Roman"/>
                <w:bCs/>
                <w:color w:val="000000" w:themeColor="text1"/>
                <w:highlight w:val="none"/>
                <w14:textFill>
                  <w14:solidFill>
                    <w14:schemeClr w14:val="tx1"/>
                  </w14:solidFill>
                </w14:textFill>
              </w:rPr>
              <w:t>0</w:t>
            </w:r>
          </w:p>
        </w:tc>
      </w:tr>
      <w:tr w14:paraId="4979B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0" w:type="pct"/>
            <w:vAlign w:val="center"/>
          </w:tcPr>
          <w:p w14:paraId="02569963">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w:t>
            </w:r>
          </w:p>
        </w:tc>
        <w:tc>
          <w:tcPr>
            <w:tcW w:w="1394" w:type="pct"/>
            <w:vAlign w:val="center"/>
          </w:tcPr>
          <w:p w14:paraId="27ABBC7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硫酸盐</w:t>
            </w:r>
          </w:p>
        </w:tc>
        <w:tc>
          <w:tcPr>
            <w:tcW w:w="1032" w:type="pct"/>
            <w:vAlign w:val="center"/>
          </w:tcPr>
          <w:p w14:paraId="440E33B0">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kern w:val="2"/>
                <w:sz w:val="21"/>
                <w:szCs w:val="21"/>
                <w:highlight w:val="none"/>
                <w:lang w:val="en-GB" w:eastAsia="zh-CN" w:bidi="ar-SA"/>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≤250</w:t>
            </w:r>
          </w:p>
        </w:tc>
        <w:tc>
          <w:tcPr>
            <w:tcW w:w="476" w:type="pct"/>
            <w:vAlign w:val="center"/>
          </w:tcPr>
          <w:p w14:paraId="2AD9D22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852" w:type="pct"/>
            <w:vAlign w:val="center"/>
          </w:tcPr>
          <w:p w14:paraId="361F472E">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w:t>
            </w:r>
          </w:p>
        </w:tc>
        <w:tc>
          <w:tcPr>
            <w:tcW w:w="852" w:type="pct"/>
            <w:vAlign w:val="center"/>
          </w:tcPr>
          <w:p w14:paraId="448172F7">
            <w:pPr>
              <w:pStyle w:val="46"/>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cs="Times New Roman"/>
                <w:bCs/>
                <w:color w:val="000000" w:themeColor="text1"/>
                <w:highlight w:val="none"/>
                <w:lang w:val="en-US" w:eastAsia="zh-CN"/>
                <w14:textFill>
                  <w14:solidFill>
                    <w14:schemeClr w14:val="tx1"/>
                  </w14:solidFill>
                </w14:textFill>
              </w:rPr>
              <w:t>/</w:t>
            </w:r>
          </w:p>
        </w:tc>
      </w:tr>
    </w:tbl>
    <w:p w14:paraId="3C7687B3">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3</w:t>
      </w:r>
      <w:r>
        <w:rPr>
          <w:rFonts w:hint="default" w:ascii="Times New Roman" w:hAnsi="Times New Roman" w:cs="Times New Roman"/>
          <w:snapToGrid w:val="0"/>
          <w:color w:val="000000" w:themeColor="text1"/>
          <w:highlight w:val="none"/>
          <w:lang w:eastAsia="zh-CN"/>
          <w14:textFill>
            <w14:solidFill>
              <w14:schemeClr w14:val="tx1"/>
            </w14:solidFill>
          </w14:textFill>
        </w:rPr>
        <w:t>）声环境</w:t>
      </w:r>
    </w:p>
    <w:p w14:paraId="627B28B5">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color w:val="000000" w:themeColor="text1"/>
          <w:spacing w:val="-4"/>
          <w:sz w:val="24"/>
          <w:highlight w:val="none"/>
          <w:lang w:eastAsia="zh-CN"/>
          <w14:textFill>
            <w14:solidFill>
              <w14:schemeClr w14:val="tx1"/>
            </w14:solidFill>
          </w14:textFill>
        </w:rPr>
      </w:pPr>
      <w:r>
        <w:rPr>
          <w:rFonts w:hint="default" w:ascii="Times New Roman" w:hAnsi="Times New Roman" w:cs="Times New Roman"/>
          <w:color w:val="000000" w:themeColor="text1"/>
          <w:spacing w:val="-4"/>
          <w:sz w:val="24"/>
          <w:highlight w:val="none"/>
          <w:lang w:eastAsia="zh-CN"/>
          <w14:textFill>
            <w14:solidFill>
              <w14:schemeClr w14:val="tx1"/>
            </w14:solidFill>
          </w14:textFill>
        </w:rPr>
        <w:t>本项目评价区域执行《声环境质量标准》（GB3096-2008）2类标准，附近村屯执行《声环境质量标准》（GB3096-2008）</w:t>
      </w:r>
      <w:r>
        <w:rPr>
          <w:rFonts w:hint="default" w:ascii="Times New Roman" w:hAnsi="Times New Roman" w:cs="Times New Roman"/>
          <w:color w:val="000000" w:themeColor="text1"/>
          <w:spacing w:val="-4"/>
          <w:sz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4"/>
          <w:sz w:val="24"/>
          <w:highlight w:val="none"/>
          <w:lang w:eastAsia="zh-CN"/>
          <w14:textFill>
            <w14:solidFill>
              <w14:schemeClr w14:val="tx1"/>
            </w14:solidFill>
          </w14:textFill>
        </w:rPr>
        <w:t>类标准，具体标准值见</w:t>
      </w:r>
      <w:r>
        <w:rPr>
          <w:rFonts w:hint="eastAsia" w:cs="Times New Roman"/>
          <w:color w:val="000000" w:themeColor="text1"/>
          <w:spacing w:val="-4"/>
          <w:sz w:val="24"/>
          <w:highlight w:val="none"/>
          <w:lang w:eastAsia="zh-CN"/>
          <w14:textFill>
            <w14:solidFill>
              <w14:schemeClr w14:val="tx1"/>
            </w14:solidFill>
          </w14:textFill>
        </w:rPr>
        <w:t>表2.5-</w:t>
      </w:r>
      <w:r>
        <w:rPr>
          <w:rFonts w:hint="default" w:ascii="Times New Roman" w:hAnsi="Times New Roman" w:cs="Times New Roman"/>
          <w:color w:val="000000" w:themeColor="text1"/>
          <w:spacing w:val="-4"/>
          <w:sz w:val="24"/>
          <w:highlight w:val="none"/>
          <w:lang w:val="en-US" w:eastAsia="zh-CN"/>
          <w14:textFill>
            <w14:solidFill>
              <w14:schemeClr w14:val="tx1"/>
            </w14:solidFill>
          </w14:textFill>
        </w:rPr>
        <w:t>3。</w:t>
      </w:r>
    </w:p>
    <w:p w14:paraId="06E99F5D">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pPr>
      <w:r>
        <w:rPr>
          <w:rStyle w:val="43"/>
          <w:rFonts w:hint="eastAsia" w:ascii="Times New Roman" w:hAnsi="Times New Roman" w:eastAsia="宋体" w:cs="Times New Roman"/>
          <w:color w:val="000000" w:themeColor="text1"/>
          <w:highlight w:val="none"/>
          <w:lang w:eastAsia="zh-CN"/>
          <w14:textFill>
            <w14:solidFill>
              <w14:schemeClr w14:val="tx1"/>
            </w14:solidFill>
          </w14:textFill>
        </w:rPr>
        <w:t>表2.5-</w:t>
      </w:r>
      <w:r>
        <w:rPr>
          <w:rStyle w:val="43"/>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声环境质量标准</w:t>
      </w: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单位：</w:t>
      </w: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dB（A）</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2344"/>
        <w:gridCol w:w="2346"/>
      </w:tblGrid>
      <w:tr w14:paraId="24AE0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74" w:type="pct"/>
            <w:vAlign w:val="center"/>
          </w:tcPr>
          <w:p w14:paraId="2FD901B7">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声环境功能区类别</w:t>
            </w:r>
          </w:p>
        </w:tc>
        <w:tc>
          <w:tcPr>
            <w:tcW w:w="1262" w:type="pct"/>
            <w:vAlign w:val="center"/>
          </w:tcPr>
          <w:p w14:paraId="7782F4C5">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昼间</w:t>
            </w:r>
          </w:p>
        </w:tc>
        <w:tc>
          <w:tcPr>
            <w:tcW w:w="1263" w:type="pct"/>
            <w:vAlign w:val="center"/>
          </w:tcPr>
          <w:p w14:paraId="369AA83A">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夜间</w:t>
            </w:r>
          </w:p>
        </w:tc>
      </w:tr>
      <w:tr w14:paraId="06C6D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74" w:type="pct"/>
            <w:vAlign w:val="center"/>
          </w:tcPr>
          <w:p w14:paraId="7F9228CB">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1类</w:t>
            </w:r>
          </w:p>
        </w:tc>
        <w:tc>
          <w:tcPr>
            <w:tcW w:w="1262" w:type="pct"/>
            <w:vAlign w:val="center"/>
          </w:tcPr>
          <w:p w14:paraId="50A59E4C">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55</w:t>
            </w:r>
          </w:p>
        </w:tc>
        <w:tc>
          <w:tcPr>
            <w:tcW w:w="1263" w:type="pct"/>
            <w:vAlign w:val="center"/>
          </w:tcPr>
          <w:p w14:paraId="6D38530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45</w:t>
            </w:r>
          </w:p>
        </w:tc>
      </w:tr>
      <w:tr w14:paraId="4F270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74" w:type="pct"/>
            <w:vAlign w:val="center"/>
          </w:tcPr>
          <w:p w14:paraId="462F333A">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2类</w:t>
            </w:r>
          </w:p>
        </w:tc>
        <w:tc>
          <w:tcPr>
            <w:tcW w:w="1262" w:type="pct"/>
            <w:vAlign w:val="center"/>
          </w:tcPr>
          <w:p w14:paraId="6F9CD0D9">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60</w:t>
            </w:r>
          </w:p>
        </w:tc>
        <w:tc>
          <w:tcPr>
            <w:tcW w:w="1263" w:type="pct"/>
            <w:vAlign w:val="center"/>
          </w:tcPr>
          <w:p w14:paraId="3D1500BD">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50</w:t>
            </w:r>
          </w:p>
        </w:tc>
      </w:tr>
    </w:tbl>
    <w:p w14:paraId="6B5DD165">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4</w:t>
      </w:r>
      <w:r>
        <w:rPr>
          <w:rFonts w:hint="default" w:ascii="Times New Roman" w:hAnsi="Times New Roman" w:cs="Times New Roman"/>
          <w:snapToGrid w:val="0"/>
          <w:color w:val="000000" w:themeColor="text1"/>
          <w:highlight w:val="none"/>
          <w:lang w:eastAsia="zh-CN"/>
          <w14:textFill>
            <w14:solidFill>
              <w14:schemeClr w14:val="tx1"/>
            </w14:solidFill>
          </w14:textFill>
        </w:rPr>
        <w:t>）土壤环境</w:t>
      </w:r>
    </w:p>
    <w:p w14:paraId="3A99108A">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建设用地</w:t>
      </w:r>
      <w:r>
        <w:rPr>
          <w:rFonts w:hint="default" w:ascii="Times New Roman" w:hAnsi="Times New Roman" w:eastAsia="宋体" w:cs="Times New Roman"/>
          <w:color w:val="000000" w:themeColor="text1"/>
          <w:sz w:val="24"/>
          <w:szCs w:val="24"/>
          <w:highlight w:val="none"/>
          <w14:textFill>
            <w14:solidFill>
              <w14:schemeClr w14:val="tx1"/>
            </w14:solidFill>
          </w14:textFill>
        </w:rPr>
        <w:t>执行《土壤环境质量建设用地土壤污染风险管控标准（试行）》（GB36600-2018）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eastAsia" w:eastAsia="宋体" w:cs="Times New Roman"/>
          <w:color w:val="000000" w:themeColor="text1"/>
          <w:sz w:val="24"/>
          <w:szCs w:val="24"/>
          <w:highlight w:val="none"/>
          <w:lang w:eastAsia="zh-CN"/>
          <w14:textFill>
            <w14:solidFill>
              <w14:schemeClr w14:val="tx1"/>
            </w14:solidFill>
          </w14:textFill>
        </w:rPr>
        <w:t>表2.5-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4，农用地执行</w:t>
      </w:r>
      <w:r>
        <w:rPr>
          <w:rFonts w:hint="default" w:ascii="Times New Roman" w:hAnsi="Times New Roman" w:eastAsia="宋体" w:cs="Times New Roman"/>
          <w:color w:val="000000" w:themeColor="text1"/>
          <w:sz w:val="24"/>
          <w:szCs w:val="24"/>
          <w:highlight w:val="none"/>
          <w14:textFill>
            <w14:solidFill>
              <w14:schemeClr w14:val="tx1"/>
            </w14:solidFill>
          </w14:textFill>
        </w:rPr>
        <w:t>《土壤环境质量农用地土壤污染风险管控标准（试行）》（GB15618-2018）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1农用地土壤污染风险筛选值，见</w:t>
      </w:r>
      <w:r>
        <w:rPr>
          <w:rFonts w:hint="eastAsia" w:eastAsia="宋体" w:cs="Times New Roman"/>
          <w:color w:val="000000" w:themeColor="text1"/>
          <w:sz w:val="24"/>
          <w:szCs w:val="24"/>
          <w:highlight w:val="none"/>
          <w:lang w:val="en-US" w:eastAsia="zh-CN"/>
          <w14:textFill>
            <w14:solidFill>
              <w14:schemeClr w14:val="tx1"/>
            </w14:solidFill>
          </w14:textFill>
        </w:rPr>
        <w:t>表2.5-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p>
    <w:p w14:paraId="1FC214B5">
      <w:pPr>
        <w:keepNext w:val="0"/>
        <w:keepLines w:val="0"/>
        <w:pageBreakBefore w:val="0"/>
        <w:widowControl w:val="0"/>
        <w:kinsoku/>
        <w:wordWrap/>
        <w:topLinePunct w:val="0"/>
        <w:bidi w:val="0"/>
        <w:spacing w:after="0"/>
        <w:jc w:val="center"/>
        <w:rPr>
          <w:rStyle w:val="43"/>
          <w:rFonts w:hint="default" w:ascii="Times New Roman" w:hAnsi="Times New Roman" w:eastAsia="宋体" w:cs="Times New Roman"/>
          <w:color w:val="000000" w:themeColor="text1"/>
          <w:highlight w:val="none"/>
          <w:lang w:eastAsia="zh-CN"/>
          <w14:textFill>
            <w14:solidFill>
              <w14:schemeClr w14:val="tx1"/>
            </w14:solidFill>
          </w14:textFill>
        </w:rPr>
      </w:pPr>
      <w:r>
        <w:rPr>
          <w:rStyle w:val="43"/>
          <w:rFonts w:hint="eastAsia" w:ascii="Times New Roman" w:hAnsi="Times New Roman" w:eastAsia="宋体" w:cs="Times New Roman"/>
          <w:color w:val="000000" w:themeColor="text1"/>
          <w:highlight w:val="none"/>
          <w:lang w:eastAsia="zh-CN"/>
          <w14:textFill>
            <w14:solidFill>
              <w14:schemeClr w14:val="tx1"/>
            </w14:solidFill>
          </w14:textFill>
        </w:rPr>
        <w:t>表2.5-</w:t>
      </w:r>
      <w:r>
        <w:rPr>
          <w:rStyle w:val="43"/>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Style w:val="43"/>
          <w:rFonts w:hint="default" w:ascii="Times New Roman" w:hAnsi="Times New Roman" w:eastAsia="宋体" w:cs="Times New Roman"/>
          <w:color w:val="000000" w:themeColor="text1"/>
          <w:highlight w:val="none"/>
          <w:lang w:eastAsia="zh-CN"/>
          <w14:textFill>
            <w14:solidFill>
              <w14:schemeClr w14:val="tx1"/>
            </w14:solidFill>
          </w14:textFill>
        </w:rPr>
        <w:t>建设用地土壤污染风险筛选值单位：mg/kg</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3358"/>
        <w:gridCol w:w="2562"/>
        <w:gridCol w:w="2536"/>
      </w:tblGrid>
      <w:tr w14:paraId="0E979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4240DAD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1809" w:type="pct"/>
            <w:vAlign w:val="center"/>
          </w:tcPr>
          <w:p w14:paraId="6E75827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污染物项目</w:t>
            </w:r>
          </w:p>
        </w:tc>
        <w:tc>
          <w:tcPr>
            <w:tcW w:w="1380" w:type="pct"/>
            <w:vAlign w:val="center"/>
          </w:tcPr>
          <w:p w14:paraId="66A0932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1"/>
                <w:sz w:val="21"/>
                <w:szCs w:val="21"/>
                <w:highlight w:val="none"/>
                <w14:textFill>
                  <w14:solidFill>
                    <w14:schemeClr w14:val="tx1"/>
                  </w14:solidFill>
                </w14:textFill>
              </w:rPr>
              <w:t>CAS</w:t>
            </w:r>
            <w:r>
              <w:rPr>
                <w:rFonts w:hint="default" w:ascii="Times New Roman" w:hAnsi="Times New Roman" w:eastAsia="宋体" w:cs="Times New Roman"/>
                <w:b/>
                <w:color w:val="000000" w:themeColor="text1"/>
                <w:sz w:val="21"/>
                <w:szCs w:val="21"/>
                <w:highlight w:val="none"/>
                <w14:textFill>
                  <w14:solidFill>
                    <w14:schemeClr w14:val="tx1"/>
                  </w14:solidFill>
                </w14:textFill>
              </w:rPr>
              <w:t>编号</w:t>
            </w:r>
          </w:p>
        </w:tc>
        <w:tc>
          <w:tcPr>
            <w:tcW w:w="1364" w:type="pct"/>
            <w:vAlign w:val="center"/>
          </w:tcPr>
          <w:p w14:paraId="23D739B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筛选值</w:t>
            </w: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1"/>
                <w:szCs w:val="21"/>
                <w:highlight w:val="none"/>
                <w14:textFill>
                  <w14:solidFill>
                    <w14:schemeClr w14:val="tx1"/>
                  </w14:solidFill>
                </w14:textFill>
              </w:rPr>
              <w:t>第二类用地</w:t>
            </w: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w:t>
            </w:r>
          </w:p>
        </w:tc>
      </w:tr>
      <w:tr w14:paraId="5FCEA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2682EC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重金属和无机物</w:t>
            </w:r>
          </w:p>
        </w:tc>
      </w:tr>
      <w:tr w14:paraId="5F26B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6A4C06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w:t>
            </w:r>
          </w:p>
        </w:tc>
        <w:tc>
          <w:tcPr>
            <w:tcW w:w="1809" w:type="pct"/>
            <w:vAlign w:val="center"/>
          </w:tcPr>
          <w:p w14:paraId="78508A0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1380" w:type="pct"/>
            <w:vAlign w:val="center"/>
          </w:tcPr>
          <w:p w14:paraId="2D59641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7440-38-2</w:t>
            </w:r>
          </w:p>
        </w:tc>
        <w:tc>
          <w:tcPr>
            <w:tcW w:w="1364" w:type="pct"/>
            <w:vAlign w:val="center"/>
          </w:tcPr>
          <w:p w14:paraId="3454723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60</w:t>
            </w:r>
          </w:p>
        </w:tc>
      </w:tr>
      <w:tr w14:paraId="75678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A1283C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w:t>
            </w:r>
          </w:p>
        </w:tc>
        <w:tc>
          <w:tcPr>
            <w:tcW w:w="1809" w:type="pct"/>
            <w:vAlign w:val="center"/>
          </w:tcPr>
          <w:p w14:paraId="2AF2A32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镉</w:t>
            </w:r>
          </w:p>
        </w:tc>
        <w:tc>
          <w:tcPr>
            <w:tcW w:w="1380" w:type="pct"/>
            <w:vAlign w:val="center"/>
          </w:tcPr>
          <w:p w14:paraId="2A74C07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7440-43-9</w:t>
            </w:r>
          </w:p>
        </w:tc>
        <w:tc>
          <w:tcPr>
            <w:tcW w:w="1364" w:type="pct"/>
            <w:vAlign w:val="center"/>
          </w:tcPr>
          <w:p w14:paraId="1E975D7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65</w:t>
            </w:r>
          </w:p>
        </w:tc>
      </w:tr>
      <w:tr w14:paraId="3C125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BF1BCC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w:t>
            </w:r>
          </w:p>
        </w:tc>
        <w:tc>
          <w:tcPr>
            <w:tcW w:w="1809" w:type="pct"/>
            <w:vAlign w:val="center"/>
          </w:tcPr>
          <w:p w14:paraId="4D4DDB8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铬（六价）</w:t>
            </w:r>
          </w:p>
        </w:tc>
        <w:tc>
          <w:tcPr>
            <w:tcW w:w="1380" w:type="pct"/>
            <w:vAlign w:val="center"/>
          </w:tcPr>
          <w:p w14:paraId="704C150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18540-29-9</w:t>
            </w:r>
          </w:p>
        </w:tc>
        <w:tc>
          <w:tcPr>
            <w:tcW w:w="1364" w:type="pct"/>
            <w:vAlign w:val="center"/>
          </w:tcPr>
          <w:p w14:paraId="3836D7D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5.7</w:t>
            </w:r>
          </w:p>
        </w:tc>
      </w:tr>
      <w:tr w14:paraId="2039B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178600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w:t>
            </w:r>
          </w:p>
        </w:tc>
        <w:tc>
          <w:tcPr>
            <w:tcW w:w="1809" w:type="pct"/>
            <w:vAlign w:val="center"/>
          </w:tcPr>
          <w:p w14:paraId="5D088FD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1380" w:type="pct"/>
            <w:vAlign w:val="center"/>
          </w:tcPr>
          <w:p w14:paraId="0CAC9A0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7440-50-8</w:t>
            </w:r>
          </w:p>
        </w:tc>
        <w:tc>
          <w:tcPr>
            <w:tcW w:w="1364" w:type="pct"/>
            <w:vAlign w:val="center"/>
          </w:tcPr>
          <w:p w14:paraId="79FA344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18000</w:t>
            </w:r>
          </w:p>
        </w:tc>
      </w:tr>
      <w:tr w14:paraId="46354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2C00623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w:t>
            </w:r>
          </w:p>
        </w:tc>
        <w:tc>
          <w:tcPr>
            <w:tcW w:w="1809" w:type="pct"/>
            <w:vAlign w:val="center"/>
          </w:tcPr>
          <w:p w14:paraId="16BFBE9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铅</w:t>
            </w:r>
          </w:p>
        </w:tc>
        <w:tc>
          <w:tcPr>
            <w:tcW w:w="1380" w:type="pct"/>
            <w:vAlign w:val="center"/>
          </w:tcPr>
          <w:p w14:paraId="143730E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7439-92-1</w:t>
            </w:r>
          </w:p>
        </w:tc>
        <w:tc>
          <w:tcPr>
            <w:tcW w:w="1364" w:type="pct"/>
            <w:vAlign w:val="center"/>
          </w:tcPr>
          <w:p w14:paraId="723D00F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800</w:t>
            </w:r>
          </w:p>
        </w:tc>
      </w:tr>
      <w:tr w14:paraId="46DA8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046064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6</w:t>
            </w:r>
          </w:p>
        </w:tc>
        <w:tc>
          <w:tcPr>
            <w:tcW w:w="1809" w:type="pct"/>
            <w:vAlign w:val="center"/>
          </w:tcPr>
          <w:p w14:paraId="1BED43C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1380" w:type="pct"/>
            <w:vAlign w:val="center"/>
          </w:tcPr>
          <w:p w14:paraId="0C2E5E6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7439-97-6</w:t>
            </w:r>
          </w:p>
        </w:tc>
        <w:tc>
          <w:tcPr>
            <w:tcW w:w="1364" w:type="pct"/>
            <w:vAlign w:val="center"/>
          </w:tcPr>
          <w:p w14:paraId="7E11055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w:t>
            </w:r>
          </w:p>
        </w:tc>
      </w:tr>
      <w:tr w14:paraId="20827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59169D1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7</w:t>
            </w:r>
          </w:p>
        </w:tc>
        <w:tc>
          <w:tcPr>
            <w:tcW w:w="1809" w:type="pct"/>
            <w:vAlign w:val="center"/>
          </w:tcPr>
          <w:p w14:paraId="4D1F197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镍</w:t>
            </w:r>
          </w:p>
        </w:tc>
        <w:tc>
          <w:tcPr>
            <w:tcW w:w="1380" w:type="pct"/>
            <w:vAlign w:val="center"/>
          </w:tcPr>
          <w:p w14:paraId="16B3535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7440-02-0</w:t>
            </w:r>
          </w:p>
        </w:tc>
        <w:tc>
          <w:tcPr>
            <w:tcW w:w="1364" w:type="pct"/>
            <w:vAlign w:val="center"/>
          </w:tcPr>
          <w:p w14:paraId="59E6993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900</w:t>
            </w:r>
          </w:p>
        </w:tc>
      </w:tr>
      <w:tr w14:paraId="08672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A397B1D">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挥发性有机物</w:t>
            </w:r>
          </w:p>
        </w:tc>
      </w:tr>
      <w:tr w14:paraId="2F1BD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4192B42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8</w:t>
            </w:r>
          </w:p>
        </w:tc>
        <w:tc>
          <w:tcPr>
            <w:tcW w:w="1809" w:type="pct"/>
            <w:vAlign w:val="center"/>
          </w:tcPr>
          <w:p w14:paraId="58043A8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四氯化碳</w:t>
            </w:r>
          </w:p>
        </w:tc>
        <w:tc>
          <w:tcPr>
            <w:tcW w:w="1380" w:type="pct"/>
            <w:vAlign w:val="center"/>
          </w:tcPr>
          <w:p w14:paraId="03DC937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56-23-5</w:t>
            </w:r>
          </w:p>
        </w:tc>
        <w:tc>
          <w:tcPr>
            <w:tcW w:w="1364" w:type="pct"/>
            <w:vAlign w:val="center"/>
          </w:tcPr>
          <w:p w14:paraId="3081E3D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r>
      <w:tr w14:paraId="5CE81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2CCE42D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w:t>
            </w:r>
          </w:p>
        </w:tc>
        <w:tc>
          <w:tcPr>
            <w:tcW w:w="1809" w:type="pct"/>
            <w:vAlign w:val="center"/>
          </w:tcPr>
          <w:p w14:paraId="46D6A0A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氯仿</w:t>
            </w:r>
          </w:p>
        </w:tc>
        <w:tc>
          <w:tcPr>
            <w:tcW w:w="1380" w:type="pct"/>
            <w:vAlign w:val="center"/>
          </w:tcPr>
          <w:p w14:paraId="7FE0F77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67-66-3</w:t>
            </w:r>
          </w:p>
        </w:tc>
        <w:tc>
          <w:tcPr>
            <w:tcW w:w="1364" w:type="pct"/>
            <w:vAlign w:val="center"/>
          </w:tcPr>
          <w:p w14:paraId="6925C6A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0.9</w:t>
            </w:r>
          </w:p>
        </w:tc>
      </w:tr>
      <w:tr w14:paraId="415BA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F9E33B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w:t>
            </w:r>
          </w:p>
        </w:tc>
        <w:tc>
          <w:tcPr>
            <w:tcW w:w="1809" w:type="pct"/>
            <w:vAlign w:val="center"/>
          </w:tcPr>
          <w:p w14:paraId="5A77921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氯甲烷</w:t>
            </w:r>
          </w:p>
        </w:tc>
        <w:tc>
          <w:tcPr>
            <w:tcW w:w="1380" w:type="pct"/>
            <w:vAlign w:val="center"/>
          </w:tcPr>
          <w:p w14:paraId="3B328EA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74-87-3</w:t>
            </w:r>
          </w:p>
        </w:tc>
        <w:tc>
          <w:tcPr>
            <w:tcW w:w="1364" w:type="pct"/>
            <w:vAlign w:val="center"/>
          </w:tcPr>
          <w:p w14:paraId="1AAF80E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37</w:t>
            </w:r>
          </w:p>
        </w:tc>
      </w:tr>
      <w:tr w14:paraId="78DDA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479C64D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11</w:t>
            </w:r>
          </w:p>
        </w:tc>
        <w:tc>
          <w:tcPr>
            <w:tcW w:w="1809" w:type="pct"/>
            <w:vAlign w:val="center"/>
          </w:tcPr>
          <w:p w14:paraId="193AF99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1，1-二氯乙烷</w:t>
            </w:r>
          </w:p>
        </w:tc>
        <w:tc>
          <w:tcPr>
            <w:tcW w:w="1380" w:type="pct"/>
            <w:vAlign w:val="center"/>
          </w:tcPr>
          <w:p w14:paraId="5B1A2BB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75-34-3</w:t>
            </w:r>
          </w:p>
        </w:tc>
        <w:tc>
          <w:tcPr>
            <w:tcW w:w="1364" w:type="pct"/>
            <w:vAlign w:val="center"/>
          </w:tcPr>
          <w:p w14:paraId="7728FD1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r>
      <w:tr w14:paraId="43FE5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28FB6A0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12</w:t>
            </w:r>
          </w:p>
        </w:tc>
        <w:tc>
          <w:tcPr>
            <w:tcW w:w="1809" w:type="pct"/>
            <w:vAlign w:val="center"/>
          </w:tcPr>
          <w:p w14:paraId="0053D1F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1，2-二氯乙烷</w:t>
            </w:r>
          </w:p>
        </w:tc>
        <w:tc>
          <w:tcPr>
            <w:tcW w:w="1380" w:type="pct"/>
            <w:vAlign w:val="center"/>
          </w:tcPr>
          <w:p w14:paraId="58558AD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107-06-2</w:t>
            </w:r>
          </w:p>
        </w:tc>
        <w:tc>
          <w:tcPr>
            <w:tcW w:w="1364" w:type="pct"/>
            <w:vAlign w:val="center"/>
          </w:tcPr>
          <w:p w14:paraId="5DB4D75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06B0A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4B11E5F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13</w:t>
            </w:r>
          </w:p>
        </w:tc>
        <w:tc>
          <w:tcPr>
            <w:tcW w:w="1809" w:type="pct"/>
            <w:vAlign w:val="center"/>
          </w:tcPr>
          <w:p w14:paraId="2C786DD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1，1-二氯乙烯</w:t>
            </w:r>
          </w:p>
        </w:tc>
        <w:tc>
          <w:tcPr>
            <w:tcW w:w="1380" w:type="pct"/>
            <w:vAlign w:val="center"/>
          </w:tcPr>
          <w:p w14:paraId="7C62561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75-35-4</w:t>
            </w:r>
          </w:p>
        </w:tc>
        <w:tc>
          <w:tcPr>
            <w:tcW w:w="1364" w:type="pct"/>
            <w:vAlign w:val="center"/>
          </w:tcPr>
          <w:p w14:paraId="7432272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66</w:t>
            </w:r>
          </w:p>
        </w:tc>
      </w:tr>
      <w:tr w14:paraId="582CE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CF920B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14</w:t>
            </w:r>
          </w:p>
        </w:tc>
        <w:tc>
          <w:tcPr>
            <w:tcW w:w="1809" w:type="pct"/>
            <w:vAlign w:val="center"/>
          </w:tcPr>
          <w:p w14:paraId="0CEC4FC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顺-1，2-二氯乙烯</w:t>
            </w:r>
          </w:p>
        </w:tc>
        <w:tc>
          <w:tcPr>
            <w:tcW w:w="1380" w:type="pct"/>
            <w:vAlign w:val="center"/>
          </w:tcPr>
          <w:p w14:paraId="1837814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156-59-2</w:t>
            </w:r>
          </w:p>
        </w:tc>
        <w:tc>
          <w:tcPr>
            <w:tcW w:w="1364" w:type="pct"/>
            <w:vAlign w:val="center"/>
          </w:tcPr>
          <w:p w14:paraId="5F84B82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596</w:t>
            </w:r>
          </w:p>
        </w:tc>
      </w:tr>
      <w:tr w14:paraId="277EE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3B4615F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15</w:t>
            </w:r>
          </w:p>
        </w:tc>
        <w:tc>
          <w:tcPr>
            <w:tcW w:w="1809" w:type="pct"/>
            <w:vAlign w:val="center"/>
          </w:tcPr>
          <w:p w14:paraId="0B5413E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反-1，2-二氯乙烯</w:t>
            </w:r>
          </w:p>
        </w:tc>
        <w:tc>
          <w:tcPr>
            <w:tcW w:w="1380" w:type="pct"/>
            <w:vAlign w:val="center"/>
          </w:tcPr>
          <w:p w14:paraId="306583D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156-60-5</w:t>
            </w:r>
          </w:p>
        </w:tc>
        <w:tc>
          <w:tcPr>
            <w:tcW w:w="1364" w:type="pct"/>
            <w:vAlign w:val="center"/>
          </w:tcPr>
          <w:p w14:paraId="11C6523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54</w:t>
            </w:r>
          </w:p>
        </w:tc>
      </w:tr>
      <w:tr w14:paraId="6E3EE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F63F6E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16</w:t>
            </w:r>
          </w:p>
        </w:tc>
        <w:tc>
          <w:tcPr>
            <w:tcW w:w="1809" w:type="pct"/>
            <w:vAlign w:val="center"/>
          </w:tcPr>
          <w:p w14:paraId="5705348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二氯甲烷</w:t>
            </w:r>
          </w:p>
        </w:tc>
        <w:tc>
          <w:tcPr>
            <w:tcW w:w="1380" w:type="pct"/>
            <w:vAlign w:val="center"/>
          </w:tcPr>
          <w:p w14:paraId="6AEE9EB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75-09-2</w:t>
            </w:r>
          </w:p>
        </w:tc>
        <w:tc>
          <w:tcPr>
            <w:tcW w:w="1364" w:type="pct"/>
            <w:vAlign w:val="center"/>
          </w:tcPr>
          <w:p w14:paraId="1B81CE3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616</w:t>
            </w:r>
          </w:p>
        </w:tc>
      </w:tr>
      <w:tr w14:paraId="3B1E7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C8755E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17</w:t>
            </w:r>
          </w:p>
        </w:tc>
        <w:tc>
          <w:tcPr>
            <w:tcW w:w="1809" w:type="pct"/>
            <w:vAlign w:val="center"/>
          </w:tcPr>
          <w:p w14:paraId="4CC4BB5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1，2-二氯丙烷</w:t>
            </w:r>
          </w:p>
        </w:tc>
        <w:tc>
          <w:tcPr>
            <w:tcW w:w="1380" w:type="pct"/>
            <w:vAlign w:val="center"/>
          </w:tcPr>
          <w:p w14:paraId="05478CC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78-87-5</w:t>
            </w:r>
          </w:p>
        </w:tc>
        <w:tc>
          <w:tcPr>
            <w:tcW w:w="1364" w:type="pct"/>
            <w:vAlign w:val="center"/>
          </w:tcPr>
          <w:p w14:paraId="6059AF5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r>
      <w:tr w14:paraId="3DE4C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ECE4CD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18</w:t>
            </w:r>
          </w:p>
        </w:tc>
        <w:tc>
          <w:tcPr>
            <w:tcW w:w="1809" w:type="pct"/>
            <w:vAlign w:val="center"/>
          </w:tcPr>
          <w:p w14:paraId="0D857F5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1，1，1，2-四氯乙烷</w:t>
            </w:r>
          </w:p>
        </w:tc>
        <w:tc>
          <w:tcPr>
            <w:tcW w:w="1380" w:type="pct"/>
            <w:vAlign w:val="center"/>
          </w:tcPr>
          <w:p w14:paraId="39E9446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630-20-6</w:t>
            </w:r>
          </w:p>
        </w:tc>
        <w:tc>
          <w:tcPr>
            <w:tcW w:w="1364" w:type="pct"/>
            <w:vAlign w:val="center"/>
          </w:tcPr>
          <w:p w14:paraId="552B22F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14:paraId="41AFA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200FFA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19</w:t>
            </w:r>
          </w:p>
        </w:tc>
        <w:tc>
          <w:tcPr>
            <w:tcW w:w="1809" w:type="pct"/>
            <w:vAlign w:val="center"/>
          </w:tcPr>
          <w:p w14:paraId="32F3199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1，1，2，2-四氯乙烷</w:t>
            </w:r>
          </w:p>
        </w:tc>
        <w:tc>
          <w:tcPr>
            <w:tcW w:w="1380" w:type="pct"/>
            <w:vAlign w:val="center"/>
          </w:tcPr>
          <w:p w14:paraId="53B77A4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79-34-5</w:t>
            </w:r>
          </w:p>
        </w:tc>
        <w:tc>
          <w:tcPr>
            <w:tcW w:w="1364" w:type="pct"/>
            <w:vAlign w:val="center"/>
          </w:tcPr>
          <w:p w14:paraId="67E7465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6.8</w:t>
            </w:r>
          </w:p>
        </w:tc>
      </w:tr>
      <w:tr w14:paraId="5A36A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8944C3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20</w:t>
            </w:r>
          </w:p>
        </w:tc>
        <w:tc>
          <w:tcPr>
            <w:tcW w:w="1809" w:type="pct"/>
            <w:vAlign w:val="center"/>
          </w:tcPr>
          <w:p w14:paraId="72D2AC4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四氯乙烯</w:t>
            </w:r>
          </w:p>
        </w:tc>
        <w:tc>
          <w:tcPr>
            <w:tcW w:w="1380" w:type="pct"/>
            <w:vAlign w:val="center"/>
          </w:tcPr>
          <w:p w14:paraId="41640BA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127-18-4</w:t>
            </w:r>
          </w:p>
        </w:tc>
        <w:tc>
          <w:tcPr>
            <w:tcW w:w="1364" w:type="pct"/>
            <w:vAlign w:val="center"/>
          </w:tcPr>
          <w:p w14:paraId="7D5C1AA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53</w:t>
            </w:r>
          </w:p>
        </w:tc>
      </w:tr>
      <w:tr w14:paraId="26AD6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304C54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21</w:t>
            </w:r>
          </w:p>
        </w:tc>
        <w:tc>
          <w:tcPr>
            <w:tcW w:w="1809" w:type="pct"/>
            <w:vAlign w:val="center"/>
          </w:tcPr>
          <w:p w14:paraId="367DE08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1，1，1-三氯乙烷</w:t>
            </w:r>
          </w:p>
        </w:tc>
        <w:tc>
          <w:tcPr>
            <w:tcW w:w="1380" w:type="pct"/>
            <w:vAlign w:val="center"/>
          </w:tcPr>
          <w:p w14:paraId="2E32F8E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71-55-6</w:t>
            </w:r>
          </w:p>
        </w:tc>
        <w:tc>
          <w:tcPr>
            <w:tcW w:w="1364" w:type="pct"/>
            <w:vAlign w:val="center"/>
          </w:tcPr>
          <w:p w14:paraId="6329008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840</w:t>
            </w:r>
          </w:p>
        </w:tc>
      </w:tr>
      <w:tr w14:paraId="618B1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E6B72F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22</w:t>
            </w:r>
          </w:p>
        </w:tc>
        <w:tc>
          <w:tcPr>
            <w:tcW w:w="1809" w:type="pct"/>
            <w:vAlign w:val="center"/>
          </w:tcPr>
          <w:p w14:paraId="3B7A06E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1，1，2-三氯乙烷</w:t>
            </w:r>
          </w:p>
        </w:tc>
        <w:tc>
          <w:tcPr>
            <w:tcW w:w="1380" w:type="pct"/>
            <w:vAlign w:val="center"/>
          </w:tcPr>
          <w:p w14:paraId="42062EA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79-00-5</w:t>
            </w:r>
          </w:p>
        </w:tc>
        <w:tc>
          <w:tcPr>
            <w:tcW w:w="1364" w:type="pct"/>
            <w:vAlign w:val="center"/>
          </w:tcPr>
          <w:p w14:paraId="01C526B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2.8</w:t>
            </w:r>
          </w:p>
        </w:tc>
      </w:tr>
      <w:tr w14:paraId="64BF2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14F453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23</w:t>
            </w:r>
          </w:p>
        </w:tc>
        <w:tc>
          <w:tcPr>
            <w:tcW w:w="1809" w:type="pct"/>
            <w:vAlign w:val="center"/>
          </w:tcPr>
          <w:p w14:paraId="5C7C2A6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三氯乙烯</w:t>
            </w:r>
          </w:p>
        </w:tc>
        <w:tc>
          <w:tcPr>
            <w:tcW w:w="1380" w:type="pct"/>
            <w:vAlign w:val="center"/>
          </w:tcPr>
          <w:p w14:paraId="71E98A9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79-01-6</w:t>
            </w:r>
          </w:p>
        </w:tc>
        <w:tc>
          <w:tcPr>
            <w:tcW w:w="1364" w:type="pct"/>
            <w:vAlign w:val="center"/>
          </w:tcPr>
          <w:p w14:paraId="24A389E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r>
      <w:tr w14:paraId="15775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5E8E1DA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24</w:t>
            </w:r>
          </w:p>
        </w:tc>
        <w:tc>
          <w:tcPr>
            <w:tcW w:w="1809" w:type="pct"/>
            <w:vAlign w:val="center"/>
          </w:tcPr>
          <w:p w14:paraId="722FDDE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1，2，3-三氯丙烷</w:t>
            </w:r>
          </w:p>
        </w:tc>
        <w:tc>
          <w:tcPr>
            <w:tcW w:w="1380" w:type="pct"/>
            <w:vAlign w:val="center"/>
          </w:tcPr>
          <w:p w14:paraId="1E0F34B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96-18-4</w:t>
            </w:r>
          </w:p>
        </w:tc>
        <w:tc>
          <w:tcPr>
            <w:tcW w:w="1364" w:type="pct"/>
            <w:vAlign w:val="center"/>
          </w:tcPr>
          <w:p w14:paraId="12C7BE0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0.5</w:t>
            </w:r>
          </w:p>
        </w:tc>
      </w:tr>
      <w:tr w14:paraId="0FE5E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3D8F253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25</w:t>
            </w:r>
          </w:p>
        </w:tc>
        <w:tc>
          <w:tcPr>
            <w:tcW w:w="1809" w:type="pct"/>
            <w:vAlign w:val="center"/>
          </w:tcPr>
          <w:p w14:paraId="168C608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氯乙烯</w:t>
            </w:r>
          </w:p>
        </w:tc>
        <w:tc>
          <w:tcPr>
            <w:tcW w:w="1380" w:type="pct"/>
            <w:vAlign w:val="center"/>
          </w:tcPr>
          <w:p w14:paraId="4C3E71B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75-01-4</w:t>
            </w:r>
          </w:p>
        </w:tc>
        <w:tc>
          <w:tcPr>
            <w:tcW w:w="1364" w:type="pct"/>
            <w:vAlign w:val="center"/>
          </w:tcPr>
          <w:p w14:paraId="72654F0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0.43</w:t>
            </w:r>
          </w:p>
        </w:tc>
      </w:tr>
      <w:tr w14:paraId="12BBA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79AE7C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26</w:t>
            </w:r>
          </w:p>
        </w:tc>
        <w:tc>
          <w:tcPr>
            <w:tcW w:w="1809" w:type="pct"/>
            <w:vAlign w:val="center"/>
          </w:tcPr>
          <w:p w14:paraId="75E40F0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w:t>
            </w:r>
          </w:p>
        </w:tc>
        <w:tc>
          <w:tcPr>
            <w:tcW w:w="1380" w:type="pct"/>
            <w:vAlign w:val="center"/>
          </w:tcPr>
          <w:p w14:paraId="4FF21AE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71-43-2</w:t>
            </w:r>
          </w:p>
        </w:tc>
        <w:tc>
          <w:tcPr>
            <w:tcW w:w="1364" w:type="pct"/>
            <w:vAlign w:val="center"/>
          </w:tcPr>
          <w:p w14:paraId="7AB18EF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r>
      <w:tr w14:paraId="1430E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514B11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27</w:t>
            </w:r>
          </w:p>
        </w:tc>
        <w:tc>
          <w:tcPr>
            <w:tcW w:w="1809" w:type="pct"/>
            <w:vAlign w:val="center"/>
          </w:tcPr>
          <w:p w14:paraId="088B9B8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氯苯</w:t>
            </w:r>
          </w:p>
        </w:tc>
        <w:tc>
          <w:tcPr>
            <w:tcW w:w="1380" w:type="pct"/>
            <w:vAlign w:val="center"/>
          </w:tcPr>
          <w:p w14:paraId="142367B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108-90-7</w:t>
            </w:r>
          </w:p>
        </w:tc>
        <w:tc>
          <w:tcPr>
            <w:tcW w:w="1364" w:type="pct"/>
            <w:vAlign w:val="center"/>
          </w:tcPr>
          <w:p w14:paraId="4FEF296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270</w:t>
            </w:r>
          </w:p>
        </w:tc>
      </w:tr>
      <w:tr w14:paraId="4A15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9B48BC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28</w:t>
            </w:r>
          </w:p>
        </w:tc>
        <w:tc>
          <w:tcPr>
            <w:tcW w:w="1809" w:type="pct"/>
            <w:vAlign w:val="center"/>
          </w:tcPr>
          <w:p w14:paraId="6FB66D3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1，2-二氯苯</w:t>
            </w:r>
          </w:p>
        </w:tc>
        <w:tc>
          <w:tcPr>
            <w:tcW w:w="1380" w:type="pct"/>
            <w:vAlign w:val="center"/>
          </w:tcPr>
          <w:p w14:paraId="4BC01B7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95-50-1</w:t>
            </w:r>
          </w:p>
        </w:tc>
        <w:tc>
          <w:tcPr>
            <w:tcW w:w="1364" w:type="pct"/>
            <w:vAlign w:val="center"/>
          </w:tcPr>
          <w:p w14:paraId="1BE557A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560</w:t>
            </w:r>
          </w:p>
        </w:tc>
      </w:tr>
      <w:tr w14:paraId="23038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6BAB0D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29</w:t>
            </w:r>
          </w:p>
        </w:tc>
        <w:tc>
          <w:tcPr>
            <w:tcW w:w="1809" w:type="pct"/>
            <w:vAlign w:val="center"/>
          </w:tcPr>
          <w:p w14:paraId="7CB0E6C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1，4-二氯苯</w:t>
            </w:r>
          </w:p>
        </w:tc>
        <w:tc>
          <w:tcPr>
            <w:tcW w:w="1380" w:type="pct"/>
            <w:vAlign w:val="center"/>
          </w:tcPr>
          <w:p w14:paraId="24950F5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106-46-7</w:t>
            </w:r>
          </w:p>
        </w:tc>
        <w:tc>
          <w:tcPr>
            <w:tcW w:w="1364" w:type="pct"/>
            <w:vAlign w:val="center"/>
          </w:tcPr>
          <w:p w14:paraId="04D2C04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r>
      <w:tr w14:paraId="56C8F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B835B6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30</w:t>
            </w:r>
          </w:p>
        </w:tc>
        <w:tc>
          <w:tcPr>
            <w:tcW w:w="1809" w:type="pct"/>
            <w:vAlign w:val="center"/>
          </w:tcPr>
          <w:p w14:paraId="34A4E56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乙苯</w:t>
            </w:r>
          </w:p>
        </w:tc>
        <w:tc>
          <w:tcPr>
            <w:tcW w:w="1380" w:type="pct"/>
            <w:vAlign w:val="center"/>
          </w:tcPr>
          <w:p w14:paraId="4E9589F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100-41-4</w:t>
            </w:r>
          </w:p>
        </w:tc>
        <w:tc>
          <w:tcPr>
            <w:tcW w:w="1364" w:type="pct"/>
            <w:vAlign w:val="center"/>
          </w:tcPr>
          <w:p w14:paraId="4EBE105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r>
      <w:tr w14:paraId="68285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E4603D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31</w:t>
            </w:r>
          </w:p>
        </w:tc>
        <w:tc>
          <w:tcPr>
            <w:tcW w:w="1809" w:type="pct"/>
            <w:vAlign w:val="center"/>
          </w:tcPr>
          <w:p w14:paraId="373B682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苯乙烯</w:t>
            </w:r>
          </w:p>
        </w:tc>
        <w:tc>
          <w:tcPr>
            <w:tcW w:w="1380" w:type="pct"/>
            <w:vAlign w:val="center"/>
          </w:tcPr>
          <w:p w14:paraId="108FFC2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100-42-5</w:t>
            </w:r>
          </w:p>
        </w:tc>
        <w:tc>
          <w:tcPr>
            <w:tcW w:w="1364" w:type="pct"/>
            <w:vAlign w:val="center"/>
          </w:tcPr>
          <w:p w14:paraId="3CF0ABD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1290</w:t>
            </w:r>
          </w:p>
        </w:tc>
      </w:tr>
      <w:tr w14:paraId="6448C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5587526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32</w:t>
            </w:r>
          </w:p>
        </w:tc>
        <w:tc>
          <w:tcPr>
            <w:tcW w:w="1809" w:type="pct"/>
            <w:vAlign w:val="center"/>
          </w:tcPr>
          <w:p w14:paraId="077BE0BC">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甲苯</w:t>
            </w:r>
          </w:p>
        </w:tc>
        <w:tc>
          <w:tcPr>
            <w:tcW w:w="1380" w:type="pct"/>
            <w:vAlign w:val="center"/>
          </w:tcPr>
          <w:p w14:paraId="08B7EA71">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108-88-3</w:t>
            </w:r>
          </w:p>
        </w:tc>
        <w:tc>
          <w:tcPr>
            <w:tcW w:w="1364" w:type="pct"/>
            <w:vAlign w:val="center"/>
          </w:tcPr>
          <w:p w14:paraId="4AA1D32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1200</w:t>
            </w:r>
          </w:p>
        </w:tc>
      </w:tr>
      <w:tr w14:paraId="235C5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0C380F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33</w:t>
            </w:r>
          </w:p>
        </w:tc>
        <w:tc>
          <w:tcPr>
            <w:tcW w:w="1809" w:type="pct"/>
            <w:vAlign w:val="center"/>
          </w:tcPr>
          <w:p w14:paraId="1E01C75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间二甲苯+对二甲苯</w:t>
            </w:r>
          </w:p>
        </w:tc>
        <w:tc>
          <w:tcPr>
            <w:tcW w:w="1380" w:type="pct"/>
            <w:vAlign w:val="center"/>
          </w:tcPr>
          <w:p w14:paraId="255F36B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108-38-3，106-42-3</w:t>
            </w:r>
          </w:p>
        </w:tc>
        <w:tc>
          <w:tcPr>
            <w:tcW w:w="1364" w:type="pct"/>
            <w:vAlign w:val="center"/>
          </w:tcPr>
          <w:p w14:paraId="2688BEF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570</w:t>
            </w:r>
          </w:p>
        </w:tc>
      </w:tr>
      <w:tr w14:paraId="53EAB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5F3B414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34</w:t>
            </w:r>
          </w:p>
        </w:tc>
        <w:tc>
          <w:tcPr>
            <w:tcW w:w="1809" w:type="pct"/>
            <w:vAlign w:val="center"/>
          </w:tcPr>
          <w:p w14:paraId="1BDF555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邻二甲苯</w:t>
            </w:r>
          </w:p>
        </w:tc>
        <w:tc>
          <w:tcPr>
            <w:tcW w:w="1380" w:type="pct"/>
            <w:vAlign w:val="center"/>
          </w:tcPr>
          <w:p w14:paraId="497AF87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95-47-6</w:t>
            </w:r>
          </w:p>
        </w:tc>
        <w:tc>
          <w:tcPr>
            <w:tcW w:w="1364" w:type="pct"/>
            <w:vAlign w:val="center"/>
          </w:tcPr>
          <w:p w14:paraId="6CDC91A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640</w:t>
            </w:r>
          </w:p>
        </w:tc>
      </w:tr>
      <w:tr w14:paraId="1EDC2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0634E41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35</w:t>
            </w:r>
          </w:p>
        </w:tc>
        <w:tc>
          <w:tcPr>
            <w:tcW w:w="1809" w:type="pct"/>
            <w:vAlign w:val="center"/>
          </w:tcPr>
          <w:p w14:paraId="24BEEB9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硝基苯</w:t>
            </w:r>
          </w:p>
        </w:tc>
        <w:tc>
          <w:tcPr>
            <w:tcW w:w="1380" w:type="pct"/>
            <w:vAlign w:val="center"/>
          </w:tcPr>
          <w:p w14:paraId="2506F4D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98-95-3</w:t>
            </w:r>
          </w:p>
        </w:tc>
        <w:tc>
          <w:tcPr>
            <w:tcW w:w="1364" w:type="pct"/>
            <w:vAlign w:val="center"/>
          </w:tcPr>
          <w:p w14:paraId="3D2672A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76</w:t>
            </w:r>
          </w:p>
        </w:tc>
      </w:tr>
      <w:tr w14:paraId="63BD6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6CF577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36</w:t>
            </w:r>
          </w:p>
        </w:tc>
        <w:tc>
          <w:tcPr>
            <w:tcW w:w="1809" w:type="pct"/>
            <w:vAlign w:val="center"/>
          </w:tcPr>
          <w:p w14:paraId="3036331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苯胺</w:t>
            </w:r>
          </w:p>
        </w:tc>
        <w:tc>
          <w:tcPr>
            <w:tcW w:w="1380" w:type="pct"/>
            <w:vAlign w:val="center"/>
          </w:tcPr>
          <w:p w14:paraId="7D73E63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62-53-3</w:t>
            </w:r>
          </w:p>
        </w:tc>
        <w:tc>
          <w:tcPr>
            <w:tcW w:w="1364" w:type="pct"/>
            <w:vAlign w:val="center"/>
          </w:tcPr>
          <w:p w14:paraId="6F7725F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260</w:t>
            </w:r>
          </w:p>
        </w:tc>
      </w:tr>
      <w:tr w14:paraId="7392D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34C09B5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37</w:t>
            </w:r>
          </w:p>
        </w:tc>
        <w:tc>
          <w:tcPr>
            <w:tcW w:w="1809" w:type="pct"/>
            <w:vAlign w:val="center"/>
          </w:tcPr>
          <w:p w14:paraId="3294837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2-氯酚</w:t>
            </w:r>
          </w:p>
        </w:tc>
        <w:tc>
          <w:tcPr>
            <w:tcW w:w="1380" w:type="pct"/>
            <w:vAlign w:val="center"/>
          </w:tcPr>
          <w:p w14:paraId="5E940B9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95-57-8</w:t>
            </w:r>
          </w:p>
        </w:tc>
        <w:tc>
          <w:tcPr>
            <w:tcW w:w="1364" w:type="pct"/>
            <w:vAlign w:val="center"/>
          </w:tcPr>
          <w:p w14:paraId="367E3E9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2256</w:t>
            </w:r>
          </w:p>
        </w:tc>
      </w:tr>
      <w:tr w14:paraId="116D9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6C5D0F8D">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38</w:t>
            </w:r>
          </w:p>
        </w:tc>
        <w:tc>
          <w:tcPr>
            <w:tcW w:w="1809" w:type="pct"/>
            <w:vAlign w:val="center"/>
          </w:tcPr>
          <w:p w14:paraId="5B4636A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苯并</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a</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蒽</w:t>
            </w:r>
          </w:p>
        </w:tc>
        <w:tc>
          <w:tcPr>
            <w:tcW w:w="1380" w:type="pct"/>
            <w:vAlign w:val="center"/>
          </w:tcPr>
          <w:p w14:paraId="6418C41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56-55-3</w:t>
            </w:r>
          </w:p>
        </w:tc>
        <w:tc>
          <w:tcPr>
            <w:tcW w:w="1364" w:type="pct"/>
            <w:vAlign w:val="center"/>
          </w:tcPr>
          <w:p w14:paraId="5E189DC2">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77EB5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22643BD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39</w:t>
            </w:r>
          </w:p>
        </w:tc>
        <w:tc>
          <w:tcPr>
            <w:tcW w:w="1809" w:type="pct"/>
            <w:vAlign w:val="center"/>
          </w:tcPr>
          <w:p w14:paraId="6A78BF6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苯并</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a</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芘</w:t>
            </w:r>
          </w:p>
        </w:tc>
        <w:tc>
          <w:tcPr>
            <w:tcW w:w="1380" w:type="pct"/>
            <w:vAlign w:val="center"/>
          </w:tcPr>
          <w:p w14:paraId="6FC8039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50-32-8</w:t>
            </w:r>
          </w:p>
        </w:tc>
        <w:tc>
          <w:tcPr>
            <w:tcW w:w="1364" w:type="pct"/>
            <w:vAlign w:val="center"/>
          </w:tcPr>
          <w:p w14:paraId="7C66CA8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24D5A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09B909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40</w:t>
            </w:r>
          </w:p>
        </w:tc>
        <w:tc>
          <w:tcPr>
            <w:tcW w:w="1809" w:type="pct"/>
            <w:vAlign w:val="center"/>
          </w:tcPr>
          <w:p w14:paraId="5E275B3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苯并</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b</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荧蒽</w:t>
            </w:r>
          </w:p>
        </w:tc>
        <w:tc>
          <w:tcPr>
            <w:tcW w:w="1380" w:type="pct"/>
            <w:vAlign w:val="center"/>
          </w:tcPr>
          <w:p w14:paraId="21B31E6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205-99-2</w:t>
            </w:r>
          </w:p>
        </w:tc>
        <w:tc>
          <w:tcPr>
            <w:tcW w:w="1364" w:type="pct"/>
            <w:vAlign w:val="center"/>
          </w:tcPr>
          <w:p w14:paraId="3F5CC917">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748DD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2707F6C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41</w:t>
            </w:r>
          </w:p>
        </w:tc>
        <w:tc>
          <w:tcPr>
            <w:tcW w:w="1809" w:type="pct"/>
            <w:vAlign w:val="center"/>
          </w:tcPr>
          <w:p w14:paraId="08C2FCDB">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苯并</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k</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荧蒽</w:t>
            </w:r>
          </w:p>
        </w:tc>
        <w:tc>
          <w:tcPr>
            <w:tcW w:w="1380" w:type="pct"/>
            <w:vAlign w:val="center"/>
          </w:tcPr>
          <w:p w14:paraId="711A34E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207-08-9</w:t>
            </w:r>
          </w:p>
        </w:tc>
        <w:tc>
          <w:tcPr>
            <w:tcW w:w="1364" w:type="pct"/>
            <w:vAlign w:val="center"/>
          </w:tcPr>
          <w:p w14:paraId="0668556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151</w:t>
            </w:r>
          </w:p>
        </w:tc>
      </w:tr>
      <w:tr w14:paraId="319E8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5857A67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42</w:t>
            </w:r>
          </w:p>
        </w:tc>
        <w:tc>
          <w:tcPr>
            <w:tcW w:w="1809" w:type="pct"/>
            <w:vAlign w:val="center"/>
          </w:tcPr>
          <w:p w14:paraId="3FA7754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䓛</w:t>
            </w:r>
          </w:p>
        </w:tc>
        <w:tc>
          <w:tcPr>
            <w:tcW w:w="1380" w:type="pct"/>
            <w:vAlign w:val="center"/>
          </w:tcPr>
          <w:p w14:paraId="6F632BF3">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218-01-9</w:t>
            </w:r>
          </w:p>
        </w:tc>
        <w:tc>
          <w:tcPr>
            <w:tcW w:w="1364" w:type="pct"/>
            <w:vAlign w:val="center"/>
          </w:tcPr>
          <w:p w14:paraId="61BEC90E">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1293</w:t>
            </w:r>
          </w:p>
        </w:tc>
      </w:tr>
      <w:tr w14:paraId="14D72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1190C57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43</w:t>
            </w:r>
          </w:p>
        </w:tc>
        <w:tc>
          <w:tcPr>
            <w:tcW w:w="1809" w:type="pct"/>
            <w:vAlign w:val="center"/>
          </w:tcPr>
          <w:p w14:paraId="50464FD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二苯并</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蒽</w:t>
            </w:r>
          </w:p>
        </w:tc>
        <w:tc>
          <w:tcPr>
            <w:tcW w:w="1380" w:type="pct"/>
            <w:vAlign w:val="center"/>
          </w:tcPr>
          <w:p w14:paraId="6F69317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53-70-3</w:t>
            </w:r>
          </w:p>
        </w:tc>
        <w:tc>
          <w:tcPr>
            <w:tcW w:w="1364" w:type="pct"/>
            <w:vAlign w:val="center"/>
          </w:tcPr>
          <w:p w14:paraId="021C4529">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3DD95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48D65784">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44</w:t>
            </w:r>
          </w:p>
        </w:tc>
        <w:tc>
          <w:tcPr>
            <w:tcW w:w="1809" w:type="pct"/>
            <w:vAlign w:val="center"/>
          </w:tcPr>
          <w:p w14:paraId="1ED82965">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茚并</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1，2，3-cd</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芘</w:t>
            </w:r>
          </w:p>
        </w:tc>
        <w:tc>
          <w:tcPr>
            <w:tcW w:w="1380" w:type="pct"/>
            <w:vAlign w:val="center"/>
          </w:tcPr>
          <w:p w14:paraId="0F57DEE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193-39-5</w:t>
            </w:r>
          </w:p>
        </w:tc>
        <w:tc>
          <w:tcPr>
            <w:tcW w:w="1364" w:type="pct"/>
            <w:vAlign w:val="center"/>
          </w:tcPr>
          <w:p w14:paraId="2B136C4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r>
      <w:tr w14:paraId="0602A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28313A3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45</w:t>
            </w:r>
          </w:p>
        </w:tc>
        <w:tc>
          <w:tcPr>
            <w:tcW w:w="1809" w:type="pct"/>
            <w:vAlign w:val="center"/>
          </w:tcPr>
          <w:p w14:paraId="7B0D0C0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萘</w:t>
            </w:r>
          </w:p>
        </w:tc>
        <w:tc>
          <w:tcPr>
            <w:tcW w:w="1380" w:type="pct"/>
            <w:vAlign w:val="center"/>
          </w:tcPr>
          <w:p w14:paraId="2014927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91-20-3</w:t>
            </w:r>
          </w:p>
        </w:tc>
        <w:tc>
          <w:tcPr>
            <w:tcW w:w="1364" w:type="pct"/>
            <w:vAlign w:val="center"/>
          </w:tcPr>
          <w:p w14:paraId="5A0AD36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r>
      <w:tr w14:paraId="3BA08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FDA8F6F">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其他项目</w:t>
            </w:r>
          </w:p>
        </w:tc>
      </w:tr>
      <w:tr w14:paraId="69AC9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14:paraId="7B00A8A8">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46</w:t>
            </w:r>
          </w:p>
        </w:tc>
        <w:tc>
          <w:tcPr>
            <w:tcW w:w="1809" w:type="pct"/>
            <w:vAlign w:val="center"/>
          </w:tcPr>
          <w:p w14:paraId="5ECBD39A">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40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80" w:type="pct"/>
            <w:vAlign w:val="center"/>
          </w:tcPr>
          <w:p w14:paraId="23538A70">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p>
        </w:tc>
        <w:tc>
          <w:tcPr>
            <w:tcW w:w="1364" w:type="pct"/>
            <w:vAlign w:val="center"/>
          </w:tcPr>
          <w:p w14:paraId="634613C6">
            <w:pPr>
              <w:keepNext w:val="0"/>
              <w:keepLines w:val="0"/>
              <w:pageBreakBefore w:val="0"/>
              <w:widowControl w:val="0"/>
              <w:kinsoku/>
              <w:wordWrap/>
              <w:overflowPunct w:val="0"/>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4500</w:t>
            </w:r>
          </w:p>
        </w:tc>
      </w:tr>
    </w:tbl>
    <w:p w14:paraId="19ED521F">
      <w:pPr>
        <w:keepNext w:val="0"/>
        <w:keepLines w:val="0"/>
        <w:pageBreakBefore w:val="0"/>
        <w:widowControl w:val="0"/>
        <w:kinsoku/>
        <w:wordWrap/>
        <w:topLinePunct w:val="0"/>
        <w:bidi w:val="0"/>
        <w:spacing w:after="0"/>
        <w:jc w:val="center"/>
        <w:rPr>
          <w:rStyle w:val="43"/>
          <w:rFonts w:hint="default" w:ascii="Times New Roman" w:hAnsi="Times New Roman" w:cs="Times New Roman"/>
          <w:color w:val="000000" w:themeColor="text1"/>
          <w:highlight w:val="none"/>
          <w14:textFill>
            <w14:solidFill>
              <w14:schemeClr w14:val="tx1"/>
            </w14:solidFill>
          </w14:textFill>
        </w:rPr>
      </w:pPr>
      <w:r>
        <w:rPr>
          <w:rStyle w:val="43"/>
          <w:rFonts w:hint="eastAsia" w:ascii="Times New Roman" w:hAnsi="Times New Roman" w:eastAsia="宋体" w:cs="Times New Roman"/>
          <w:color w:val="000000" w:themeColor="text1"/>
          <w:highlight w:val="none"/>
          <w:lang w:eastAsia="zh-CN"/>
          <w14:textFill>
            <w14:solidFill>
              <w14:schemeClr w14:val="tx1"/>
            </w14:solidFill>
          </w14:textFill>
        </w:rPr>
        <w:t>表2.5-</w:t>
      </w:r>
      <w:r>
        <w:rPr>
          <w:rStyle w:val="43"/>
          <w:rFonts w:hint="default" w:ascii="Times New Roman" w:hAnsi="Times New Roman" w:cs="Times New Roman"/>
          <w:color w:val="000000" w:themeColor="text1"/>
          <w:highlight w:val="none"/>
          <w:lang w:val="en-US" w:eastAsia="zh-CN"/>
          <w14:textFill>
            <w14:solidFill>
              <w14:schemeClr w14:val="tx1"/>
            </w14:solidFill>
          </w14:textFill>
        </w:rPr>
        <w:t>5</w:t>
      </w:r>
      <w:r>
        <w:rPr>
          <w:rStyle w:val="43"/>
          <w:rFonts w:hint="default" w:ascii="Times New Roman" w:hAnsi="Times New Roman" w:cs="Times New Roman"/>
          <w:color w:val="000000" w:themeColor="text1"/>
          <w:highlight w:val="none"/>
          <w14:textFill>
            <w14:solidFill>
              <w14:schemeClr w14:val="tx1"/>
            </w14:solidFill>
          </w14:textFill>
        </w:rPr>
        <w:t>农用地土壤污染风险筛选值单位：mg/kg</w:t>
      </w: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2277"/>
        <w:gridCol w:w="1615"/>
        <w:gridCol w:w="1680"/>
        <w:gridCol w:w="1680"/>
        <w:gridCol w:w="1180"/>
      </w:tblGrid>
      <w:tr w14:paraId="19854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Merge w:val="restart"/>
            <w:vAlign w:val="center"/>
          </w:tcPr>
          <w:p w14:paraId="003881A0">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1226" w:type="pct"/>
            <w:vMerge w:val="restart"/>
            <w:vAlign w:val="center"/>
          </w:tcPr>
          <w:p w14:paraId="3C6C5D13">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污染物项目</w:t>
            </w:r>
          </w:p>
        </w:tc>
        <w:tc>
          <w:tcPr>
            <w:tcW w:w="3312" w:type="pct"/>
            <w:gridSpan w:val="4"/>
            <w:vAlign w:val="center"/>
          </w:tcPr>
          <w:p w14:paraId="006F7C31">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其他风险筛选值</w:t>
            </w:r>
          </w:p>
        </w:tc>
      </w:tr>
      <w:tr w14:paraId="0B636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Merge w:val="continue"/>
            <w:vAlign w:val="center"/>
          </w:tcPr>
          <w:p w14:paraId="24A8BF79">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p>
        </w:tc>
        <w:tc>
          <w:tcPr>
            <w:tcW w:w="1226" w:type="pct"/>
            <w:vMerge w:val="continue"/>
            <w:vAlign w:val="center"/>
          </w:tcPr>
          <w:p w14:paraId="74EF975C">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p>
        </w:tc>
        <w:tc>
          <w:tcPr>
            <w:tcW w:w="869" w:type="pct"/>
            <w:vAlign w:val="center"/>
          </w:tcPr>
          <w:p w14:paraId="3CB7F4A8">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pH≤5.5</w:t>
            </w:r>
          </w:p>
        </w:tc>
        <w:tc>
          <w:tcPr>
            <w:tcW w:w="904" w:type="pct"/>
            <w:vAlign w:val="center"/>
          </w:tcPr>
          <w:p w14:paraId="033E7715">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5.5&lt;pH≤6.5</w:t>
            </w:r>
          </w:p>
        </w:tc>
        <w:tc>
          <w:tcPr>
            <w:tcW w:w="904" w:type="pct"/>
            <w:vAlign w:val="center"/>
          </w:tcPr>
          <w:p w14:paraId="18B23DFE">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6.5&lt;pH≤7.5</w:t>
            </w:r>
          </w:p>
        </w:tc>
        <w:tc>
          <w:tcPr>
            <w:tcW w:w="634" w:type="pct"/>
            <w:vAlign w:val="center"/>
          </w:tcPr>
          <w:p w14:paraId="41F8129C">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pH&gt;7.5</w:t>
            </w:r>
          </w:p>
        </w:tc>
      </w:tr>
      <w:tr w14:paraId="09ABC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45757111">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226" w:type="pct"/>
            <w:vAlign w:val="center"/>
          </w:tcPr>
          <w:p w14:paraId="7D959261">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镉</w:t>
            </w:r>
          </w:p>
        </w:tc>
        <w:tc>
          <w:tcPr>
            <w:tcW w:w="869" w:type="pct"/>
            <w:vAlign w:val="center"/>
          </w:tcPr>
          <w:p w14:paraId="26FE2558">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0.3</w:t>
            </w:r>
          </w:p>
        </w:tc>
        <w:tc>
          <w:tcPr>
            <w:tcW w:w="904" w:type="pct"/>
            <w:vAlign w:val="center"/>
          </w:tcPr>
          <w:p w14:paraId="0C10512E">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0.3</w:t>
            </w:r>
          </w:p>
        </w:tc>
        <w:tc>
          <w:tcPr>
            <w:tcW w:w="904" w:type="pct"/>
            <w:vAlign w:val="center"/>
          </w:tcPr>
          <w:p w14:paraId="3132D8A0">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0.3</w:t>
            </w:r>
          </w:p>
        </w:tc>
        <w:tc>
          <w:tcPr>
            <w:tcW w:w="634" w:type="pct"/>
            <w:vAlign w:val="center"/>
          </w:tcPr>
          <w:p w14:paraId="7E10D532">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0.6</w:t>
            </w:r>
          </w:p>
        </w:tc>
      </w:tr>
      <w:tr w14:paraId="7F746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70BE23C0">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226" w:type="pct"/>
            <w:vAlign w:val="center"/>
          </w:tcPr>
          <w:p w14:paraId="58BCC075">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汞</w:t>
            </w:r>
          </w:p>
        </w:tc>
        <w:tc>
          <w:tcPr>
            <w:tcW w:w="869" w:type="pct"/>
            <w:vAlign w:val="center"/>
          </w:tcPr>
          <w:p w14:paraId="396DAB37">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1.3</w:t>
            </w:r>
          </w:p>
        </w:tc>
        <w:tc>
          <w:tcPr>
            <w:tcW w:w="904" w:type="pct"/>
            <w:vAlign w:val="center"/>
          </w:tcPr>
          <w:p w14:paraId="1EFF0E42">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w:t>
            </w:r>
          </w:p>
        </w:tc>
        <w:tc>
          <w:tcPr>
            <w:tcW w:w="904" w:type="pct"/>
            <w:vAlign w:val="center"/>
          </w:tcPr>
          <w:p w14:paraId="2BCF82EE">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2.4</w:t>
            </w:r>
          </w:p>
        </w:tc>
        <w:tc>
          <w:tcPr>
            <w:tcW w:w="634" w:type="pct"/>
            <w:vAlign w:val="center"/>
          </w:tcPr>
          <w:p w14:paraId="1765CC4D">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3.4</w:t>
            </w:r>
          </w:p>
        </w:tc>
      </w:tr>
      <w:tr w14:paraId="1AC47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4500E9D8">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226" w:type="pct"/>
            <w:vAlign w:val="center"/>
          </w:tcPr>
          <w:p w14:paraId="5375426B">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砷</w:t>
            </w:r>
          </w:p>
        </w:tc>
        <w:tc>
          <w:tcPr>
            <w:tcW w:w="869" w:type="pct"/>
            <w:vAlign w:val="center"/>
          </w:tcPr>
          <w:p w14:paraId="201CE1F5">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40</w:t>
            </w:r>
          </w:p>
        </w:tc>
        <w:tc>
          <w:tcPr>
            <w:tcW w:w="904" w:type="pct"/>
            <w:vAlign w:val="center"/>
          </w:tcPr>
          <w:p w14:paraId="0F35DFCE">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40</w:t>
            </w:r>
          </w:p>
        </w:tc>
        <w:tc>
          <w:tcPr>
            <w:tcW w:w="904" w:type="pct"/>
            <w:vAlign w:val="center"/>
          </w:tcPr>
          <w:p w14:paraId="50230D8F">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w:t>
            </w:r>
          </w:p>
        </w:tc>
        <w:tc>
          <w:tcPr>
            <w:tcW w:w="634" w:type="pct"/>
            <w:vAlign w:val="center"/>
          </w:tcPr>
          <w:p w14:paraId="377486BF">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w:t>
            </w:r>
          </w:p>
        </w:tc>
      </w:tr>
      <w:tr w14:paraId="6C403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298BCF81">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226" w:type="pct"/>
            <w:vAlign w:val="center"/>
          </w:tcPr>
          <w:p w14:paraId="1F1E3827">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铅</w:t>
            </w:r>
          </w:p>
        </w:tc>
        <w:tc>
          <w:tcPr>
            <w:tcW w:w="869" w:type="pct"/>
            <w:vAlign w:val="center"/>
          </w:tcPr>
          <w:p w14:paraId="2D3FB4D2">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70</w:t>
            </w:r>
          </w:p>
        </w:tc>
        <w:tc>
          <w:tcPr>
            <w:tcW w:w="904" w:type="pct"/>
            <w:vAlign w:val="center"/>
          </w:tcPr>
          <w:p w14:paraId="55DB5A3A">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90</w:t>
            </w:r>
          </w:p>
        </w:tc>
        <w:tc>
          <w:tcPr>
            <w:tcW w:w="904" w:type="pct"/>
            <w:vAlign w:val="center"/>
          </w:tcPr>
          <w:p w14:paraId="0B25BD73">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120</w:t>
            </w:r>
          </w:p>
        </w:tc>
        <w:tc>
          <w:tcPr>
            <w:tcW w:w="634" w:type="pct"/>
            <w:vAlign w:val="center"/>
          </w:tcPr>
          <w:p w14:paraId="65260984">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170</w:t>
            </w:r>
          </w:p>
        </w:tc>
      </w:tr>
      <w:tr w14:paraId="020C1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0E286A8F">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226" w:type="pct"/>
            <w:vAlign w:val="center"/>
          </w:tcPr>
          <w:p w14:paraId="4BC8C3AD">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铬</w:t>
            </w:r>
          </w:p>
        </w:tc>
        <w:tc>
          <w:tcPr>
            <w:tcW w:w="869" w:type="pct"/>
            <w:vAlign w:val="center"/>
          </w:tcPr>
          <w:p w14:paraId="5D88F505">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150</w:t>
            </w:r>
          </w:p>
        </w:tc>
        <w:tc>
          <w:tcPr>
            <w:tcW w:w="904" w:type="pct"/>
            <w:vAlign w:val="center"/>
          </w:tcPr>
          <w:p w14:paraId="365BA7B4">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150</w:t>
            </w:r>
          </w:p>
        </w:tc>
        <w:tc>
          <w:tcPr>
            <w:tcW w:w="904" w:type="pct"/>
            <w:vAlign w:val="center"/>
          </w:tcPr>
          <w:p w14:paraId="2B60FD4E">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200</w:t>
            </w:r>
          </w:p>
        </w:tc>
        <w:tc>
          <w:tcPr>
            <w:tcW w:w="634" w:type="pct"/>
            <w:vAlign w:val="center"/>
          </w:tcPr>
          <w:p w14:paraId="68C44BA0">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250</w:t>
            </w:r>
          </w:p>
        </w:tc>
      </w:tr>
      <w:tr w14:paraId="43BC9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33DBA1EB">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226" w:type="pct"/>
            <w:vAlign w:val="center"/>
          </w:tcPr>
          <w:p w14:paraId="00BAE043">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铜</w:t>
            </w:r>
          </w:p>
        </w:tc>
        <w:tc>
          <w:tcPr>
            <w:tcW w:w="869" w:type="pct"/>
            <w:vAlign w:val="center"/>
          </w:tcPr>
          <w:p w14:paraId="2894281F">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904" w:type="pct"/>
            <w:vAlign w:val="center"/>
          </w:tcPr>
          <w:p w14:paraId="7684A108">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w:t>
            </w:r>
          </w:p>
        </w:tc>
        <w:tc>
          <w:tcPr>
            <w:tcW w:w="904" w:type="pct"/>
            <w:vAlign w:val="center"/>
          </w:tcPr>
          <w:p w14:paraId="3A7B31C0">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100</w:t>
            </w:r>
          </w:p>
        </w:tc>
        <w:tc>
          <w:tcPr>
            <w:tcW w:w="634" w:type="pct"/>
            <w:vAlign w:val="center"/>
          </w:tcPr>
          <w:p w14:paraId="5E8E12EF">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100</w:t>
            </w:r>
          </w:p>
        </w:tc>
      </w:tr>
      <w:tr w14:paraId="2C923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6BED5D15">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1226" w:type="pct"/>
            <w:vAlign w:val="center"/>
          </w:tcPr>
          <w:p w14:paraId="6E5368B4">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镍</w:t>
            </w:r>
          </w:p>
        </w:tc>
        <w:tc>
          <w:tcPr>
            <w:tcW w:w="869" w:type="pct"/>
            <w:vAlign w:val="center"/>
          </w:tcPr>
          <w:p w14:paraId="7BCF5363">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60</w:t>
            </w:r>
          </w:p>
        </w:tc>
        <w:tc>
          <w:tcPr>
            <w:tcW w:w="904" w:type="pct"/>
            <w:vAlign w:val="center"/>
          </w:tcPr>
          <w:p w14:paraId="49691793">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70</w:t>
            </w:r>
          </w:p>
        </w:tc>
        <w:tc>
          <w:tcPr>
            <w:tcW w:w="904" w:type="pct"/>
            <w:vAlign w:val="center"/>
          </w:tcPr>
          <w:p w14:paraId="03D2E882">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100</w:t>
            </w:r>
          </w:p>
        </w:tc>
        <w:tc>
          <w:tcPr>
            <w:tcW w:w="634" w:type="pct"/>
            <w:vAlign w:val="center"/>
          </w:tcPr>
          <w:p w14:paraId="1B9FBAFD">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190</w:t>
            </w:r>
          </w:p>
        </w:tc>
      </w:tr>
      <w:tr w14:paraId="2D381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35856FE3">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226" w:type="pct"/>
            <w:vAlign w:val="center"/>
          </w:tcPr>
          <w:p w14:paraId="2C6CB3A7">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锌</w:t>
            </w:r>
          </w:p>
        </w:tc>
        <w:tc>
          <w:tcPr>
            <w:tcW w:w="869" w:type="pct"/>
            <w:vAlign w:val="center"/>
          </w:tcPr>
          <w:p w14:paraId="25308632">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200</w:t>
            </w:r>
          </w:p>
        </w:tc>
        <w:tc>
          <w:tcPr>
            <w:tcW w:w="904" w:type="pct"/>
            <w:vAlign w:val="center"/>
          </w:tcPr>
          <w:p w14:paraId="59B9FD07">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200</w:t>
            </w:r>
          </w:p>
        </w:tc>
        <w:tc>
          <w:tcPr>
            <w:tcW w:w="904" w:type="pct"/>
            <w:vAlign w:val="center"/>
          </w:tcPr>
          <w:p w14:paraId="16022A63">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250</w:t>
            </w:r>
          </w:p>
        </w:tc>
        <w:tc>
          <w:tcPr>
            <w:tcW w:w="634" w:type="pct"/>
            <w:vAlign w:val="center"/>
          </w:tcPr>
          <w:p w14:paraId="79282E9D">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300</w:t>
            </w:r>
          </w:p>
        </w:tc>
      </w:tr>
      <w:tr w14:paraId="771EA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14:paraId="3C329BE4">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1226" w:type="pct"/>
            <w:vAlign w:val="center"/>
          </w:tcPr>
          <w:p w14:paraId="0E658F22">
            <w:pPr>
              <w:pStyle w:val="4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石油烃（C</w:t>
            </w:r>
            <w:r>
              <w:rPr>
                <w:rFonts w:hint="default" w:ascii="Times New Roman" w:hAnsi="Times New Roman" w:cs="Times New Roman"/>
                <w:color w:val="000000" w:themeColor="text1"/>
                <w:highlight w:val="none"/>
                <w:vertAlign w:val="subscript"/>
                <w14:textFill>
                  <w14:solidFill>
                    <w14:schemeClr w14:val="tx1"/>
                  </w14:solidFill>
                </w14:textFill>
              </w:rPr>
              <w:t>10</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C</w:t>
            </w:r>
            <w:r>
              <w:rPr>
                <w:rFonts w:hint="default" w:ascii="Times New Roman" w:hAnsi="Times New Roman" w:cs="Times New Roman"/>
                <w:color w:val="000000" w:themeColor="text1"/>
                <w:highlight w:val="none"/>
                <w:vertAlign w:val="subscript"/>
                <w14:textFill>
                  <w14:solidFill>
                    <w14:schemeClr w14:val="tx1"/>
                  </w14:solidFill>
                </w14:textFill>
              </w:rPr>
              <w:t>40</w:t>
            </w:r>
            <w:r>
              <w:rPr>
                <w:rFonts w:hint="default" w:ascii="Times New Roman" w:hAnsi="Times New Roman" w:cs="Times New Roman"/>
                <w:color w:val="000000" w:themeColor="text1"/>
                <w:highlight w:val="none"/>
                <w14:textFill>
                  <w14:solidFill>
                    <w14:schemeClr w14:val="tx1"/>
                  </w14:solidFill>
                </w14:textFill>
              </w:rPr>
              <w:t>）</w:t>
            </w:r>
          </w:p>
        </w:tc>
        <w:tc>
          <w:tcPr>
            <w:tcW w:w="3312" w:type="pct"/>
            <w:gridSpan w:val="4"/>
            <w:vAlign w:val="center"/>
          </w:tcPr>
          <w:p w14:paraId="603B84FB">
            <w:pPr>
              <w:pStyle w:val="49"/>
              <w:keepNext w:val="0"/>
              <w:keepLines w:val="0"/>
              <w:pageBreakBefore w:val="0"/>
              <w:widowControl w:val="0"/>
              <w:kinsoku/>
              <w:wordWrap/>
              <w:topLinePunct w:val="0"/>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4500</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参照执行《土壤环境质量建设用地土壤污染风险管控标准</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试行</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GB36600-2018</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表2中第二类用地风险筛选值</w:t>
            </w:r>
            <w:r>
              <w:rPr>
                <w:rFonts w:hint="eastAsia" w:ascii="Times New Roman" w:hAnsi="Times New Roman" w:cs="Times New Roman"/>
                <w:color w:val="000000" w:themeColor="text1"/>
                <w:highlight w:val="none"/>
                <w:lang w:eastAsia="zh-CN"/>
                <w14:textFill>
                  <w14:solidFill>
                    <w14:schemeClr w14:val="tx1"/>
                  </w14:solidFill>
                </w14:textFill>
              </w:rPr>
              <w:t>）</w:t>
            </w:r>
          </w:p>
        </w:tc>
      </w:tr>
    </w:tbl>
    <w:p w14:paraId="06659B41">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pPr>
      <w:r>
        <w:rPr>
          <w:rFonts w:hint="eastAsia" w:eastAsia="宋体" w:cs="Times New Roman"/>
          <w:b w:val="0"/>
          <w:bCs/>
          <w:color w:val="000000" w:themeColor="text1"/>
          <w:kern w:val="2"/>
          <w:sz w:val="24"/>
          <w:szCs w:val="28"/>
          <w:highlight w:val="none"/>
          <w:lang w:eastAsia="zh-CN"/>
          <w14:textFill>
            <w14:solidFill>
              <w14:schemeClr w14:val="tx1"/>
            </w14:solidFill>
          </w14:textFill>
        </w:rPr>
        <w:t>2.5.</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2.2</w:t>
      </w:r>
      <w:r>
        <w:rPr>
          <w:rFonts w:hint="default" w:ascii="Times New Roman" w:hAnsi="Times New Roman" w:eastAsia="宋体" w:cs="Times New Roman"/>
          <w:b w:val="0"/>
          <w:bCs/>
          <w:color w:val="000000" w:themeColor="text1"/>
          <w:kern w:val="2"/>
          <w:sz w:val="24"/>
          <w:szCs w:val="28"/>
          <w:highlight w:val="none"/>
          <w:lang w:eastAsia="zh-CN"/>
          <w14:textFill>
            <w14:solidFill>
              <w14:schemeClr w14:val="tx1"/>
            </w14:solidFill>
          </w14:textFill>
        </w:rPr>
        <w:t>污染物排放标准</w:t>
      </w:r>
    </w:p>
    <w:p w14:paraId="737029FE">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废气污染物排放标准</w:t>
      </w:r>
    </w:p>
    <w:p w14:paraId="64AAC136">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施工期扬尘执行《大气污染物综合排放标准》（GB16297-1996）中无组织排放监控浓度限值，见</w:t>
      </w:r>
      <w:r>
        <w:rPr>
          <w:rFonts w:hint="eastAsia" w:cs="Times New Roman"/>
          <w:snapToGrid w:val="0"/>
          <w:color w:val="000000" w:themeColor="text1"/>
          <w:highlight w:val="none"/>
          <w:lang w:eastAsia="zh-CN"/>
          <w14:textFill>
            <w14:solidFill>
              <w14:schemeClr w14:val="tx1"/>
            </w14:solidFill>
          </w14:textFill>
        </w:rPr>
        <w:t>表2.5-</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6。</w:t>
      </w:r>
    </w:p>
    <w:p w14:paraId="72474E64">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表2.5-</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bCs/>
          <w:color w:val="000000" w:themeColor="text1"/>
          <w:highlight w:val="none"/>
          <w14:textFill>
            <w14:solidFill>
              <w14:schemeClr w14:val="tx1"/>
            </w14:solidFill>
          </w14:textFill>
        </w:rPr>
        <w:t>大气污染物综合排放标准</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91"/>
        <w:gridCol w:w="4478"/>
        <w:gridCol w:w="2513"/>
      </w:tblGrid>
      <w:tr w14:paraId="41FF2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4" w:type="pct"/>
            <w:vAlign w:val="center"/>
          </w:tcPr>
          <w:p w14:paraId="30D6E8A6">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污染物</w:t>
            </w:r>
          </w:p>
        </w:tc>
        <w:tc>
          <w:tcPr>
            <w:tcW w:w="2411" w:type="pct"/>
            <w:vAlign w:val="center"/>
          </w:tcPr>
          <w:p w14:paraId="44D7DB14">
            <w:pPr>
              <w:pStyle w:val="49"/>
              <w:keepNext w:val="0"/>
              <w:keepLines w:val="0"/>
              <w:pageBreakBefore w:val="0"/>
              <w:widowControl w:val="0"/>
              <w:kinsoku/>
              <w:wordWrap/>
              <w:topLinePunct w:val="0"/>
              <w:bidi w:val="0"/>
              <w:rPr>
                <w:rFonts w:hint="default" w:ascii="Times New Roman" w:hAnsi="Times New Roman" w:eastAsia="宋体" w:cs="Times New Roman"/>
                <w:b/>
                <w:color w:val="000000" w:themeColor="text1"/>
                <w:highlight w:val="none"/>
                <w:lang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无组织排放监控浓度限值</w:t>
            </w:r>
            <w:r>
              <w:rPr>
                <w:rFonts w:hint="default" w:ascii="Times New Roman" w:hAnsi="Times New Roman" w:cs="Times New Roman"/>
                <w:b/>
                <w:color w:val="000000" w:themeColor="text1"/>
                <w:highlight w:val="none"/>
                <w:lang w:eastAsia="zh-CN"/>
                <w14:textFill>
                  <w14:solidFill>
                    <w14:schemeClr w14:val="tx1"/>
                  </w14:solidFill>
                </w14:textFill>
              </w:rPr>
              <w:t>（</w:t>
            </w:r>
            <w:r>
              <w:rPr>
                <w:rFonts w:hint="default" w:ascii="Times New Roman" w:hAnsi="Times New Roman" w:cs="Times New Roman"/>
                <w:b/>
                <w:color w:val="000000" w:themeColor="text1"/>
                <w:highlight w:val="none"/>
                <w:lang w:val="en-US" w:eastAsia="zh-CN"/>
                <w14:textFill>
                  <w14:solidFill>
                    <w14:schemeClr w14:val="tx1"/>
                  </w14:solidFill>
                </w14:textFill>
              </w:rPr>
              <w:t>监控点</w:t>
            </w:r>
            <w:r>
              <w:rPr>
                <w:rFonts w:hint="default" w:ascii="Times New Roman" w:hAnsi="Times New Roman" w:cs="Times New Roman"/>
                <w:b/>
                <w:color w:val="000000" w:themeColor="text1"/>
                <w:highlight w:val="none"/>
                <w:lang w:eastAsia="zh-CN"/>
                <w14:textFill>
                  <w14:solidFill>
                    <w14:schemeClr w14:val="tx1"/>
                  </w14:solidFill>
                </w14:textFill>
              </w:rPr>
              <w:t>）</w:t>
            </w:r>
          </w:p>
        </w:tc>
        <w:tc>
          <w:tcPr>
            <w:tcW w:w="1353" w:type="pct"/>
            <w:vAlign w:val="center"/>
          </w:tcPr>
          <w:p w14:paraId="342F630A">
            <w:pPr>
              <w:pStyle w:val="49"/>
              <w:keepNext w:val="0"/>
              <w:keepLines w:val="0"/>
              <w:pageBreakBefore w:val="0"/>
              <w:widowControl w:val="0"/>
              <w:kinsoku/>
              <w:wordWrap/>
              <w:topLinePunct w:val="0"/>
              <w:bidi w:val="0"/>
              <w:rPr>
                <w:rFonts w:hint="default" w:ascii="Times New Roman" w:hAnsi="Times New Roman" w:cs="Times New Roman"/>
                <w:b/>
                <w:color w:val="000000" w:themeColor="text1"/>
                <w:highlight w:val="none"/>
                <w:lang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浓度</w:t>
            </w:r>
            <w:r>
              <w:rPr>
                <w:rFonts w:hint="default" w:ascii="Times New Roman" w:hAnsi="Times New Roman" w:cs="Times New Roman"/>
                <w:b/>
                <w:color w:val="000000" w:themeColor="text1"/>
                <w:highlight w:val="none"/>
                <w:lang w:eastAsia="zh-CN"/>
                <w14:textFill>
                  <w14:solidFill>
                    <w14:schemeClr w14:val="tx1"/>
                  </w14:solidFill>
                </w14:textFill>
              </w:rPr>
              <w:t>（mg/m</w:t>
            </w:r>
            <w:r>
              <w:rPr>
                <w:rFonts w:hint="default" w:ascii="Times New Roman" w:hAnsi="Times New Roman" w:cs="Times New Roman"/>
                <w:b/>
                <w:color w:val="000000" w:themeColor="text1"/>
                <w:highlight w:val="none"/>
                <w:vertAlign w:val="superscript"/>
                <w:lang w:eastAsia="zh-CN"/>
                <w14:textFill>
                  <w14:solidFill>
                    <w14:schemeClr w14:val="tx1"/>
                  </w14:solidFill>
                </w14:textFill>
              </w:rPr>
              <w:t>3</w:t>
            </w:r>
            <w:r>
              <w:rPr>
                <w:rFonts w:hint="default" w:ascii="Times New Roman" w:hAnsi="Times New Roman" w:cs="Times New Roman"/>
                <w:b/>
                <w:color w:val="000000" w:themeColor="text1"/>
                <w:highlight w:val="none"/>
                <w:lang w:eastAsia="zh-CN"/>
                <w14:textFill>
                  <w14:solidFill>
                    <w14:schemeClr w14:val="tx1"/>
                  </w14:solidFill>
                </w14:textFill>
              </w:rPr>
              <w:t>）</w:t>
            </w:r>
          </w:p>
        </w:tc>
      </w:tr>
      <w:tr w14:paraId="050E3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34" w:type="pct"/>
            <w:vAlign w:val="center"/>
          </w:tcPr>
          <w:p w14:paraId="6ACE1AEC">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颗粒物</w:t>
            </w:r>
          </w:p>
        </w:tc>
        <w:tc>
          <w:tcPr>
            <w:tcW w:w="2411" w:type="pct"/>
            <w:vAlign w:val="center"/>
          </w:tcPr>
          <w:p w14:paraId="1C1A0700">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周界外浓度最高点</w:t>
            </w:r>
          </w:p>
        </w:tc>
        <w:tc>
          <w:tcPr>
            <w:tcW w:w="1353" w:type="pct"/>
            <w:vAlign w:val="center"/>
          </w:tcPr>
          <w:p w14:paraId="78B8BFDF">
            <w:pPr>
              <w:pStyle w:val="5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w:t>
            </w:r>
          </w:p>
        </w:tc>
      </w:tr>
    </w:tbl>
    <w:p w14:paraId="73EF5697">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2</w:t>
      </w:r>
      <w:r>
        <w:rPr>
          <w:rFonts w:hint="default" w:ascii="Times New Roman" w:hAnsi="Times New Roman" w:cs="Times New Roman"/>
          <w:snapToGrid w:val="0"/>
          <w:color w:val="000000" w:themeColor="text1"/>
          <w:highlight w:val="none"/>
          <w:lang w:eastAsia="zh-CN"/>
          <w14:textFill>
            <w14:solidFill>
              <w14:schemeClr w14:val="tx1"/>
            </w14:solidFill>
          </w14:textFill>
        </w:rPr>
        <w:t>）噪声排放标准</w:t>
      </w:r>
    </w:p>
    <w:p w14:paraId="297E2891">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退役期</w:t>
      </w:r>
      <w:r>
        <w:rPr>
          <w:rFonts w:hint="default" w:ascii="Times New Roman" w:hAnsi="Times New Roman" w:eastAsia="宋体" w:cs="Times New Roman"/>
          <w:color w:val="000000" w:themeColor="text1"/>
          <w:sz w:val="24"/>
          <w:szCs w:val="24"/>
          <w:highlight w:val="none"/>
          <w14:textFill>
            <w14:solidFill>
              <w14:schemeClr w14:val="tx1"/>
            </w14:solidFill>
          </w14:textFill>
        </w:rPr>
        <w:t>噪声执行</w:t>
      </w:r>
      <w:r>
        <w:rPr>
          <w:rFonts w:hint="eastAsia" w:eastAsia="宋体" w:cs="Times New Roman"/>
          <w:color w:val="000000" w:themeColor="text1"/>
          <w:sz w:val="24"/>
          <w:szCs w:val="24"/>
          <w:highlight w:val="none"/>
          <w:lang w:eastAsia="zh-CN"/>
          <w14:textFill>
            <w14:solidFill>
              <w14:schemeClr w14:val="tx1"/>
            </w14:solidFill>
          </w14:textFill>
        </w:rPr>
        <w:t>《建筑施工噪声排放标准》（GB12523-2025）</w:t>
      </w:r>
      <w:r>
        <w:rPr>
          <w:rFonts w:hint="default" w:ascii="Times New Roman" w:hAnsi="Times New Roman" w:eastAsia="宋体" w:cs="Times New Roman"/>
          <w:color w:val="000000" w:themeColor="text1"/>
          <w:sz w:val="24"/>
          <w:szCs w:val="24"/>
          <w:highlight w:val="none"/>
          <w14:textFill>
            <w14:solidFill>
              <w14:schemeClr w14:val="tx1"/>
            </w14:solidFill>
          </w14:textFill>
        </w:rPr>
        <w:t>具体见</w:t>
      </w:r>
      <w:r>
        <w:rPr>
          <w:rFonts w:hint="eastAsia" w:eastAsia="宋体" w:cs="Times New Roman"/>
          <w:color w:val="000000" w:themeColor="text1"/>
          <w:sz w:val="24"/>
          <w:szCs w:val="24"/>
          <w:highlight w:val="none"/>
          <w:lang w:eastAsia="zh-CN"/>
          <w14:textFill>
            <w14:solidFill>
              <w14:schemeClr w14:val="tx1"/>
            </w14:solidFill>
          </w14:textFill>
        </w:rPr>
        <w:t>表2.5-</w:t>
      </w:r>
      <w:r>
        <w:rPr>
          <w:rFonts w:hint="eastAsia"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000599E">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表2.5-</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eastAsia="zh-CN"/>
          <w14:textFill>
            <w14:solidFill>
              <w14:schemeClr w14:val="tx1"/>
            </w14:solidFill>
          </w14:textFill>
        </w:rPr>
        <w:t>建筑施工场界噪声排放标准单位：dB（A）</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5E5F7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500" w:type="pct"/>
            <w:tcBorders>
              <w:tl2br w:val="nil"/>
              <w:tr2bl w:val="nil"/>
            </w:tcBorders>
            <w:noWrap w:val="0"/>
            <w:vAlign w:val="center"/>
          </w:tcPr>
          <w:p w14:paraId="0A8B1A3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昼间</w:t>
            </w:r>
          </w:p>
        </w:tc>
        <w:tc>
          <w:tcPr>
            <w:tcW w:w="2500" w:type="pct"/>
            <w:tcBorders>
              <w:tl2br w:val="nil"/>
              <w:tr2bl w:val="nil"/>
            </w:tcBorders>
            <w:noWrap w:val="0"/>
            <w:vAlign w:val="center"/>
          </w:tcPr>
          <w:p w14:paraId="4024680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夜间</w:t>
            </w:r>
          </w:p>
        </w:tc>
      </w:tr>
      <w:tr w14:paraId="67B7F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500" w:type="pct"/>
            <w:tcBorders>
              <w:tl2br w:val="nil"/>
              <w:tr2bl w:val="nil"/>
            </w:tcBorders>
            <w:noWrap w:val="0"/>
            <w:vAlign w:val="center"/>
          </w:tcPr>
          <w:p w14:paraId="0574958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2500" w:type="pct"/>
            <w:tcBorders>
              <w:tl2br w:val="nil"/>
              <w:tr2bl w:val="nil"/>
            </w:tcBorders>
            <w:noWrap w:val="0"/>
            <w:vAlign w:val="center"/>
          </w:tcPr>
          <w:p w14:paraId="5AF02F9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55</w:t>
            </w:r>
          </w:p>
        </w:tc>
      </w:tr>
    </w:tbl>
    <w:p w14:paraId="30C43EFD">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3</w:t>
      </w:r>
      <w:r>
        <w:rPr>
          <w:rFonts w:hint="default" w:ascii="Times New Roman" w:hAnsi="Times New Roman" w:cs="Times New Roman"/>
          <w:snapToGrid w:val="0"/>
          <w:color w:val="000000" w:themeColor="text1"/>
          <w:highlight w:val="none"/>
          <w:lang w:eastAsia="zh-CN"/>
          <w14:textFill>
            <w14:solidFill>
              <w14:schemeClr w14:val="tx1"/>
            </w14:solidFill>
          </w14:textFill>
        </w:rPr>
        <w:t>）回注水水质指标</w:t>
      </w:r>
    </w:p>
    <w:p w14:paraId="38DCEBA0">
      <w:pPr>
        <w:pStyle w:val="45"/>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pPr>
      <w:r>
        <w:rPr>
          <w:rFonts w:hint="eastAsia" w:eastAsia="宋体" w:cs="Times New Roman"/>
          <w:bCs/>
          <w:iCs/>
          <w:color w:val="000000" w:themeColor="text1"/>
          <w:kern w:val="2"/>
          <w:sz w:val="24"/>
          <w:szCs w:val="24"/>
          <w:highlight w:val="none"/>
          <w:lang w:val="en-US" w:eastAsia="zh-CN" w:bidi="en-US"/>
          <w14:textFill>
            <w14:solidFill>
              <w14:schemeClr w14:val="tx1"/>
            </w14:solidFill>
          </w14:textFill>
        </w:rPr>
        <w:t>本项目</w:t>
      </w:r>
      <w:r>
        <w:rPr>
          <w:rFonts w:hint="default" w:ascii="Times New Roman" w:hAnsi="Times New Roman" w:eastAsia="宋体" w:cs="Times New Roman"/>
          <w:bCs/>
          <w:iCs/>
          <w:color w:val="000000" w:themeColor="text1"/>
          <w:kern w:val="2"/>
          <w:sz w:val="24"/>
          <w:szCs w:val="24"/>
          <w:highlight w:val="none"/>
          <w:lang w:val="en-US" w:eastAsia="zh-CN" w:bidi="en-US"/>
          <w14:textFill>
            <w14:solidFill>
              <w14:schemeClr w14:val="tx1"/>
            </w14:solidFill>
          </w14:textFill>
        </w:rPr>
        <w:t>施工期新建管道试压废水、废旧管道清管废水、退役期废旧管道清管废水由罐车拉运至</w:t>
      </w:r>
      <w:r>
        <w:rPr>
          <w:rFonts w:hint="eastAsia" w:eastAsia="宋体" w:cs="Times New Roman"/>
          <w:bCs/>
          <w:iCs/>
          <w:color w:val="000000" w:themeColor="text1"/>
          <w:kern w:val="2"/>
          <w:sz w:val="24"/>
          <w:szCs w:val="24"/>
          <w:highlight w:val="none"/>
          <w:lang w:val="en-US" w:eastAsia="zh-CN" w:bidi="en-US"/>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达标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后回注地下开采油层，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不外排。</w:t>
      </w:r>
    </w:p>
    <w:p w14:paraId="511FCA69">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eastAsia="宋体" w:cs="Times New Roman"/>
          <w:bCs/>
          <w:iCs/>
          <w:color w:val="000000" w:themeColor="text1"/>
          <w:kern w:val="2"/>
          <w:sz w:val="24"/>
          <w:szCs w:val="24"/>
          <w:highlight w:val="none"/>
          <w:lang w:val="en-US" w:eastAsia="zh-CN" w:bidi="en-US"/>
          <w14:textFill>
            <w14:solidFill>
              <w14:schemeClr w14:val="tx1"/>
            </w14:solidFill>
          </w14:textFill>
        </w:rPr>
        <w:t>宋一联含油污水处理站</w:t>
      </w:r>
      <w:r>
        <w:rPr>
          <w:rFonts w:hint="default" w:ascii="Times New Roman" w:hAnsi="Times New Roman" w:eastAsia="宋体" w:cs="Times New Roman"/>
          <w:color w:val="000000" w:themeColor="text1"/>
          <w:sz w:val="24"/>
          <w:szCs w:val="24"/>
          <w:highlight w:val="none"/>
          <w14:textFill>
            <w14:solidFill>
              <w14:schemeClr w14:val="tx1"/>
            </w14:solidFill>
          </w14:textFill>
        </w:rPr>
        <w:t>回注水指标执行《大庆油田地面工程建设设计规定》（</w:t>
      </w:r>
      <w:r>
        <w:rPr>
          <w:rStyle w:val="54"/>
          <w:rFonts w:hint="default" w:ascii="Times New Roman" w:hAnsi="Times New Roman" w:cs="Times New Roman"/>
          <w:color w:val="000000" w:themeColor="text1"/>
          <w:highlight w:val="none"/>
          <w14:textFill>
            <w14:solidFill>
              <w14:schemeClr w14:val="tx1"/>
            </w14:solidFill>
          </w14:textFill>
        </w:rPr>
        <w:t>Q/SYDQ0639-2015）中</w:t>
      </w:r>
      <w:r>
        <w:rPr>
          <w:rStyle w:val="54"/>
          <w:rFonts w:hint="default" w:ascii="Times New Roman" w:hAnsi="Times New Roman" w:eastAsia="宋体" w:cs="Times New Roman"/>
          <w:color w:val="000000" w:themeColor="text1"/>
          <w:highlight w:val="none"/>
          <w:lang w:eastAsia="zh-CN"/>
          <w14:textFill>
            <w14:solidFill>
              <w14:schemeClr w14:val="tx1"/>
            </w14:solidFill>
          </w14:textFill>
        </w:rPr>
        <w:t>“含油量≤10mg/L、悬浮固体含量≤5mg/L、悬浮物颗粒直径中值≤2μm”</w:t>
      </w:r>
      <w:r>
        <w:rPr>
          <w:rStyle w:val="54"/>
          <w:rFonts w:hint="default" w:ascii="Times New Roman" w:hAnsi="Times New Roman" w:cs="Times New Roman"/>
          <w:color w:val="000000" w:themeColor="text1"/>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14:textFill>
            <w14:solidFill>
              <w14:schemeClr w14:val="tx1"/>
            </w14:solidFill>
          </w14:textFill>
        </w:rPr>
        <w:t>同时</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满足</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《碎屑岩油藏注水水质指标技术要求及分析方法》（SY/T5329-2022）</w:t>
      </w:r>
      <w:r>
        <w:rPr>
          <w:rFonts w:hint="default" w:ascii="Times New Roman" w:hAnsi="Times New Roman" w:eastAsia="宋体" w:cs="Times New Roman"/>
          <w:color w:val="000000" w:themeColor="text1"/>
          <w:sz w:val="24"/>
          <w:szCs w:val="24"/>
          <w:highlight w:val="none"/>
          <w14:textFill>
            <w14:solidFill>
              <w14:schemeClr w14:val="tx1"/>
            </w14:solidFill>
          </w14:textFill>
        </w:rPr>
        <w:t>标准要求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9EAE10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《大庆油田地面工程建设设计规定》</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（Q/SYDQ0639-2015）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标准限值见</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表2.5-8</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《碎屑岩油藏注水水质指标技术要求及分析方法》（SY/T5329-2022）标准限值见</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表2.5-9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6C5F13A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表2.5-8</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大庆油田注水水质主要控制指标</w:t>
      </w:r>
    </w:p>
    <w:tbl>
      <w:tblPr>
        <w:tblStyle w:val="18"/>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863"/>
        <w:gridCol w:w="1027"/>
        <w:gridCol w:w="1208"/>
        <w:gridCol w:w="1208"/>
        <w:gridCol w:w="1031"/>
      </w:tblGrid>
      <w:tr w14:paraId="57DBA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9" w:type="dxa"/>
            <w:vMerge w:val="restart"/>
            <w:vAlign w:val="center"/>
          </w:tcPr>
          <w:p w14:paraId="2588C68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序号</w:t>
            </w:r>
          </w:p>
        </w:tc>
        <w:tc>
          <w:tcPr>
            <w:tcW w:w="3863" w:type="dxa"/>
            <w:vMerge w:val="restart"/>
            <w:vAlign w:val="center"/>
          </w:tcPr>
          <w:p w14:paraId="7473B80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项目</w:t>
            </w:r>
          </w:p>
        </w:tc>
        <w:tc>
          <w:tcPr>
            <w:tcW w:w="4474" w:type="dxa"/>
            <w:gridSpan w:val="4"/>
            <w:vAlign w:val="center"/>
          </w:tcPr>
          <w:p w14:paraId="49F98A2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空气渗透率μm</w:t>
            </w:r>
            <w:r>
              <w:rPr>
                <w:rFonts w:hint="default" w:ascii="Times New Roman" w:hAnsi="Times New Roman" w:eastAsia="宋体" w:cs="Times New Roman"/>
                <w:b/>
                <w:color w:val="000000" w:themeColor="text1"/>
                <w:kern w:val="2"/>
                <w:sz w:val="21"/>
                <w:szCs w:val="20"/>
                <w:highlight w:val="none"/>
                <w:vertAlign w:val="superscript"/>
                <w:lang w:val="en-US" w:eastAsia="zh-CN" w:bidi="ar-SA"/>
                <w14:textFill>
                  <w14:solidFill>
                    <w14:schemeClr w14:val="tx1"/>
                  </w14:solidFill>
                </w14:textFill>
              </w:rPr>
              <w:t>2</w:t>
            </w:r>
          </w:p>
        </w:tc>
      </w:tr>
      <w:tr w14:paraId="0723A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9" w:type="dxa"/>
            <w:vMerge w:val="continue"/>
            <w:vAlign w:val="center"/>
          </w:tcPr>
          <w:p w14:paraId="2C5B680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p>
        </w:tc>
        <w:tc>
          <w:tcPr>
            <w:tcW w:w="3863" w:type="dxa"/>
            <w:vMerge w:val="continue"/>
            <w:vAlign w:val="center"/>
          </w:tcPr>
          <w:p w14:paraId="7054664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p>
        </w:tc>
        <w:tc>
          <w:tcPr>
            <w:tcW w:w="1027" w:type="dxa"/>
            <w:vAlign w:val="center"/>
          </w:tcPr>
          <w:p w14:paraId="7D7A638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w:t>
            </w:r>
            <w:r>
              <w:rPr>
                <w:rFonts w:hint="eastAsia"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2</w:t>
            </w:r>
          </w:p>
        </w:tc>
        <w:tc>
          <w:tcPr>
            <w:tcW w:w="1208" w:type="dxa"/>
            <w:vAlign w:val="center"/>
          </w:tcPr>
          <w:p w14:paraId="13BE8A9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w:t>
            </w:r>
            <w:r>
              <w:rPr>
                <w:rFonts w:hint="eastAsia"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02</w:t>
            </w: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w:t>
            </w:r>
            <w:r>
              <w:rPr>
                <w:rFonts w:hint="eastAsia"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1</w:t>
            </w:r>
          </w:p>
        </w:tc>
        <w:tc>
          <w:tcPr>
            <w:tcW w:w="1208" w:type="dxa"/>
            <w:vAlign w:val="center"/>
          </w:tcPr>
          <w:p w14:paraId="51D747C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w:t>
            </w:r>
            <w:r>
              <w:rPr>
                <w:rFonts w:hint="eastAsia"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1</w:t>
            </w: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w:t>
            </w:r>
            <w:r>
              <w:rPr>
                <w:rFonts w:hint="eastAsia"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3</w:t>
            </w:r>
          </w:p>
        </w:tc>
        <w:tc>
          <w:tcPr>
            <w:tcW w:w="1031" w:type="dxa"/>
            <w:vAlign w:val="center"/>
          </w:tcPr>
          <w:p w14:paraId="73AF6CA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＞0.6</w:t>
            </w:r>
          </w:p>
        </w:tc>
      </w:tr>
      <w:tr w14:paraId="21067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9" w:type="dxa"/>
            <w:vAlign w:val="center"/>
          </w:tcPr>
          <w:p w14:paraId="2A1CD0A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3863" w:type="dxa"/>
            <w:vAlign w:val="center"/>
          </w:tcPr>
          <w:p w14:paraId="76227C7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含油量，mg/L</w:t>
            </w:r>
          </w:p>
        </w:tc>
        <w:tc>
          <w:tcPr>
            <w:tcW w:w="1027" w:type="dxa"/>
            <w:vAlign w:val="center"/>
          </w:tcPr>
          <w:p w14:paraId="2331EFC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1208" w:type="dxa"/>
            <w:vAlign w:val="center"/>
          </w:tcPr>
          <w:p w14:paraId="7E5FBA8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8</w:t>
            </w:r>
          </w:p>
        </w:tc>
        <w:tc>
          <w:tcPr>
            <w:tcW w:w="1208" w:type="dxa"/>
            <w:vAlign w:val="center"/>
          </w:tcPr>
          <w:p w14:paraId="7BA0C12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w:t>
            </w:r>
          </w:p>
        </w:tc>
        <w:tc>
          <w:tcPr>
            <w:tcW w:w="1031" w:type="dxa"/>
            <w:vAlign w:val="center"/>
          </w:tcPr>
          <w:p w14:paraId="78260ABE">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≤20</w:t>
            </w:r>
          </w:p>
        </w:tc>
      </w:tr>
      <w:tr w14:paraId="6E58A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9" w:type="dxa"/>
            <w:vAlign w:val="center"/>
          </w:tcPr>
          <w:p w14:paraId="36B9169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3863" w:type="dxa"/>
            <w:vAlign w:val="center"/>
          </w:tcPr>
          <w:p w14:paraId="50267D5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悬浮固体含量，mg/L</w:t>
            </w:r>
          </w:p>
        </w:tc>
        <w:tc>
          <w:tcPr>
            <w:tcW w:w="1027" w:type="dxa"/>
            <w:vAlign w:val="center"/>
          </w:tcPr>
          <w:p w14:paraId="70914CD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1208" w:type="dxa"/>
            <w:vAlign w:val="center"/>
          </w:tcPr>
          <w:p w14:paraId="2F0F87A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1208" w:type="dxa"/>
            <w:vAlign w:val="center"/>
          </w:tcPr>
          <w:p w14:paraId="1DAF96B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1031" w:type="dxa"/>
            <w:vAlign w:val="center"/>
          </w:tcPr>
          <w:p w14:paraId="4AA40DE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w:t>
            </w:r>
          </w:p>
        </w:tc>
      </w:tr>
      <w:tr w14:paraId="0DA55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9" w:type="dxa"/>
            <w:vAlign w:val="center"/>
          </w:tcPr>
          <w:p w14:paraId="05608D4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3863" w:type="dxa"/>
            <w:vAlign w:val="center"/>
          </w:tcPr>
          <w:p w14:paraId="054A685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悬浮物颗粒直径中值，μm</w:t>
            </w:r>
          </w:p>
        </w:tc>
        <w:tc>
          <w:tcPr>
            <w:tcW w:w="1027" w:type="dxa"/>
            <w:vAlign w:val="center"/>
          </w:tcPr>
          <w:p w14:paraId="2879E48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1208" w:type="dxa"/>
            <w:vAlign w:val="center"/>
          </w:tcPr>
          <w:p w14:paraId="38267F9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1208" w:type="dxa"/>
            <w:vAlign w:val="center"/>
          </w:tcPr>
          <w:p w14:paraId="5A683D4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1031" w:type="dxa"/>
            <w:vAlign w:val="center"/>
          </w:tcPr>
          <w:p w14:paraId="5D45D21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r>
    </w:tbl>
    <w:p w14:paraId="716264A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表2.5-9</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水质主要控制指标</w:t>
      </w:r>
    </w:p>
    <w:tbl>
      <w:tblPr>
        <w:tblStyle w:val="18"/>
        <w:tblW w:w="9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968"/>
        <w:gridCol w:w="1367"/>
        <w:gridCol w:w="1172"/>
        <w:gridCol w:w="1036"/>
        <w:gridCol w:w="1036"/>
        <w:gridCol w:w="890"/>
      </w:tblGrid>
      <w:tr w14:paraId="52FA5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Merge w:val="restart"/>
            <w:vAlign w:val="center"/>
          </w:tcPr>
          <w:p w14:paraId="5438807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序号</w:t>
            </w:r>
          </w:p>
        </w:tc>
        <w:tc>
          <w:tcPr>
            <w:tcW w:w="2968" w:type="dxa"/>
            <w:vMerge w:val="restart"/>
            <w:vAlign w:val="center"/>
          </w:tcPr>
          <w:p w14:paraId="6349B90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项目</w:t>
            </w:r>
          </w:p>
        </w:tc>
        <w:tc>
          <w:tcPr>
            <w:tcW w:w="5501" w:type="dxa"/>
            <w:gridSpan w:val="5"/>
            <w:vAlign w:val="center"/>
          </w:tcPr>
          <w:p w14:paraId="518F12A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空气渗透率μm</w:t>
            </w:r>
            <w:r>
              <w:rPr>
                <w:rFonts w:hint="default" w:ascii="Times New Roman" w:hAnsi="Times New Roman" w:eastAsia="宋体" w:cs="Times New Roman"/>
                <w:b/>
                <w:color w:val="000000" w:themeColor="text1"/>
                <w:kern w:val="2"/>
                <w:sz w:val="21"/>
                <w:szCs w:val="20"/>
                <w:highlight w:val="none"/>
                <w:vertAlign w:val="superscript"/>
                <w:lang w:val="en-US" w:eastAsia="zh-CN" w:bidi="ar-SA"/>
                <w14:textFill>
                  <w14:solidFill>
                    <w14:schemeClr w14:val="tx1"/>
                  </w14:solidFill>
                </w14:textFill>
              </w:rPr>
              <w:t>2</w:t>
            </w:r>
          </w:p>
        </w:tc>
      </w:tr>
      <w:tr w14:paraId="69718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5" w:type="dxa"/>
            <w:vMerge w:val="continue"/>
            <w:vAlign w:val="center"/>
          </w:tcPr>
          <w:p w14:paraId="36F7164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p>
        </w:tc>
        <w:tc>
          <w:tcPr>
            <w:tcW w:w="2968" w:type="dxa"/>
            <w:vMerge w:val="continue"/>
            <w:vAlign w:val="center"/>
          </w:tcPr>
          <w:p w14:paraId="6E95DEB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p>
        </w:tc>
        <w:tc>
          <w:tcPr>
            <w:tcW w:w="1367" w:type="dxa"/>
            <w:vAlign w:val="center"/>
          </w:tcPr>
          <w:p w14:paraId="7F4E1A6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＜0.01</w:t>
            </w:r>
          </w:p>
        </w:tc>
        <w:tc>
          <w:tcPr>
            <w:tcW w:w="1172" w:type="dxa"/>
            <w:vAlign w:val="center"/>
          </w:tcPr>
          <w:p w14:paraId="4B49C65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0.01-0.05</w:t>
            </w:r>
          </w:p>
        </w:tc>
        <w:tc>
          <w:tcPr>
            <w:tcW w:w="1036" w:type="dxa"/>
            <w:vAlign w:val="center"/>
          </w:tcPr>
          <w:p w14:paraId="10F3ACE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0.05-0.5</w:t>
            </w:r>
          </w:p>
        </w:tc>
        <w:tc>
          <w:tcPr>
            <w:tcW w:w="1036" w:type="dxa"/>
            <w:vAlign w:val="center"/>
          </w:tcPr>
          <w:p w14:paraId="676FD3A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0.5-2.0</w:t>
            </w:r>
          </w:p>
        </w:tc>
        <w:tc>
          <w:tcPr>
            <w:tcW w:w="890" w:type="dxa"/>
            <w:vAlign w:val="center"/>
          </w:tcPr>
          <w:p w14:paraId="34334D6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＞2.0</w:t>
            </w:r>
          </w:p>
        </w:tc>
      </w:tr>
      <w:tr w14:paraId="3E63C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14:paraId="38D4B6A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2968" w:type="dxa"/>
            <w:vAlign w:val="center"/>
          </w:tcPr>
          <w:p w14:paraId="0C6DBB1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含油量，mg/L</w:t>
            </w:r>
          </w:p>
        </w:tc>
        <w:tc>
          <w:tcPr>
            <w:tcW w:w="1367" w:type="dxa"/>
            <w:vAlign w:val="center"/>
          </w:tcPr>
          <w:p w14:paraId="50A4789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1172" w:type="dxa"/>
            <w:vAlign w:val="center"/>
          </w:tcPr>
          <w:p w14:paraId="188CF20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w:t>
            </w:r>
          </w:p>
        </w:tc>
        <w:tc>
          <w:tcPr>
            <w:tcW w:w="1036" w:type="dxa"/>
            <w:vAlign w:val="center"/>
          </w:tcPr>
          <w:p w14:paraId="1813260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≤15</w:t>
            </w:r>
          </w:p>
        </w:tc>
        <w:tc>
          <w:tcPr>
            <w:tcW w:w="1036" w:type="dxa"/>
            <w:vAlign w:val="center"/>
          </w:tcPr>
          <w:p w14:paraId="69F44CA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≤30</w:t>
            </w:r>
          </w:p>
        </w:tc>
        <w:tc>
          <w:tcPr>
            <w:tcW w:w="890" w:type="dxa"/>
            <w:vAlign w:val="center"/>
          </w:tcPr>
          <w:p w14:paraId="078AC7C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≤100</w:t>
            </w:r>
          </w:p>
        </w:tc>
      </w:tr>
      <w:tr w14:paraId="75472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14:paraId="48879B8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2968" w:type="dxa"/>
            <w:vAlign w:val="center"/>
          </w:tcPr>
          <w:p w14:paraId="5F5CFA7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悬浮固体含量，mg/L</w:t>
            </w:r>
          </w:p>
        </w:tc>
        <w:tc>
          <w:tcPr>
            <w:tcW w:w="1367" w:type="dxa"/>
            <w:vAlign w:val="center"/>
          </w:tcPr>
          <w:p w14:paraId="1FC5BA4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≤8</w:t>
            </w:r>
          </w:p>
        </w:tc>
        <w:tc>
          <w:tcPr>
            <w:tcW w:w="1172" w:type="dxa"/>
            <w:vAlign w:val="center"/>
          </w:tcPr>
          <w:p w14:paraId="5B3F46B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≤15</w:t>
            </w:r>
          </w:p>
        </w:tc>
        <w:tc>
          <w:tcPr>
            <w:tcW w:w="1036" w:type="dxa"/>
            <w:vAlign w:val="center"/>
          </w:tcPr>
          <w:p w14:paraId="1901CA0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≤20</w:t>
            </w:r>
          </w:p>
        </w:tc>
        <w:tc>
          <w:tcPr>
            <w:tcW w:w="1036" w:type="dxa"/>
            <w:vAlign w:val="center"/>
          </w:tcPr>
          <w:p w14:paraId="05DCE57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≤25</w:t>
            </w:r>
          </w:p>
        </w:tc>
        <w:tc>
          <w:tcPr>
            <w:tcW w:w="890" w:type="dxa"/>
            <w:vAlign w:val="center"/>
          </w:tcPr>
          <w:p w14:paraId="1A7FF38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≤35</w:t>
            </w:r>
          </w:p>
        </w:tc>
      </w:tr>
      <w:tr w14:paraId="2DBA7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vAlign w:val="center"/>
          </w:tcPr>
          <w:p w14:paraId="5B03E18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2968" w:type="dxa"/>
            <w:vAlign w:val="center"/>
          </w:tcPr>
          <w:p w14:paraId="5E26239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悬浮物颗粒直径中值，μm</w:t>
            </w:r>
          </w:p>
        </w:tc>
        <w:tc>
          <w:tcPr>
            <w:tcW w:w="1367" w:type="dxa"/>
            <w:vAlign w:val="center"/>
          </w:tcPr>
          <w:p w14:paraId="79F9FE5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1172" w:type="dxa"/>
            <w:vAlign w:val="center"/>
          </w:tcPr>
          <w:p w14:paraId="42C9028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1036" w:type="dxa"/>
            <w:vAlign w:val="center"/>
          </w:tcPr>
          <w:p w14:paraId="10EDB8B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1036" w:type="dxa"/>
            <w:vAlign w:val="center"/>
          </w:tcPr>
          <w:p w14:paraId="0701093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890" w:type="dxa"/>
            <w:vAlign w:val="center"/>
          </w:tcPr>
          <w:p w14:paraId="55519B9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≤5.5</w:t>
            </w:r>
          </w:p>
        </w:tc>
      </w:tr>
    </w:tbl>
    <w:p w14:paraId="6A22C2E0">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snapToGrid w:val="0"/>
          <w:color w:val="000000" w:themeColor="text1"/>
          <w:highlight w:val="none"/>
          <w:lang w:eastAsia="zh-CN"/>
          <w14:textFill>
            <w14:solidFill>
              <w14:schemeClr w14:val="tx1"/>
            </w14:solidFill>
          </w14:textFill>
        </w:rPr>
      </w:pPr>
      <w:r>
        <w:rPr>
          <w:rFonts w:hint="default" w:ascii="Times New Roman" w:hAnsi="Times New Roman" w:cs="Times New Roman"/>
          <w:snapToGrid w:val="0"/>
          <w:color w:val="000000" w:themeColor="text1"/>
          <w:highlight w:val="none"/>
          <w:lang w:eastAsia="zh-CN"/>
          <w14:textFill>
            <w14:solidFill>
              <w14:schemeClr w14:val="tx1"/>
            </w14:solidFill>
          </w14:textFill>
        </w:rPr>
        <w:t>（</w:t>
      </w:r>
      <w:r>
        <w:rPr>
          <w:rFonts w:hint="default" w:ascii="Times New Roman" w:hAnsi="Times New Roman" w:cs="Times New Roman"/>
          <w:snapToGrid w:val="0"/>
          <w:color w:val="000000" w:themeColor="text1"/>
          <w:highlight w:val="none"/>
          <w:lang w:val="en-US" w:eastAsia="zh-CN"/>
          <w14:textFill>
            <w14:solidFill>
              <w14:schemeClr w14:val="tx1"/>
            </w14:solidFill>
          </w14:textFill>
        </w:rPr>
        <w:t>4</w:t>
      </w:r>
      <w:r>
        <w:rPr>
          <w:rFonts w:hint="default" w:ascii="Times New Roman" w:hAnsi="Times New Roman" w:cs="Times New Roman"/>
          <w:snapToGrid w:val="0"/>
          <w:color w:val="000000" w:themeColor="text1"/>
          <w:highlight w:val="none"/>
          <w:lang w:eastAsia="zh-CN"/>
          <w14:textFill>
            <w14:solidFill>
              <w14:schemeClr w14:val="tx1"/>
            </w14:solidFill>
          </w14:textFill>
        </w:rPr>
        <w:t>）固体废物</w:t>
      </w:r>
    </w:p>
    <w:p w14:paraId="62EDA5AC">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施工期产生的</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管道施工废料</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、穿越工程废弃泥浆</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属于一般工业固体废物，执行《一般工业固体废物贮存和填埋污染控制标准》（GB18599-2020）</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w:t>
      </w:r>
    </w:p>
    <w:p w14:paraId="2C19CA30">
      <w:pPr>
        <w:pStyle w:val="45"/>
        <w:keepNext w:val="0"/>
        <w:keepLines w:val="0"/>
        <w:pageBreakBefore w:val="0"/>
        <w:widowControl w:val="0"/>
        <w:kinsoku/>
        <w:wordWrap/>
        <w:topLinePunct w:val="0"/>
        <w:autoSpaceDE/>
        <w:autoSpaceDN/>
        <w:bidi w:val="0"/>
        <w:ind w:firstLine="48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生活垃圾执行《城市生活垃圾管理办法》（中华人民共和国建设部令第157号令）。</w:t>
      </w:r>
    </w:p>
    <w:p w14:paraId="1BDFE272">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49" w:name="_Toc27177"/>
      <w:r>
        <w:rPr>
          <w:rFonts w:hint="default" w:ascii="Times New Roman" w:hAnsi="Times New Roman" w:eastAsia="宋体" w:cs="Times New Roman"/>
          <w:b/>
          <w:color w:val="000000" w:themeColor="text1"/>
          <w:sz w:val="28"/>
          <w:szCs w:val="28"/>
          <w:highlight w:val="none"/>
          <w14:textFill>
            <w14:solidFill>
              <w14:schemeClr w14:val="tx1"/>
            </w14:solidFill>
          </w14:textFill>
        </w:rPr>
        <w:t>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8"/>
          <w:szCs w:val="28"/>
          <w:highlight w:val="none"/>
          <w14:textFill>
            <w14:solidFill>
              <w14:schemeClr w14:val="tx1"/>
            </w14:solidFill>
          </w14:textFill>
        </w:rPr>
        <w:t>评价等级</w:t>
      </w:r>
      <w:bookmarkEnd w:id="47"/>
      <w:bookmarkEnd w:id="49"/>
    </w:p>
    <w:p w14:paraId="1631DCBB">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1大气环境</w:t>
      </w:r>
    </w:p>
    <w:p w14:paraId="5488BE8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本项目为油田内部集输</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改造工程，对大气环境影响主要为施工期扬尘、焊接烟尘、施工机械及运输车辆尾气等，由于施工场地周边较为空旷，有利于扬尘和烟尘的扩散，且施工期环境影响随着施工的结束随即消失，因此，施工期内不会对区域环境空气质量产生较大影响。</w:t>
      </w:r>
    </w:p>
    <w:p w14:paraId="588074E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项目运营期油田内部集输</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采用密闭集输工艺输送含水原油，不产生废气。</w:t>
      </w:r>
    </w:p>
    <w:p w14:paraId="2C6EC3A0">
      <w:pPr>
        <w:pStyle w:val="45"/>
        <w:keepNext w:val="0"/>
        <w:keepLines w:val="0"/>
        <w:pageBreakBefore w:val="0"/>
        <w:widowControl w:val="0"/>
        <w:kinsoku/>
        <w:wordWrap/>
        <w:topLinePunct w:val="0"/>
        <w:autoSpaceDE/>
        <w:autoSpaceDN/>
        <w:bidi w:val="0"/>
        <w:spacing w:after="0" w:line="360" w:lineRule="auto"/>
        <w:ind w:firstLine="480"/>
        <w:textAlignment w:val="auto"/>
        <w:rPr>
          <w:rFonts w:hint="default" w:ascii="Times New Roman" w:hAnsi="Times New Roman"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根据《环境影响评价技术导则大气环境》（HJ2.2-2018）中评价工作分级判据进行分级，本项目大气污染Pmax≤1%，确定本项目大气环境影响评价工作等级为三级。</w:t>
      </w:r>
    </w:p>
    <w:p w14:paraId="2F05753F">
      <w:pPr>
        <w:keepNext w:val="0"/>
        <w:keepLines w:val="0"/>
        <w:pageBreakBefore w:val="0"/>
        <w:widowControl w:val="0"/>
        <w:kinsoku/>
        <w:wordWrap/>
        <w:overflowPunct w:val="0"/>
        <w:topLinePunct w:val="0"/>
        <w:autoSpaceDE/>
        <w:autoSpaceDN/>
        <w:bidi w:val="0"/>
        <w:adjustRightInd/>
        <w:snapToGrid/>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2地表水环境</w:t>
      </w:r>
    </w:p>
    <w:p w14:paraId="4A0F8B76">
      <w:pPr>
        <w:pStyle w:val="34"/>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施工期废水主要为废旧管道清管废水、</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试压废水及施工人员生活污水。</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退役期废水主要为废弃管道清管废水。</w:t>
      </w:r>
    </w:p>
    <w:p w14:paraId="7F9ED3F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施工期、退役期废弃管道清管废水、新建管道试压废水由罐车拉运至</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处理，达标后回注地下开采油层，不外排。</w:t>
      </w:r>
    </w:p>
    <w:p w14:paraId="55B5370F">
      <w:pPr>
        <w:pStyle w:val="34"/>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出水水质执行《大庆油田地面工程建设设计规定》（Q/SYDQ0639-2015）限值：“含油量≤10mg/L、悬浮固体含量≤5mg/L、粒径中值≤2μm”后回注地下开采油层。</w:t>
      </w:r>
    </w:p>
    <w:p w14:paraId="763B269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，本项目施工现场距离周边已建集油阀组间、配水间距离约为0-1km，施工人员步行或乘施工车辆进入附近集油阀组间防渗旱厕，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65BCE997">
      <w:pPr>
        <w:pStyle w:val="34"/>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szCs w:val="24"/>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本项目产生的废水均不外排，根据</w:t>
      </w:r>
      <w:r>
        <w:rPr>
          <w:rFonts w:hint="default" w:ascii="Times New Roman" w:hAnsi="Times New Roman" w:cs="Times New Roman"/>
          <w:color w:val="000000" w:themeColor="text1"/>
          <w:highlight w:val="none"/>
          <w14:textFill>
            <w14:solidFill>
              <w14:schemeClr w14:val="tx1"/>
            </w14:solidFill>
          </w14:textFill>
        </w:rPr>
        <w:t>《环境影响评价技术导则地表水环境》（HJ/2.3-2018）中关于地表水环境影响评价工作分级要求，建设项目生产工艺中有废水产生，但作为回水利用，不排放到外环境的，按三级B评价，因此本项目地表水评价等级为三级B</w:t>
      </w:r>
      <w:r>
        <w:rPr>
          <w:rFonts w:hint="default" w:ascii="Times New Roman" w:hAnsi="Times New Roman" w:cs="Times New Roman"/>
          <w:color w:val="000000" w:themeColor="text1"/>
          <w:highlight w:val="none"/>
          <w:lang w:eastAsia="zh-CN"/>
          <w14:textFill>
            <w14:solidFill>
              <w14:schemeClr w14:val="tx1"/>
            </w14:solidFill>
          </w14:textFill>
        </w:rPr>
        <w:t>。</w:t>
      </w:r>
    </w:p>
    <w:p w14:paraId="1B9B2A7B">
      <w:pPr>
        <w:keepNext w:val="0"/>
        <w:keepLines w:val="0"/>
        <w:pageBreakBefore w:val="0"/>
        <w:widowControl w:val="0"/>
        <w:kinsoku/>
        <w:wordWrap/>
        <w:overflowPunct w:val="0"/>
        <w:topLinePunct w:val="0"/>
        <w:autoSpaceDE/>
        <w:autoSpaceDN/>
        <w:bidi w:val="0"/>
        <w:adjustRightInd/>
        <w:snapToGrid/>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3地下水环境</w:t>
      </w:r>
    </w:p>
    <w:p w14:paraId="535112F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）项目分类</w:t>
      </w:r>
    </w:p>
    <w:p w14:paraId="107D4D59">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《环境影响评价技术导则地下水</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环境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》（HJ610-2016）</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陆地石油天然气开发建设项目》（HJ349-20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23</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本项目工程涉及内部集</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管道，油类输送管道按照II类建设项目开展地下水环境影响评价</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22CFF0FE">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根据《环境影响评价技术导则 地下水》（HJ610-2016），建设项目地下水评价等级由项目所属的地下水环境影响评价项目类别、地下水环境敏感程度判定。本工程地下水环境影响评价行业分类见表2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0E7BB02B">
      <w:pPr>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p>
    <w:p w14:paraId="56B00182">
      <w:pPr>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p>
    <w:p w14:paraId="5BE230A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表2</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.6-1</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地下水环境影响评价行业分类表</w:t>
      </w:r>
    </w:p>
    <w:tbl>
      <w:tblPr>
        <w:tblStyle w:val="18"/>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43"/>
        <w:gridCol w:w="1772"/>
        <w:gridCol w:w="1156"/>
        <w:gridCol w:w="1901"/>
        <w:gridCol w:w="1629"/>
      </w:tblGrid>
      <w:tr w14:paraId="7651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39" w:type="dxa"/>
            <w:vMerge w:val="restart"/>
            <w:tcBorders>
              <w:tl2br w:val="single" w:color="auto" w:sz="4" w:space="0"/>
            </w:tcBorders>
            <w:noWrap w:val="0"/>
            <w:vAlign w:val="center"/>
          </w:tcPr>
          <w:p w14:paraId="2789C18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环评类别</w:t>
            </w:r>
          </w:p>
          <w:p w14:paraId="5D88D0B2">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行业类别</w:t>
            </w:r>
          </w:p>
        </w:tc>
        <w:tc>
          <w:tcPr>
            <w:tcW w:w="1770" w:type="dxa"/>
            <w:vMerge w:val="restart"/>
            <w:noWrap w:val="0"/>
            <w:vAlign w:val="center"/>
          </w:tcPr>
          <w:p w14:paraId="0B2B203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报告书</w:t>
            </w:r>
          </w:p>
        </w:tc>
        <w:tc>
          <w:tcPr>
            <w:tcW w:w="1155" w:type="dxa"/>
            <w:vMerge w:val="restart"/>
            <w:noWrap w:val="0"/>
            <w:vAlign w:val="center"/>
          </w:tcPr>
          <w:p w14:paraId="44D3F55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报告表</w:t>
            </w:r>
          </w:p>
        </w:tc>
        <w:tc>
          <w:tcPr>
            <w:tcW w:w="3526" w:type="dxa"/>
            <w:gridSpan w:val="2"/>
            <w:noWrap w:val="0"/>
            <w:vAlign w:val="center"/>
          </w:tcPr>
          <w:p w14:paraId="26E3FE6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地下水环境影响评价项目类别</w:t>
            </w:r>
          </w:p>
        </w:tc>
      </w:tr>
      <w:tr w14:paraId="47F8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39" w:type="dxa"/>
            <w:vMerge w:val="continue"/>
            <w:tcBorders>
              <w:tl2br w:val="single" w:color="auto" w:sz="4" w:space="0"/>
            </w:tcBorders>
            <w:noWrap w:val="0"/>
            <w:vAlign w:val="center"/>
          </w:tcPr>
          <w:p w14:paraId="5066129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770" w:type="dxa"/>
            <w:vMerge w:val="continue"/>
            <w:noWrap w:val="0"/>
            <w:vAlign w:val="center"/>
          </w:tcPr>
          <w:p w14:paraId="6BC521C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55" w:type="dxa"/>
            <w:vMerge w:val="continue"/>
            <w:noWrap w:val="0"/>
            <w:vAlign w:val="center"/>
          </w:tcPr>
          <w:p w14:paraId="6BAEA69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9" w:type="dxa"/>
            <w:noWrap w:val="0"/>
            <w:vAlign w:val="center"/>
          </w:tcPr>
          <w:p w14:paraId="5B3705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报告书</w:t>
            </w:r>
          </w:p>
        </w:tc>
        <w:tc>
          <w:tcPr>
            <w:tcW w:w="1627" w:type="dxa"/>
            <w:noWrap w:val="0"/>
            <w:vAlign w:val="center"/>
          </w:tcPr>
          <w:p w14:paraId="5E98718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报告表</w:t>
            </w:r>
          </w:p>
        </w:tc>
      </w:tr>
      <w:tr w14:paraId="6A13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90" w:type="dxa"/>
            <w:gridSpan w:val="5"/>
            <w:noWrap w:val="0"/>
            <w:vAlign w:val="center"/>
          </w:tcPr>
          <w:p w14:paraId="617E340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F石油、天然气</w:t>
            </w:r>
          </w:p>
        </w:tc>
      </w:tr>
      <w:tr w14:paraId="5A6E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639" w:type="dxa"/>
            <w:noWrap w:val="0"/>
            <w:vAlign w:val="center"/>
          </w:tcPr>
          <w:p w14:paraId="091D3DD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石油、天然气、成品油管线（不含城市天然气管线）</w:t>
            </w:r>
          </w:p>
        </w:tc>
        <w:tc>
          <w:tcPr>
            <w:tcW w:w="1770" w:type="dxa"/>
            <w:noWrap w:val="0"/>
            <w:vAlign w:val="center"/>
          </w:tcPr>
          <w:p w14:paraId="5F0E853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200公里及以上；涉及环境敏感区的</w:t>
            </w:r>
          </w:p>
        </w:tc>
        <w:tc>
          <w:tcPr>
            <w:tcW w:w="1155" w:type="dxa"/>
            <w:noWrap w:val="0"/>
            <w:vAlign w:val="center"/>
          </w:tcPr>
          <w:p w14:paraId="5A6712D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p>
        </w:tc>
        <w:tc>
          <w:tcPr>
            <w:tcW w:w="1899" w:type="dxa"/>
            <w:noWrap w:val="0"/>
            <w:vAlign w:val="center"/>
          </w:tcPr>
          <w:p w14:paraId="13C1053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油Ⅱ类，气Ⅲ类</w:t>
            </w:r>
          </w:p>
        </w:tc>
        <w:tc>
          <w:tcPr>
            <w:tcW w:w="1627" w:type="dxa"/>
            <w:noWrap w:val="0"/>
            <w:vAlign w:val="center"/>
          </w:tcPr>
          <w:p w14:paraId="2C61B0B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油Ⅱ类，气Ⅳ类</w:t>
            </w:r>
          </w:p>
        </w:tc>
      </w:tr>
    </w:tbl>
    <w:p w14:paraId="0F5D266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建设项目的地下水环境敏感程度可分为敏感、较敏感、不敏感三级，分级原则见表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2.6-2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5EADA44C">
      <w:pPr>
        <w:keepNext w:val="0"/>
        <w:keepLines w:val="0"/>
        <w:pageBreakBefore w:val="0"/>
        <w:widowControl w:val="0"/>
        <w:kinsoku/>
        <w:wordWrap/>
        <w:topLinePunct w:val="0"/>
        <w:bidi w:val="0"/>
        <w:spacing w:after="0" w:line="240" w:lineRule="auto"/>
        <w:ind w:firstLine="482" w:firstLineChars="200"/>
        <w:jc w:val="cente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2.6-2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地下水环境敏感程度分级表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8216"/>
      </w:tblGrid>
      <w:tr w14:paraId="10CD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53" w:type="dxa"/>
            <w:noWrap w:val="0"/>
            <w:vAlign w:val="center"/>
          </w:tcPr>
          <w:p w14:paraId="04272F2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分级</w:t>
            </w:r>
          </w:p>
        </w:tc>
        <w:tc>
          <w:tcPr>
            <w:tcW w:w="8068" w:type="dxa"/>
            <w:noWrap w:val="0"/>
            <w:vAlign w:val="center"/>
          </w:tcPr>
          <w:p w14:paraId="05B1960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地下水环境敏感特征</w:t>
            </w:r>
          </w:p>
        </w:tc>
      </w:tr>
      <w:tr w14:paraId="036A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53" w:type="dxa"/>
            <w:noWrap w:val="0"/>
            <w:vAlign w:val="center"/>
          </w:tcPr>
          <w:p w14:paraId="17B5DF4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敏感</w:t>
            </w:r>
          </w:p>
        </w:tc>
        <w:tc>
          <w:tcPr>
            <w:tcW w:w="8068" w:type="dxa"/>
            <w:noWrap w:val="0"/>
            <w:vAlign w:val="center"/>
          </w:tcPr>
          <w:p w14:paraId="672869C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集中式饮用水水源（包括已建成的在用、备用、应急水源地，在建和规划的饮用水水源）准保护区；除集中式饮用水水源地以外的国家或地方政府设定的与地下水环境相关的其他保护区，如热水、矿泉水、温泉等特殊地下水资源保护区。</w:t>
            </w:r>
          </w:p>
        </w:tc>
      </w:tr>
      <w:tr w14:paraId="0ECB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53" w:type="dxa"/>
            <w:noWrap w:val="0"/>
            <w:vAlign w:val="center"/>
          </w:tcPr>
          <w:p w14:paraId="294CBF9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较敏感</w:t>
            </w:r>
          </w:p>
        </w:tc>
        <w:tc>
          <w:tcPr>
            <w:tcW w:w="8068" w:type="dxa"/>
            <w:noWrap w:val="0"/>
            <w:vAlign w:val="center"/>
          </w:tcPr>
          <w:p w14:paraId="1D91BC7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集中式饮用水水源（包括已建成的在用、备用、应急水源地，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14:paraId="0DB8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53" w:type="dxa"/>
            <w:noWrap w:val="0"/>
            <w:vAlign w:val="center"/>
          </w:tcPr>
          <w:p w14:paraId="417F510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不敏感</w:t>
            </w:r>
          </w:p>
        </w:tc>
        <w:tc>
          <w:tcPr>
            <w:tcW w:w="8068" w:type="dxa"/>
            <w:noWrap w:val="0"/>
            <w:vAlign w:val="center"/>
          </w:tcPr>
          <w:p w14:paraId="5BE8C2E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上述地区之外的其他地区。</w:t>
            </w:r>
          </w:p>
        </w:tc>
      </w:tr>
    </w:tbl>
    <w:p w14:paraId="1F9A62E0">
      <w:pPr>
        <w:keepNext w:val="0"/>
        <w:keepLines w:val="0"/>
        <w:pageBreakBefore w:val="0"/>
        <w:widowControl w:val="0"/>
        <w:kinsoku/>
        <w:wordWrap/>
        <w:topLinePunct w:val="0"/>
        <w:bidi w:val="0"/>
        <w:spacing w:after="0" w:line="360" w:lineRule="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18"/>
          <w:szCs w:val="18"/>
          <w:highlight w:val="none"/>
          <w:lang w:val="en-US" w:eastAsia="zh-CN"/>
          <w14:textFill>
            <w14:solidFill>
              <w14:schemeClr w14:val="tx1"/>
            </w14:solidFill>
          </w14:textFill>
        </w:rPr>
        <w:t>注：a“环境敏感区”是指《建设项目环境影响评价分类管理名录》中所界定的涉及地下水的环境敏感区。</w:t>
      </w:r>
    </w:p>
    <w:p w14:paraId="3A454FF2">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）本工程地下水评价等级判定</w:t>
      </w:r>
    </w:p>
    <w:p w14:paraId="0C869BDF">
      <w:pPr>
        <w:pStyle w:val="34"/>
        <w:keepNext w:val="0"/>
        <w:keepLines w:val="0"/>
        <w:pageBreakBefore w:val="0"/>
        <w:widowControl w:val="0"/>
        <w:kinsoku/>
        <w:wordWrap/>
        <w:topLinePunct w:val="0"/>
        <w:bidi w:val="0"/>
        <w:ind w:firstLine="480"/>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根据《全省地市级饮用水水源保护区基础信息名录（2022 年）》《全省县区级饮用水水源保护区基础信息名录（2022 年）》《黑龙江省人民政府关于调整撤销新建哈尔滨等 11 个地市 384 个集中式饮用水水源保护区》（黑政函〔2019〕118 号）和《黑龙江省人民政府关于调整撤销哈尔滨等市（地）197 个集中式饮用水水源保护区》（黑政函〔2020〕97 号）的相关内容，本项目调查范围内无集中式饮用水水源保护区。</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根据调查，</w:t>
      </w:r>
      <w:r>
        <w:rPr>
          <w:rFonts w:hint="eastAsia" w:cs="Times New Roman"/>
          <w:color w:val="000000" w:themeColor="text1"/>
          <w:sz w:val="24"/>
          <w:szCs w:val="20"/>
          <w:highlight w:val="none"/>
          <w:lang w:val="en-US" w:eastAsia="zh-CN"/>
          <w14:textFill>
            <w14:solidFill>
              <w14:schemeClr w14:val="tx1"/>
            </w14:solidFill>
          </w14:textFill>
        </w:rPr>
        <w:t>本项目地下水调查主要涉及盛广和屯</w:t>
      </w:r>
      <w:r>
        <w:rPr>
          <w:rFonts w:hint="eastAsia" w:cs="Times New Roman"/>
          <w:snapToGrid w:val="0"/>
          <w:color w:val="000000" w:themeColor="text1"/>
          <w:sz w:val="24"/>
          <w:szCs w:val="20"/>
          <w:highlight w:val="none"/>
          <w:lang w:val="en-US" w:eastAsia="zh-CN" w:bidi="ar-SA"/>
          <w14:textFill>
            <w14:solidFill>
              <w14:schemeClr w14:val="tx1"/>
            </w14:solidFill>
          </w14:textFill>
        </w:rPr>
        <w:t>、宋芳屯居住区、平力屯、太平村、繁育基地、粮库和周边散户。其中平力屯和太平村</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村屯饮用水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由</w:t>
      </w:r>
      <w:r>
        <w:rPr>
          <w:rFonts w:hint="eastAsia" w:cs="Times New Roman"/>
          <w:snapToGrid w:val="0"/>
          <w:color w:val="000000" w:themeColor="text1"/>
          <w:sz w:val="24"/>
          <w:szCs w:val="20"/>
          <w:highlight w:val="none"/>
          <w:lang w:val="en-US" w:eastAsia="zh-CN" w:bidi="ar-SA"/>
          <w14:textFill>
            <w14:solidFill>
              <w14:schemeClr w14:val="tx1"/>
            </w14:solidFill>
          </w14:textFill>
        </w:rPr>
        <w:t>大火房村</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水源井提供，</w:t>
      </w:r>
      <w:r>
        <w:rPr>
          <w:rFonts w:hint="eastAsia" w:cs="Times New Roman"/>
          <w:snapToGrid w:val="0"/>
          <w:color w:val="000000" w:themeColor="text1"/>
          <w:sz w:val="24"/>
          <w:szCs w:val="20"/>
          <w:highlight w:val="none"/>
          <w:lang w:val="en-US" w:eastAsia="zh-CN" w:bidi="ar-SA"/>
          <w14:textFill>
            <w14:solidFill>
              <w14:schemeClr w14:val="tx1"/>
            </w14:solidFill>
          </w14:textFill>
        </w:rPr>
        <w:t>盛广和屯村屯饮用水由国强村水源井提供，均不在本次地下水调查范围内；周边散户饮用水由群众村水源井提供，群众村水源井不在本次地下水调查范围内；繁育基地、粮库和宋芳屯居住区部分采用自建机井，自建机井的多用于灌溉及喂养牲畜，小部分用于临时饮用水取水水源，属分散式饮用水源井。</w:t>
      </w:r>
    </w:p>
    <w:p w14:paraId="18EF67A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根据《关于印发〈地下水型饮用水水源补给区划定技术指南（试行）〉的通知》（环办便函〔2022〕335号），划定饮用水源井补给径流区，地下水饮用水源井补给径流区判定依据见表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2.6-3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FFB928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p>
    <w:p w14:paraId="6DEDD99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p>
    <w:p w14:paraId="27311C4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p>
    <w:p w14:paraId="07C1740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p>
    <w:p w14:paraId="428EE08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 xml:space="preserve">2.6-3 </w:t>
      </w: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 xml:space="preserve">  地下水饮用水源井补给径流区判定表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612"/>
        <w:gridCol w:w="2377"/>
        <w:gridCol w:w="4391"/>
      </w:tblGrid>
      <w:tr w14:paraId="2CE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96" w:type="dxa"/>
            <w:gridSpan w:val="3"/>
            <w:noWrap w:val="0"/>
            <w:vAlign w:val="center"/>
          </w:tcPr>
          <w:p w14:paraId="6F4B3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地下水型饮用水水源划定保护区情况</w:t>
            </w:r>
          </w:p>
        </w:tc>
        <w:tc>
          <w:tcPr>
            <w:tcW w:w="4390" w:type="dxa"/>
            <w:noWrap w:val="0"/>
            <w:vAlign w:val="center"/>
          </w:tcPr>
          <w:p w14:paraId="5FF8C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补给区范围</w:t>
            </w:r>
          </w:p>
        </w:tc>
      </w:tr>
      <w:tr w14:paraId="0B21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8" w:type="dxa"/>
            <w:vMerge w:val="restart"/>
            <w:noWrap w:val="0"/>
            <w:vAlign w:val="center"/>
          </w:tcPr>
          <w:p w14:paraId="4A173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水源开采规模</w:t>
            </w:r>
          </w:p>
        </w:tc>
        <w:tc>
          <w:tcPr>
            <w:tcW w:w="1612" w:type="dxa"/>
            <w:vMerge w:val="restart"/>
            <w:noWrap w:val="0"/>
            <w:vAlign w:val="center"/>
          </w:tcPr>
          <w:p w14:paraId="08CCF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大型≥5万m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/d</w:t>
            </w:r>
          </w:p>
        </w:tc>
        <w:tc>
          <w:tcPr>
            <w:tcW w:w="2376" w:type="dxa"/>
            <w:noWrap w:val="0"/>
            <w:vAlign w:val="center"/>
          </w:tcPr>
          <w:p w14:paraId="14E1B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已划定二级保护区的</w:t>
            </w:r>
          </w:p>
        </w:tc>
        <w:tc>
          <w:tcPr>
            <w:tcW w:w="4390" w:type="dxa"/>
            <w:noWrap w:val="0"/>
            <w:vAlign w:val="center"/>
          </w:tcPr>
          <w:p w14:paraId="198A7F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以二级保护区边界为基准，按大型水源30年流程圈定的范围</w:t>
            </w:r>
          </w:p>
        </w:tc>
      </w:tr>
      <w:tr w14:paraId="5788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8" w:type="dxa"/>
            <w:vMerge w:val="continue"/>
            <w:noWrap w:val="0"/>
            <w:vAlign w:val="center"/>
          </w:tcPr>
          <w:p w14:paraId="07F609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12" w:type="dxa"/>
            <w:vMerge w:val="continue"/>
            <w:noWrap w:val="0"/>
            <w:vAlign w:val="center"/>
          </w:tcPr>
          <w:p w14:paraId="00B3C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376" w:type="dxa"/>
            <w:noWrap w:val="0"/>
            <w:vAlign w:val="center"/>
          </w:tcPr>
          <w:p w14:paraId="2E1F5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仅划定了一级保护区的</w:t>
            </w:r>
          </w:p>
        </w:tc>
        <w:tc>
          <w:tcPr>
            <w:tcW w:w="4390" w:type="dxa"/>
            <w:noWrap w:val="0"/>
            <w:vAlign w:val="center"/>
          </w:tcPr>
          <w:p w14:paraId="79616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以水源一级保护区边界为基准，按大型水源30年+1000天流程圈定的范围</w:t>
            </w:r>
          </w:p>
        </w:tc>
      </w:tr>
      <w:tr w14:paraId="4F17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8" w:type="dxa"/>
            <w:vMerge w:val="continue"/>
            <w:noWrap w:val="0"/>
            <w:vAlign w:val="center"/>
          </w:tcPr>
          <w:p w14:paraId="7B471A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12" w:type="dxa"/>
            <w:vMerge w:val="continue"/>
            <w:noWrap w:val="0"/>
            <w:vAlign w:val="center"/>
          </w:tcPr>
          <w:p w14:paraId="177C99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376" w:type="dxa"/>
            <w:noWrap w:val="0"/>
            <w:vAlign w:val="center"/>
          </w:tcPr>
          <w:p w14:paraId="0413BD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未划定保护区的</w:t>
            </w:r>
          </w:p>
        </w:tc>
        <w:tc>
          <w:tcPr>
            <w:tcW w:w="4390" w:type="dxa"/>
            <w:noWrap w:val="0"/>
            <w:vAlign w:val="center"/>
          </w:tcPr>
          <w:p w14:paraId="4454D5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以水源开采井为基准，按大型水源30年+1100天流程圈定的范围</w:t>
            </w:r>
          </w:p>
        </w:tc>
      </w:tr>
      <w:tr w14:paraId="17BF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8" w:type="dxa"/>
            <w:vMerge w:val="continue"/>
            <w:noWrap w:val="0"/>
            <w:vAlign w:val="center"/>
          </w:tcPr>
          <w:p w14:paraId="41861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12" w:type="dxa"/>
            <w:vMerge w:val="restart"/>
            <w:noWrap w:val="0"/>
            <w:vAlign w:val="center"/>
          </w:tcPr>
          <w:p w14:paraId="4351C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小型＜5万m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/d</w:t>
            </w:r>
          </w:p>
        </w:tc>
        <w:tc>
          <w:tcPr>
            <w:tcW w:w="2376" w:type="dxa"/>
            <w:noWrap w:val="0"/>
            <w:vAlign w:val="center"/>
          </w:tcPr>
          <w:p w14:paraId="42A3C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已划定二级保护区的</w:t>
            </w:r>
          </w:p>
        </w:tc>
        <w:tc>
          <w:tcPr>
            <w:tcW w:w="4390" w:type="dxa"/>
            <w:noWrap w:val="0"/>
            <w:vAlign w:val="center"/>
          </w:tcPr>
          <w:p w14:paraId="6B1CD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以二级保护区边界为基准，按中小型水源15年流程圈定的范围</w:t>
            </w:r>
          </w:p>
        </w:tc>
      </w:tr>
      <w:tr w14:paraId="2B51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 w:type="dxa"/>
            <w:vMerge w:val="continue"/>
            <w:noWrap w:val="0"/>
            <w:vAlign w:val="center"/>
          </w:tcPr>
          <w:p w14:paraId="4F45DF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12" w:type="dxa"/>
            <w:vMerge w:val="continue"/>
            <w:noWrap w:val="0"/>
            <w:vAlign w:val="center"/>
          </w:tcPr>
          <w:p w14:paraId="7FB406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376" w:type="dxa"/>
            <w:noWrap w:val="0"/>
            <w:vAlign w:val="center"/>
          </w:tcPr>
          <w:p w14:paraId="467E0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仅划定了一级保护区的</w:t>
            </w:r>
          </w:p>
        </w:tc>
        <w:tc>
          <w:tcPr>
            <w:tcW w:w="4390" w:type="dxa"/>
            <w:noWrap w:val="0"/>
            <w:vAlign w:val="center"/>
          </w:tcPr>
          <w:p w14:paraId="71E6F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以水源一级保护区边界为基准，按中小型水源15 年+1000天流程圈定的范围</w:t>
            </w:r>
          </w:p>
        </w:tc>
      </w:tr>
      <w:tr w14:paraId="37A8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8" w:type="dxa"/>
            <w:vMerge w:val="continue"/>
            <w:noWrap w:val="0"/>
            <w:vAlign w:val="center"/>
          </w:tcPr>
          <w:p w14:paraId="68B2F7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612" w:type="dxa"/>
            <w:vMerge w:val="continue"/>
            <w:noWrap w:val="0"/>
            <w:vAlign w:val="center"/>
          </w:tcPr>
          <w:p w14:paraId="16878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2376" w:type="dxa"/>
            <w:noWrap w:val="0"/>
            <w:vAlign w:val="center"/>
          </w:tcPr>
          <w:p w14:paraId="642CA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未划定保护区的</w:t>
            </w:r>
          </w:p>
        </w:tc>
        <w:tc>
          <w:tcPr>
            <w:tcW w:w="4390" w:type="dxa"/>
            <w:noWrap w:val="0"/>
            <w:vAlign w:val="center"/>
          </w:tcPr>
          <w:p w14:paraId="6D092E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以水源开采井为基准，按中小型水源15年+1100天流程圈定的范围</w:t>
            </w:r>
          </w:p>
        </w:tc>
      </w:tr>
    </w:tbl>
    <w:p w14:paraId="408C9C5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质点运移距离采用下述公式计算：</w:t>
      </w:r>
    </w:p>
    <w:p w14:paraId="43DE74E2">
      <w:pPr>
        <w:keepNext w:val="0"/>
        <w:keepLines w:val="0"/>
        <w:pageBreakBefore w:val="0"/>
        <w:widowControl w:val="0"/>
        <w:kinsoku/>
        <w:wordWrap/>
        <w:topLinePunct w:val="0"/>
        <w:bidi w:val="0"/>
        <w:adjustRightInd/>
        <w:snapToGrid/>
        <w:spacing w:after="0" w:line="360" w:lineRule="auto"/>
        <w:ind w:firstLine="480" w:firstLineChars="200"/>
        <w:jc w:val="center"/>
        <w:rPr>
          <w:rFonts w:hint="default" w:ascii="Times New Roman" w:hAnsi="Times New Roman" w:eastAsia="宋体" w:cs="Times New Roman"/>
          <w:snapToGrid w:val="0"/>
          <w:color w:val="000000" w:themeColor="text1"/>
          <w:sz w:val="24"/>
          <w:szCs w:val="20"/>
          <w:highlight w:val="none"/>
          <w:lang w:val="de-DE"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L=α</w:t>
      </w:r>
      <w:r>
        <w:rPr>
          <w:rFonts w:hint="default" w:ascii="Times New Roman" w:hAnsi="Times New Roman" w:eastAsia="宋体" w:cs="Times New Roman"/>
          <w:snapToGrid w:val="0"/>
          <w:color w:val="000000" w:themeColor="text1"/>
          <w:sz w:val="24"/>
          <w:szCs w:val="20"/>
          <w:highlight w:val="none"/>
          <w:lang w:val="de-DE" w:eastAsia="zh-CN" w:bidi="ar-SA"/>
          <w14:textFill>
            <w14:solidFill>
              <w14:schemeClr w14:val="tx1"/>
            </w14:solidFill>
          </w14:textFill>
        </w:rPr>
        <w:t>×K×I×T/ne</w:t>
      </w:r>
    </w:p>
    <w:p w14:paraId="0A0F3EA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式中：L—下游迁移距离，m；</w:t>
      </w:r>
    </w:p>
    <w:p w14:paraId="476BF2A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α—变化系数，α≥1，一般取2；</w:t>
      </w:r>
    </w:p>
    <w:p w14:paraId="3F1A68E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K—渗透系数，m/d；</w:t>
      </w:r>
    </w:p>
    <w:p w14:paraId="7F57898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I—水力坡度，</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潜水含水层水力坡度由潜水等水位线图计算约为</w:t>
      </w:r>
      <w:r>
        <w:rPr>
          <w:rFonts w:hint="default" w:ascii="Times New Roman" w:hAnsi="Times New Roman" w:eastAsia="TimesNewRomanPSMT" w:cs="Times New Roman"/>
          <w:b w:val="0"/>
          <w:bCs w:val="0"/>
          <w:color w:val="000000" w:themeColor="text1"/>
          <w:sz w:val="24"/>
          <w:szCs w:val="24"/>
          <w:highlight w:val="none"/>
          <w14:textFill>
            <w14:solidFill>
              <w14:schemeClr w14:val="tx1"/>
            </w14:solidFill>
          </w14:textFill>
        </w:rPr>
        <w:t>0.000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；承压水含水层水力坡度由承压水等水位线图计算约为</w:t>
      </w:r>
      <w:r>
        <w:rPr>
          <w:rFonts w:hint="default" w:ascii="Times New Roman" w:hAnsi="Times New Roman" w:eastAsia="TimesNewRomanPSMT" w:cs="Times New Roman"/>
          <w:b w:val="0"/>
          <w:bCs w:val="0"/>
          <w:color w:val="000000" w:themeColor="text1"/>
          <w:sz w:val="24"/>
          <w:szCs w:val="24"/>
          <w:highlight w:val="none"/>
          <w14:textFill>
            <w14:solidFill>
              <w14:schemeClr w14:val="tx1"/>
            </w14:solidFill>
          </w14:textFill>
        </w:rPr>
        <w:t>0.000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highlight w:val="none"/>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6A11C85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T—质点迁移天数，取6575天（即15年+1100天）；</w:t>
      </w:r>
    </w:p>
    <w:p w14:paraId="0477951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ne—有效孔隙度，无量纲。</w:t>
      </w:r>
    </w:p>
    <w:p w14:paraId="2329ECEB">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本项目所在区域潜水为</w:t>
      </w:r>
      <w:r>
        <w:rPr>
          <w:rFonts w:hint="default" w:ascii="Times New Roman" w:hAnsi="Times New Roman" w:cs="Times New Roman"/>
          <w:color w:val="000000" w:themeColor="text1"/>
          <w:sz w:val="24"/>
          <w:szCs w:val="20"/>
          <w:highlight w:val="none"/>
          <w14:textFill>
            <w14:solidFill>
              <w14:schemeClr w14:val="tx1"/>
            </w14:solidFill>
          </w14:textFill>
        </w:rPr>
        <w:t>第四系上更新统松散层孔隙潜水</w:t>
      </w:r>
      <w:r>
        <w:rPr>
          <w:rFonts w:hint="default" w:ascii="Times New Roman" w:hAnsi="Times New Roman" w:cs="Times New Roman"/>
          <w:color w:val="000000" w:themeColor="text1"/>
          <w:sz w:val="24"/>
          <w:szCs w:val="20"/>
          <w:highlight w:val="none"/>
          <w:lang w:eastAsia="zh-CN"/>
          <w14:textFill>
            <w14:solidFill>
              <w14:schemeClr w14:val="tx1"/>
            </w14:solidFill>
          </w14:textFill>
        </w:rPr>
        <w:t>，</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岩性为粉细砂，承压水为白垩系明水组承压水，</w:t>
      </w:r>
      <w:r>
        <w:rPr>
          <w:rFonts w:hint="eastAsia" w:cs="Times New Roman"/>
          <w:color w:val="000000" w:themeColor="text1"/>
          <w:sz w:val="24"/>
          <w:szCs w:val="20"/>
          <w:highlight w:val="none"/>
          <w:lang w:val="en-US" w:eastAsia="zh-CN"/>
          <w14:textFill>
            <w14:solidFill>
              <w14:schemeClr w14:val="tx1"/>
            </w14:solidFill>
          </w14:textFill>
        </w:rPr>
        <w:t>岩性为含中粗砂</w:t>
      </w:r>
      <w:r>
        <w:rPr>
          <w:rFonts w:hint="default" w:ascii="Times New Roman" w:hAnsi="Times New Roman" w:cs="Times New Roman"/>
          <w:color w:val="000000" w:themeColor="text1"/>
          <w:sz w:val="24"/>
          <w:szCs w:val="20"/>
          <w:highlight w:val="none"/>
          <w:lang w:eastAsia="zh-CN"/>
          <w14:textFill>
            <w14:solidFill>
              <w14:schemeClr w14:val="tx1"/>
            </w14:solidFill>
          </w14:textFill>
        </w:rPr>
        <w:t>，</w:t>
      </w:r>
      <w:r>
        <w:rPr>
          <w:rFonts w:hint="default" w:ascii="Times New Roman" w:hAnsi="Times New Roman" w:cs="Times New Roman"/>
          <w:color w:val="000000" w:themeColor="text1"/>
          <w:sz w:val="24"/>
          <w:szCs w:val="20"/>
          <w:highlight w:val="none"/>
          <w14:textFill>
            <w14:solidFill>
              <w14:schemeClr w14:val="tx1"/>
            </w14:solidFill>
          </w14:textFill>
        </w:rPr>
        <w:t>参照《环境影响评价技术导则地下水》</w:t>
      </w:r>
      <w:r>
        <w:rPr>
          <w:rFonts w:hint="default" w:ascii="Times New Roman" w:hAnsi="Times New Roman" w:cs="Times New Roman"/>
          <w:color w:val="000000" w:themeColor="text1"/>
          <w:sz w:val="24"/>
          <w:szCs w:val="20"/>
          <w:highlight w:val="none"/>
          <w:lang w:eastAsia="zh-CN"/>
          <w14:textFill>
            <w14:solidFill>
              <w14:schemeClr w14:val="tx1"/>
            </w14:solidFill>
          </w14:textFill>
        </w:rPr>
        <w:t>（</w:t>
      </w:r>
      <w:r>
        <w:rPr>
          <w:rFonts w:hint="default" w:ascii="Times New Roman" w:hAnsi="Times New Roman" w:cs="Times New Roman"/>
          <w:color w:val="000000" w:themeColor="text1"/>
          <w:sz w:val="24"/>
          <w:szCs w:val="20"/>
          <w:highlight w:val="none"/>
          <w14:textFill>
            <w14:solidFill>
              <w14:schemeClr w14:val="tx1"/>
            </w14:solidFill>
          </w14:textFill>
        </w:rPr>
        <w:t>HJ610-2016）附录B水文地质参数经验值表，</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K</w:t>
      </w:r>
      <w:r>
        <w:rPr>
          <w:rFonts w:hint="default" w:ascii="Times New Roman" w:hAnsi="Times New Roman" w:cs="Times New Roman"/>
          <w:color w:val="000000" w:themeColor="text1"/>
          <w:sz w:val="24"/>
          <w:szCs w:val="20"/>
          <w:highlight w:val="none"/>
          <w:vertAlign w:val="subscript"/>
          <w:lang w:val="en-US" w:eastAsia="zh-CN"/>
          <w14:textFill>
            <w14:solidFill>
              <w14:schemeClr w14:val="tx1"/>
            </w14:solidFill>
          </w14:textFill>
        </w:rPr>
        <w:t>潜水</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=5m/d，</w:t>
      </w:r>
      <w:r>
        <w:rPr>
          <w:rFonts w:hint="default" w:ascii="Times New Roman" w:hAnsi="Times New Roman" w:eastAsia="宋体" w:cs="Times New Roman"/>
          <w:color w:val="000000" w:themeColor="text1"/>
          <w:sz w:val="24"/>
          <w:szCs w:val="24"/>
          <w:highlight w:val="none"/>
          <w14:textFill>
            <w14:solidFill>
              <w14:schemeClr w14:val="tx1"/>
            </w14:solidFill>
          </w14:textFill>
        </w:rPr>
        <w:t>K</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承压水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m/d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根据区域等水位线与距离确定</w:t>
      </w:r>
      <w:r>
        <w:rPr>
          <w:rFonts w:hint="default" w:ascii="Times New Roman" w:hAnsi="Times New Roman" w:eastAsia="宋体" w:cs="Times New Roman"/>
          <w:color w:val="000000" w:themeColor="text1"/>
          <w:sz w:val="24"/>
          <w:szCs w:val="24"/>
          <w:highlight w:val="none"/>
          <w14:textFill>
            <w14:solidFill>
              <w14:schemeClr w14:val="tx1"/>
            </w14:solidFill>
          </w14:textFill>
        </w:rPr>
        <w:t>I</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潜水</w:t>
      </w:r>
      <w:r>
        <w:rPr>
          <w:rFonts w:hint="default" w:ascii="Times New Roman" w:hAnsi="Times New Roman" w:eastAsia="宋体" w:cs="Times New Roman"/>
          <w:color w:val="000000" w:themeColor="text1"/>
          <w:sz w:val="24"/>
          <w:szCs w:val="24"/>
          <w:highlight w:val="none"/>
          <w14:textFill>
            <w14:solidFill>
              <w14:schemeClr w14:val="tx1"/>
            </w14:solidFill>
          </w14:textFill>
        </w:rPr>
        <w:t>=0.00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default"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I</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承压水</w:t>
      </w:r>
      <w:r>
        <w:rPr>
          <w:rFonts w:hint="default" w:ascii="Times New Roman" w:hAnsi="Times New Roman" w:eastAsia="宋体" w:cs="Times New Roman"/>
          <w:color w:val="000000" w:themeColor="text1"/>
          <w:sz w:val="24"/>
          <w:szCs w:val="24"/>
          <w:highlight w:val="none"/>
          <w14:textFill>
            <w14:solidFill>
              <w14:schemeClr w14:val="tx1"/>
            </w14:solidFill>
          </w14:textFill>
        </w:rPr>
        <w:t>=0.00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0"/>
          <w:highlight w:val="none"/>
          <w14:textFill>
            <w14:solidFill>
              <w14:schemeClr w14:val="tx1"/>
            </w14:solidFill>
          </w14:textFill>
        </w:rPr>
        <w:t>ne</w:t>
      </w:r>
      <w:r>
        <w:rPr>
          <w:rFonts w:hint="default" w:ascii="Times New Roman" w:hAnsi="Times New Roman" w:cs="Times New Roman"/>
          <w:color w:val="000000" w:themeColor="text1"/>
          <w:sz w:val="24"/>
          <w:szCs w:val="20"/>
          <w:highlight w:val="none"/>
          <w:vertAlign w:val="subscript"/>
          <w:lang w:val="en-US" w:eastAsia="zh-CN"/>
          <w14:textFill>
            <w14:solidFill>
              <w14:schemeClr w14:val="tx1"/>
            </w14:solidFill>
          </w14:textFill>
        </w:rPr>
        <w:t>潜水</w:t>
      </w:r>
      <w:r>
        <w:rPr>
          <w:rFonts w:hint="default" w:ascii="Times New Roman" w:hAnsi="Times New Roman" w:cs="Times New Roman"/>
          <w:color w:val="000000" w:themeColor="text1"/>
          <w:sz w:val="24"/>
          <w:szCs w:val="20"/>
          <w:highlight w:val="none"/>
          <w14:textFill>
            <w14:solidFill>
              <w14:schemeClr w14:val="tx1"/>
            </w14:solidFill>
          </w14:textFill>
        </w:rPr>
        <w:t>=0.</w:t>
      </w: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ne</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承压水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5E960BB">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0"/>
          <w:highlight w:val="none"/>
          <w:lang w:val="en-US" w:eastAsia="zh-CN"/>
          <w14:textFill>
            <w14:solidFill>
              <w14:schemeClr w14:val="tx1"/>
            </w14:solidFill>
          </w14:textFill>
        </w:rPr>
        <w:t>经计算得出：</w:t>
      </w:r>
    </w:p>
    <w:p w14:paraId="2FFFE032">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潜水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w:t>
      </w:r>
      <w:r>
        <w:rPr>
          <w:rFonts w:hint="default"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cs="Times New Roman"/>
          <w:color w:val="000000" w:themeColor="text1"/>
          <w:sz w:val="24"/>
          <w:szCs w:val="24"/>
          <w:highlight w:val="none"/>
          <w:lang w:val="en-US" w:eastAsia="zh-CN"/>
          <w14:textFill>
            <w14:solidFill>
              <w14:schemeClr w14:val="tx1"/>
            </w14:solidFill>
          </w14:textFill>
        </w:rPr>
        <w:t>230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p>
    <w:p w14:paraId="7078BC3F">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承压水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0.000</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75/</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220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230E49C6">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以</w:t>
      </w:r>
      <w:r>
        <w:rPr>
          <w:rFonts w:hint="default" w:ascii="Times New Roman" w:hAnsi="Times New Roman" w:cs="Times New Roman"/>
          <w:color w:val="000000" w:themeColor="text1"/>
          <w:sz w:val="24"/>
          <w:szCs w:val="20"/>
          <w:highlight w:val="none"/>
          <w:lang w:eastAsia="zh-CN"/>
          <w14:textFill>
            <w14:solidFill>
              <w14:schemeClr w14:val="tx1"/>
            </w14:solidFill>
          </w14:textFill>
        </w:rPr>
        <w:t>分散式饮用水源井</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为中心</w:t>
      </w:r>
      <w:r>
        <w:rPr>
          <w:rFonts w:hint="default" w:cs="Times New Roman"/>
          <w:color w:val="000000" w:themeColor="text1"/>
          <w:sz w:val="24"/>
          <w:szCs w:val="24"/>
          <w:highlight w:val="none"/>
          <w:lang w:val="en-US" w:eastAsia="zh-CN"/>
          <w14:textFill>
            <w14:solidFill>
              <w14:schemeClr w14:val="tx1"/>
            </w14:solidFill>
          </w14:textFill>
        </w:rPr>
        <w:t>230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m区域内为较敏感区，以外为不敏感区。</w:t>
      </w:r>
    </w:p>
    <w:p w14:paraId="59F7FA0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繁育基地水源井距离本项目管线（升1-2集油阀组间6环集油管道）距离为90m，粮库水源井距离本项目管线（升1-6集油阀组间1环集油管道）距离为135m，宋芳屯居住区水源井距离本项目管线（芳3转油站外输油管道）最近距离为120m，位于较敏感区。</w:t>
      </w:r>
    </w:p>
    <w:p w14:paraId="7E215818">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本项目各管线评价等级判定见表</w:t>
      </w:r>
      <w:r>
        <w:rPr>
          <w:rFonts w:hint="eastAsia" w:ascii="Times New Roman" w:hAnsi="Times New Roman" w:eastAsia="宋体" w:cs="Times New Roman"/>
          <w:snapToGrid w:val="0"/>
          <w:color w:val="000000" w:themeColor="text1"/>
          <w:sz w:val="24"/>
          <w:szCs w:val="24"/>
          <w:lang w:val="en-US" w:eastAsia="zh-CN"/>
          <w14:textFill>
            <w14:solidFill>
              <w14:schemeClr w14:val="tx1"/>
            </w14:solidFill>
          </w14:textFill>
        </w:rPr>
        <w:t>2.6-4</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w:t>
      </w:r>
    </w:p>
    <w:p w14:paraId="64130BB0">
      <w:pPr>
        <w:keepNext w:val="0"/>
        <w:keepLines w:val="0"/>
        <w:pageBreakBefore w:val="0"/>
        <w:widowControl w:val="0"/>
        <w:kinsoku/>
        <w:wordWrap/>
        <w:overflowPunct/>
        <w:topLinePunct w:val="0"/>
        <w:autoSpaceDE/>
        <w:autoSpaceDN/>
        <w:bidi w:val="0"/>
        <w:adjustRightInd w:val="0"/>
        <w:snapToGrid w:val="0"/>
        <w:spacing w:after="0" w:line="240" w:lineRule="auto"/>
        <w:ind w:firstLine="482" w:firstLineChars="0"/>
        <w:jc w:val="center"/>
        <w:textAlignment w:val="auto"/>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2.6-4</w:t>
      </w: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 xml:space="preserve">  本项目各管线地下水评价等级判定结果表</w:t>
      </w:r>
    </w:p>
    <w:tbl>
      <w:tblPr>
        <w:tblStyle w:val="1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2524"/>
        <w:gridCol w:w="1233"/>
        <w:gridCol w:w="1270"/>
        <w:gridCol w:w="106"/>
        <w:gridCol w:w="1376"/>
        <w:gridCol w:w="1062"/>
        <w:gridCol w:w="1063"/>
      </w:tblGrid>
      <w:tr w14:paraId="76CC9A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708" w:type="pct"/>
            <w:gridSpan w:val="2"/>
            <w:tcBorders>
              <w:tl2br w:val="nil"/>
              <w:tr2bl w:val="nil"/>
            </w:tcBorders>
            <w:noWrap w:val="0"/>
            <w:vAlign w:val="center"/>
          </w:tcPr>
          <w:p w14:paraId="14B5A5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本项目工程</w:t>
            </w:r>
          </w:p>
        </w:tc>
        <w:tc>
          <w:tcPr>
            <w:tcW w:w="664" w:type="pct"/>
            <w:tcBorders>
              <w:tl2br w:val="nil"/>
              <w:tr2bl w:val="nil"/>
            </w:tcBorders>
            <w:noWrap/>
            <w:vAlign w:val="center"/>
          </w:tcPr>
          <w:p w14:paraId="2633F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项目类别</w:t>
            </w:r>
          </w:p>
        </w:tc>
        <w:tc>
          <w:tcPr>
            <w:tcW w:w="684" w:type="pct"/>
            <w:tcBorders>
              <w:tl2br w:val="nil"/>
              <w:tr2bl w:val="nil"/>
            </w:tcBorders>
            <w:noWrap/>
            <w:vAlign w:val="center"/>
          </w:tcPr>
          <w:p w14:paraId="1B4C21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最近水源井</w:t>
            </w:r>
          </w:p>
        </w:tc>
        <w:tc>
          <w:tcPr>
            <w:tcW w:w="798" w:type="pct"/>
            <w:gridSpan w:val="2"/>
            <w:tcBorders>
              <w:tl2br w:val="nil"/>
              <w:tr2bl w:val="nil"/>
            </w:tcBorders>
            <w:noWrap/>
            <w:vAlign w:val="center"/>
          </w:tcPr>
          <w:p w14:paraId="308FD6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与水源井距离</w:t>
            </w:r>
          </w:p>
        </w:tc>
        <w:tc>
          <w:tcPr>
            <w:tcW w:w="572" w:type="pct"/>
            <w:tcBorders>
              <w:tl2br w:val="nil"/>
              <w:tr2bl w:val="nil"/>
            </w:tcBorders>
            <w:noWrap/>
            <w:vAlign w:val="center"/>
          </w:tcPr>
          <w:p w14:paraId="0D6D0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敏感程度</w:t>
            </w:r>
          </w:p>
        </w:tc>
        <w:tc>
          <w:tcPr>
            <w:tcW w:w="572" w:type="pct"/>
            <w:tcBorders>
              <w:tl2br w:val="nil"/>
              <w:tr2bl w:val="nil"/>
            </w:tcBorders>
            <w:noWrap/>
            <w:vAlign w:val="center"/>
          </w:tcPr>
          <w:p w14:paraId="08F22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评价等级</w:t>
            </w:r>
          </w:p>
        </w:tc>
      </w:tr>
      <w:tr w14:paraId="52D24A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49" w:type="pct"/>
            <w:vMerge w:val="restart"/>
            <w:tcBorders>
              <w:tl2br w:val="nil"/>
              <w:tr2bl w:val="nil"/>
            </w:tcBorders>
            <w:noWrap/>
            <w:vAlign w:val="center"/>
          </w:tcPr>
          <w:p w14:paraId="5D0DE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管线</w:t>
            </w:r>
          </w:p>
        </w:tc>
        <w:tc>
          <w:tcPr>
            <w:tcW w:w="1358" w:type="pct"/>
            <w:tcBorders>
              <w:tl2br w:val="nil"/>
              <w:tr2bl w:val="nil"/>
            </w:tcBorders>
            <w:noWrap/>
            <w:vAlign w:val="center"/>
          </w:tcPr>
          <w:p w14:paraId="1D02FE0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芳3转油站外输油管道</w:t>
            </w:r>
          </w:p>
        </w:tc>
        <w:tc>
          <w:tcPr>
            <w:tcW w:w="664" w:type="pct"/>
            <w:tcBorders>
              <w:tl2br w:val="nil"/>
              <w:tr2bl w:val="nil"/>
            </w:tcBorders>
            <w:noWrap/>
            <w:vAlign w:val="center"/>
          </w:tcPr>
          <w:p w14:paraId="0C7001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II类</w:t>
            </w:r>
          </w:p>
        </w:tc>
        <w:tc>
          <w:tcPr>
            <w:tcW w:w="684" w:type="pct"/>
            <w:tcBorders>
              <w:tl2br w:val="nil"/>
              <w:tr2bl w:val="nil"/>
            </w:tcBorders>
            <w:noWrap w:val="0"/>
            <w:vAlign w:val="center"/>
          </w:tcPr>
          <w:p w14:paraId="267E6E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宋芳屯居住区水源井</w:t>
            </w:r>
          </w:p>
        </w:tc>
        <w:tc>
          <w:tcPr>
            <w:tcW w:w="798" w:type="pct"/>
            <w:gridSpan w:val="2"/>
            <w:tcBorders>
              <w:tl2br w:val="nil"/>
              <w:tr2bl w:val="nil"/>
            </w:tcBorders>
            <w:noWrap w:val="0"/>
            <w:vAlign w:val="center"/>
          </w:tcPr>
          <w:p w14:paraId="22E12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120</w:t>
            </w: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m</w:t>
            </w:r>
          </w:p>
        </w:tc>
        <w:tc>
          <w:tcPr>
            <w:tcW w:w="572" w:type="pct"/>
            <w:tcBorders>
              <w:tl2br w:val="nil"/>
              <w:tr2bl w:val="nil"/>
            </w:tcBorders>
            <w:noWrap/>
            <w:vAlign w:val="center"/>
          </w:tcPr>
          <w:p w14:paraId="6BBD46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较敏感</w:t>
            </w:r>
          </w:p>
        </w:tc>
        <w:tc>
          <w:tcPr>
            <w:tcW w:w="572" w:type="pct"/>
            <w:tcBorders>
              <w:tl2br w:val="nil"/>
              <w:tr2bl w:val="nil"/>
            </w:tcBorders>
            <w:noWrap/>
            <w:vAlign w:val="center"/>
          </w:tcPr>
          <w:p w14:paraId="756574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二级</w:t>
            </w:r>
          </w:p>
        </w:tc>
      </w:tr>
      <w:tr w14:paraId="7B756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349" w:type="pct"/>
            <w:vMerge w:val="continue"/>
            <w:tcBorders>
              <w:tl2br w:val="nil"/>
              <w:tr2bl w:val="nil"/>
            </w:tcBorders>
            <w:noWrap/>
            <w:vAlign w:val="center"/>
          </w:tcPr>
          <w:p w14:paraId="447F5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1358" w:type="pct"/>
            <w:tcBorders>
              <w:tl2br w:val="nil"/>
              <w:tr2bl w:val="nil"/>
            </w:tcBorders>
            <w:noWrap/>
            <w:vAlign w:val="center"/>
          </w:tcPr>
          <w:p w14:paraId="79BCDB5E">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407-6集油阀组间</w:t>
            </w:r>
          </w:p>
          <w:p w14:paraId="7C9B461B">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5环集油管道</w:t>
            </w:r>
          </w:p>
        </w:tc>
        <w:tc>
          <w:tcPr>
            <w:tcW w:w="664" w:type="pct"/>
            <w:tcBorders>
              <w:tl2br w:val="nil"/>
              <w:tr2bl w:val="nil"/>
            </w:tcBorders>
            <w:noWrap/>
            <w:vAlign w:val="center"/>
          </w:tcPr>
          <w:p w14:paraId="372454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II类</w:t>
            </w:r>
          </w:p>
        </w:tc>
        <w:tc>
          <w:tcPr>
            <w:tcW w:w="1482" w:type="pct"/>
            <w:gridSpan w:val="3"/>
            <w:tcBorders>
              <w:tl2br w:val="nil"/>
              <w:tr2bl w:val="nil"/>
            </w:tcBorders>
            <w:noWrap w:val="0"/>
            <w:vAlign w:val="center"/>
          </w:tcPr>
          <w:p w14:paraId="2E7874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t>无</w:t>
            </w:r>
          </w:p>
        </w:tc>
        <w:tc>
          <w:tcPr>
            <w:tcW w:w="572" w:type="pct"/>
            <w:tcBorders>
              <w:tl2br w:val="nil"/>
              <w:tr2bl w:val="nil"/>
            </w:tcBorders>
            <w:noWrap/>
            <w:vAlign w:val="center"/>
          </w:tcPr>
          <w:p w14:paraId="153D18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不敏感</w:t>
            </w:r>
          </w:p>
        </w:tc>
        <w:tc>
          <w:tcPr>
            <w:tcW w:w="572" w:type="pct"/>
            <w:tcBorders>
              <w:tl2br w:val="nil"/>
              <w:tr2bl w:val="nil"/>
            </w:tcBorders>
            <w:noWrap/>
            <w:vAlign w:val="center"/>
          </w:tcPr>
          <w:p w14:paraId="41FF04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三级</w:t>
            </w:r>
          </w:p>
        </w:tc>
      </w:tr>
      <w:tr w14:paraId="23B47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49" w:type="pct"/>
            <w:vMerge w:val="continue"/>
            <w:tcBorders>
              <w:tl2br w:val="nil"/>
              <w:tr2bl w:val="nil"/>
            </w:tcBorders>
            <w:noWrap/>
            <w:vAlign w:val="center"/>
          </w:tcPr>
          <w:p w14:paraId="33EE2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1358" w:type="pct"/>
            <w:tcBorders>
              <w:tl2br w:val="nil"/>
              <w:tr2bl w:val="nil"/>
            </w:tcBorders>
            <w:noWrap/>
            <w:vAlign w:val="center"/>
          </w:tcPr>
          <w:p w14:paraId="4DCA4313">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1-6集油阀组间</w:t>
            </w:r>
          </w:p>
          <w:p w14:paraId="115ADF7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1环集油管道</w:t>
            </w:r>
          </w:p>
        </w:tc>
        <w:tc>
          <w:tcPr>
            <w:tcW w:w="664" w:type="pct"/>
            <w:tcBorders>
              <w:tl2br w:val="nil"/>
              <w:tr2bl w:val="nil"/>
            </w:tcBorders>
            <w:noWrap/>
            <w:vAlign w:val="center"/>
          </w:tcPr>
          <w:p w14:paraId="60DCA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II类</w:t>
            </w:r>
          </w:p>
        </w:tc>
        <w:tc>
          <w:tcPr>
            <w:tcW w:w="741" w:type="pct"/>
            <w:gridSpan w:val="2"/>
            <w:tcBorders>
              <w:tl2br w:val="nil"/>
              <w:tr2bl w:val="nil"/>
            </w:tcBorders>
            <w:noWrap w:val="0"/>
            <w:vAlign w:val="center"/>
          </w:tcPr>
          <w:p w14:paraId="66A8F5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粮库水源井</w:t>
            </w:r>
          </w:p>
        </w:tc>
        <w:tc>
          <w:tcPr>
            <w:tcW w:w="741" w:type="pct"/>
            <w:tcBorders>
              <w:tl2br w:val="nil"/>
              <w:tr2bl w:val="nil"/>
            </w:tcBorders>
            <w:noWrap w:val="0"/>
            <w:vAlign w:val="center"/>
          </w:tcPr>
          <w:p w14:paraId="65F87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135m</w:t>
            </w:r>
          </w:p>
        </w:tc>
        <w:tc>
          <w:tcPr>
            <w:tcW w:w="572" w:type="pct"/>
            <w:tcBorders>
              <w:tl2br w:val="nil"/>
              <w:tr2bl w:val="nil"/>
            </w:tcBorders>
            <w:noWrap/>
            <w:vAlign w:val="center"/>
          </w:tcPr>
          <w:p w14:paraId="5A60F2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较敏感</w:t>
            </w:r>
          </w:p>
        </w:tc>
        <w:tc>
          <w:tcPr>
            <w:tcW w:w="572" w:type="pct"/>
            <w:tcBorders>
              <w:tl2br w:val="nil"/>
              <w:tr2bl w:val="nil"/>
            </w:tcBorders>
            <w:noWrap/>
            <w:vAlign w:val="center"/>
          </w:tcPr>
          <w:p w14:paraId="75B153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二级</w:t>
            </w:r>
          </w:p>
        </w:tc>
      </w:tr>
      <w:tr w14:paraId="065E2F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49" w:type="pct"/>
            <w:vMerge w:val="continue"/>
            <w:tcBorders>
              <w:tl2br w:val="nil"/>
              <w:tr2bl w:val="nil"/>
            </w:tcBorders>
            <w:noWrap/>
            <w:vAlign w:val="center"/>
          </w:tcPr>
          <w:p w14:paraId="78C573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1358" w:type="pct"/>
            <w:tcBorders>
              <w:tl2br w:val="nil"/>
              <w:tr2bl w:val="nil"/>
            </w:tcBorders>
            <w:noWrap/>
            <w:vAlign w:val="center"/>
          </w:tcPr>
          <w:p w14:paraId="5ABBB006">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w:t>
            </w:r>
          </w:p>
          <w:p w14:paraId="2D3392DA">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1环集油管道</w:t>
            </w:r>
          </w:p>
        </w:tc>
        <w:tc>
          <w:tcPr>
            <w:tcW w:w="664" w:type="pct"/>
            <w:tcBorders>
              <w:tl2br w:val="nil"/>
              <w:tr2bl w:val="nil"/>
            </w:tcBorders>
            <w:noWrap/>
            <w:vAlign w:val="center"/>
          </w:tcPr>
          <w:p w14:paraId="7C8950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II类</w:t>
            </w:r>
          </w:p>
        </w:tc>
        <w:tc>
          <w:tcPr>
            <w:tcW w:w="1482" w:type="pct"/>
            <w:gridSpan w:val="3"/>
            <w:tcBorders>
              <w:tl2br w:val="nil"/>
              <w:tr2bl w:val="nil"/>
            </w:tcBorders>
            <w:noWrap w:val="0"/>
            <w:vAlign w:val="center"/>
          </w:tcPr>
          <w:p w14:paraId="7E79EB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无</w:t>
            </w:r>
          </w:p>
        </w:tc>
        <w:tc>
          <w:tcPr>
            <w:tcW w:w="572" w:type="pct"/>
            <w:tcBorders>
              <w:tl2br w:val="nil"/>
              <w:tr2bl w:val="nil"/>
            </w:tcBorders>
            <w:noWrap/>
            <w:vAlign w:val="center"/>
          </w:tcPr>
          <w:p w14:paraId="7E06A7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不敏感</w:t>
            </w:r>
          </w:p>
        </w:tc>
        <w:tc>
          <w:tcPr>
            <w:tcW w:w="572" w:type="pct"/>
            <w:tcBorders>
              <w:tl2br w:val="nil"/>
              <w:tr2bl w:val="nil"/>
            </w:tcBorders>
            <w:noWrap/>
            <w:vAlign w:val="center"/>
          </w:tcPr>
          <w:p w14:paraId="45013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三级</w:t>
            </w:r>
          </w:p>
        </w:tc>
      </w:tr>
      <w:tr w14:paraId="538582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349" w:type="pct"/>
            <w:vMerge w:val="continue"/>
            <w:tcBorders>
              <w:tl2br w:val="nil"/>
              <w:tr2bl w:val="nil"/>
            </w:tcBorders>
            <w:noWrap/>
            <w:vAlign w:val="center"/>
          </w:tcPr>
          <w:p w14:paraId="235C1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p>
        </w:tc>
        <w:tc>
          <w:tcPr>
            <w:tcW w:w="1358" w:type="pct"/>
            <w:tcBorders>
              <w:tl2br w:val="nil"/>
              <w:tr2bl w:val="nil"/>
            </w:tcBorders>
            <w:noWrap/>
            <w:vAlign w:val="center"/>
          </w:tcPr>
          <w:p w14:paraId="26B7CF26">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w:t>
            </w:r>
          </w:p>
          <w:p w14:paraId="05A00C4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6环集油管道</w:t>
            </w:r>
          </w:p>
        </w:tc>
        <w:tc>
          <w:tcPr>
            <w:tcW w:w="664" w:type="pct"/>
            <w:tcBorders>
              <w:tl2br w:val="nil"/>
              <w:tr2bl w:val="nil"/>
            </w:tcBorders>
            <w:noWrap/>
            <w:vAlign w:val="center"/>
          </w:tcPr>
          <w:p w14:paraId="56192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II类</w:t>
            </w:r>
          </w:p>
        </w:tc>
        <w:tc>
          <w:tcPr>
            <w:tcW w:w="741" w:type="pct"/>
            <w:gridSpan w:val="2"/>
            <w:tcBorders>
              <w:tl2br w:val="nil"/>
              <w:tr2bl w:val="nil"/>
            </w:tcBorders>
            <w:noWrap w:val="0"/>
            <w:vAlign w:val="center"/>
          </w:tcPr>
          <w:p w14:paraId="4B0833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繁育基地水源井</w:t>
            </w:r>
          </w:p>
        </w:tc>
        <w:tc>
          <w:tcPr>
            <w:tcW w:w="741" w:type="pct"/>
            <w:tcBorders>
              <w:tl2br w:val="nil"/>
              <w:tr2bl w:val="nil"/>
            </w:tcBorders>
            <w:noWrap w:val="0"/>
            <w:vAlign w:val="center"/>
          </w:tcPr>
          <w:p w14:paraId="61DAEC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90m</w:t>
            </w:r>
          </w:p>
        </w:tc>
        <w:tc>
          <w:tcPr>
            <w:tcW w:w="572" w:type="pct"/>
            <w:tcBorders>
              <w:tl2br w:val="nil"/>
              <w:tr2bl w:val="nil"/>
            </w:tcBorders>
            <w:noWrap/>
            <w:vAlign w:val="center"/>
          </w:tcPr>
          <w:p w14:paraId="7F812B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较敏感</w:t>
            </w:r>
          </w:p>
        </w:tc>
        <w:tc>
          <w:tcPr>
            <w:tcW w:w="572" w:type="pct"/>
            <w:tcBorders>
              <w:tl2br w:val="nil"/>
              <w:tr2bl w:val="nil"/>
            </w:tcBorders>
            <w:noWrap/>
            <w:vAlign w:val="center"/>
          </w:tcPr>
          <w:p w14:paraId="7EF83B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二级</w:t>
            </w:r>
          </w:p>
        </w:tc>
      </w:tr>
    </w:tbl>
    <w:p w14:paraId="14F6A999">
      <w:pPr>
        <w:pStyle w:val="34"/>
        <w:keepNext w:val="0"/>
        <w:keepLines w:val="0"/>
        <w:pageBreakBefore w:val="0"/>
        <w:widowControl w:val="0"/>
        <w:kinsoku/>
        <w:wordWrap/>
        <w:topLinePunct w:val="0"/>
        <w:bidi w:val="0"/>
        <w:spacing w:line="360" w:lineRule="auto"/>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2.6-4</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2.6-5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，芳3转油站外输油管道、升1-6集油阀组间1环集油管道</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、升1-2集油阀组间6环集油管道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地下水评价等级为二级，芳407-6集油阀组间5环集油管道、升1-2集油阀组间1环集油管道地下水评价等级为三级。</w:t>
      </w:r>
    </w:p>
    <w:p w14:paraId="78FE892C">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表2.6-</w:t>
      </w:r>
      <w:r>
        <w:rPr>
          <w:rFonts w:hint="eastAsia" w:ascii="Times New Roman" w:hAnsi="Times New Roman" w:cs="Times New Roman"/>
          <w:color w:val="000000" w:themeColor="text1"/>
          <w:szCs w:val="24"/>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地下水评价工作等级判定表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112"/>
        <w:gridCol w:w="2112"/>
        <w:gridCol w:w="2112"/>
      </w:tblGrid>
      <w:tr w14:paraId="1F471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8" w:type="pct"/>
            <w:tcBorders>
              <w:top w:val="single" w:color="auto" w:sz="12" w:space="0"/>
              <w:bottom w:val="single" w:color="auto" w:sz="4" w:space="0"/>
              <w:tl2br w:val="single" w:color="auto" w:sz="4" w:space="0"/>
            </w:tcBorders>
            <w:vAlign w:val="center"/>
          </w:tcPr>
          <w:p w14:paraId="220F64DD">
            <w:pPr>
              <w:keepNext w:val="0"/>
              <w:keepLines w:val="0"/>
              <w:pageBreakBefore w:val="0"/>
              <w:widowControl w:val="0"/>
              <w:kinsoku/>
              <w:wordWrap/>
              <w:topLinePunct w:val="0"/>
              <w:bidi w:val="0"/>
              <w:spacing w:after="0"/>
              <w:jc w:val="righ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项目类别</w:t>
            </w:r>
          </w:p>
          <w:p w14:paraId="54C9088D">
            <w:pPr>
              <w:keepNext w:val="0"/>
              <w:keepLines w:val="0"/>
              <w:pageBreakBefore w:val="0"/>
              <w:widowControl w:val="0"/>
              <w:kinsoku/>
              <w:wordWrap/>
              <w:topLinePunct w:val="0"/>
              <w:bidi w:val="0"/>
              <w:spacing w:after="0"/>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环境敏感程度</w:t>
            </w:r>
          </w:p>
        </w:tc>
        <w:tc>
          <w:tcPr>
            <w:tcW w:w="1137" w:type="pct"/>
            <w:vAlign w:val="center"/>
          </w:tcPr>
          <w:p w14:paraId="4A7DA068">
            <w:pPr>
              <w:keepNext w:val="0"/>
              <w:keepLines w:val="0"/>
              <w:pageBreakBefore w:val="0"/>
              <w:widowControl w:val="0"/>
              <w:kinsoku/>
              <w:wordWrap/>
              <w:topLinePunct w:val="0"/>
              <w:bidi w:val="0"/>
              <w:spacing w:after="0"/>
              <w:jc w:val="cente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Ⅰ类项目</w:t>
            </w:r>
          </w:p>
        </w:tc>
        <w:tc>
          <w:tcPr>
            <w:tcW w:w="1137" w:type="pct"/>
            <w:vAlign w:val="center"/>
          </w:tcPr>
          <w:p w14:paraId="52D85335">
            <w:pPr>
              <w:keepNext w:val="0"/>
              <w:keepLines w:val="0"/>
              <w:pageBreakBefore w:val="0"/>
              <w:widowControl w:val="0"/>
              <w:kinsoku/>
              <w:wordWrap/>
              <w:topLinePunct w:val="0"/>
              <w:bidi w:val="0"/>
              <w:spacing w:after="0"/>
              <w:jc w:val="cente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Ⅱ类项目</w:t>
            </w:r>
          </w:p>
        </w:tc>
        <w:tc>
          <w:tcPr>
            <w:tcW w:w="1137" w:type="pct"/>
            <w:vAlign w:val="center"/>
          </w:tcPr>
          <w:p w14:paraId="7F83C0E7">
            <w:pPr>
              <w:keepNext w:val="0"/>
              <w:keepLines w:val="0"/>
              <w:pageBreakBefore w:val="0"/>
              <w:widowControl w:val="0"/>
              <w:kinsoku/>
              <w:wordWrap/>
              <w:topLinePunct w:val="0"/>
              <w:bidi w:val="0"/>
              <w:spacing w:after="0"/>
              <w:jc w:val="cente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snapToGrid w:val="0"/>
                <w:color w:val="000000" w:themeColor="text1"/>
                <w:sz w:val="21"/>
                <w:szCs w:val="21"/>
                <w:highlight w:val="none"/>
                <w14:textFill>
                  <w14:solidFill>
                    <w14:schemeClr w14:val="tx1"/>
                  </w14:solidFill>
                </w14:textFill>
              </w:rPr>
              <w:t>Ⅲ类项目</w:t>
            </w:r>
          </w:p>
        </w:tc>
      </w:tr>
      <w:tr w14:paraId="27745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8" w:type="pct"/>
            <w:tcBorders>
              <w:top w:val="single" w:color="auto" w:sz="4" w:space="0"/>
            </w:tcBorders>
            <w:vAlign w:val="center"/>
          </w:tcPr>
          <w:p w14:paraId="00174261">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敏感</w:t>
            </w:r>
          </w:p>
        </w:tc>
        <w:tc>
          <w:tcPr>
            <w:tcW w:w="1137" w:type="pct"/>
            <w:vAlign w:val="center"/>
          </w:tcPr>
          <w:p w14:paraId="5024AC92">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一</w:t>
            </w:r>
          </w:p>
        </w:tc>
        <w:tc>
          <w:tcPr>
            <w:tcW w:w="1137" w:type="pct"/>
            <w:vAlign w:val="center"/>
          </w:tcPr>
          <w:p w14:paraId="090157C4">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一</w:t>
            </w:r>
          </w:p>
        </w:tc>
        <w:tc>
          <w:tcPr>
            <w:tcW w:w="1137" w:type="pct"/>
            <w:vAlign w:val="center"/>
          </w:tcPr>
          <w:p w14:paraId="426EFED3">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二</w:t>
            </w:r>
          </w:p>
        </w:tc>
      </w:tr>
      <w:tr w14:paraId="40AFF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8" w:type="pct"/>
            <w:vAlign w:val="center"/>
          </w:tcPr>
          <w:p w14:paraId="416A70E9">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较敏感</w:t>
            </w:r>
          </w:p>
        </w:tc>
        <w:tc>
          <w:tcPr>
            <w:tcW w:w="1137" w:type="pct"/>
            <w:vAlign w:val="center"/>
          </w:tcPr>
          <w:p w14:paraId="3893AC6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一</w:t>
            </w:r>
          </w:p>
        </w:tc>
        <w:tc>
          <w:tcPr>
            <w:tcW w:w="1137" w:type="pct"/>
            <w:vAlign w:val="center"/>
          </w:tcPr>
          <w:p w14:paraId="45203AFF">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二</w:t>
            </w:r>
          </w:p>
        </w:tc>
        <w:tc>
          <w:tcPr>
            <w:tcW w:w="1137" w:type="pct"/>
            <w:vAlign w:val="center"/>
          </w:tcPr>
          <w:p w14:paraId="6D4C796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21"/>
                <w:highlight w:val="none"/>
                <w14:textFill>
                  <w14:solidFill>
                    <w14:schemeClr w14:val="tx1"/>
                  </w14:solidFill>
                </w14:textFill>
              </w:rPr>
              <w:t>三</w:t>
            </w:r>
          </w:p>
        </w:tc>
      </w:tr>
      <w:tr w14:paraId="47827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8" w:type="pct"/>
            <w:vAlign w:val="center"/>
          </w:tcPr>
          <w:p w14:paraId="03049516">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不敏感</w:t>
            </w:r>
          </w:p>
        </w:tc>
        <w:tc>
          <w:tcPr>
            <w:tcW w:w="1137" w:type="pct"/>
            <w:vAlign w:val="center"/>
          </w:tcPr>
          <w:p w14:paraId="3D718418">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二</w:t>
            </w:r>
          </w:p>
        </w:tc>
        <w:tc>
          <w:tcPr>
            <w:tcW w:w="1137" w:type="pct"/>
            <w:shd w:val="clear" w:color="auto" w:fill="auto"/>
            <w:vAlign w:val="center"/>
          </w:tcPr>
          <w:p w14:paraId="05356D01">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三</w:t>
            </w:r>
          </w:p>
        </w:tc>
        <w:tc>
          <w:tcPr>
            <w:tcW w:w="1137" w:type="pct"/>
            <w:vAlign w:val="center"/>
          </w:tcPr>
          <w:p w14:paraId="7977D6EF">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三</w:t>
            </w:r>
          </w:p>
        </w:tc>
      </w:tr>
    </w:tbl>
    <w:p w14:paraId="78269BA9">
      <w:pPr>
        <w:keepNext w:val="0"/>
        <w:keepLines w:val="0"/>
        <w:pageBreakBefore w:val="0"/>
        <w:widowControl w:val="0"/>
        <w:kinsoku/>
        <w:wordWrap/>
        <w:overflowPunct w:val="0"/>
        <w:topLinePunct w:val="0"/>
        <w:autoSpaceDE/>
        <w:autoSpaceDN/>
        <w:bidi w:val="0"/>
        <w:adjustRightInd/>
        <w:snapToGrid/>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4声</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环境</w:t>
      </w:r>
    </w:p>
    <w:p w14:paraId="0B4B0A8E">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根据《环境影响评价技术导则声环境》（HJ2.4-20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）中噪声环境影响评价等级划分的基本原则，</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建设项目所处的声环境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功能区属于声功能区划的1类</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2类</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区，本工程主要噪声源</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为施工期施工机械间断性噪声，由于每条</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施工时间短，影响小，施工结束后影响消失；因此，声环境评价等级为二级</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55E60A4E">
      <w:pPr>
        <w:keepNext w:val="0"/>
        <w:keepLines w:val="0"/>
        <w:pageBreakBefore w:val="0"/>
        <w:widowControl w:val="0"/>
        <w:kinsoku/>
        <w:wordWrap/>
        <w:overflowPunct w:val="0"/>
        <w:topLinePunct w:val="0"/>
        <w:autoSpaceDE/>
        <w:autoSpaceDN/>
        <w:bidi w:val="0"/>
        <w:adjustRightInd/>
        <w:snapToGrid/>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土壤环境</w:t>
      </w:r>
    </w:p>
    <w:p w14:paraId="53DC1EB8">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）项目类别</w:t>
      </w:r>
    </w:p>
    <w:p w14:paraId="58802A3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《环境影响评价技术导则·土壤环境（试行）》（HJ964-2018）</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规定，土壤盐化、酸化和碱化地区，建设项目应按照土壤污染影响型和生态影响型，按相应等级分别开展评价工作；非土壤盐化、酸化和碱化地区，按照土壤污染影响型，按相应等级开展评价工作。</w:t>
      </w:r>
    </w:p>
    <w:p w14:paraId="10F03BA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《环境影响评价技术导则·土壤环境（试行）》（HJ964-2018）</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中附录D.1、D.2，土壤盐化、酸化和碱化地区判定表见</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表2.6-6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表2.6-7</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1FA3FE49">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表2.6-6  </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土壤盐化分级标准</w:t>
      </w:r>
    </w:p>
    <w:tbl>
      <w:tblPr>
        <w:tblStyle w:val="19"/>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46B0F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restart"/>
            <w:tcBorders>
              <w:tl2br w:val="nil"/>
              <w:tr2bl w:val="nil"/>
            </w:tcBorders>
            <w:vAlign w:val="center"/>
          </w:tcPr>
          <w:p w14:paraId="5DCAE89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分级</w:t>
            </w:r>
          </w:p>
        </w:tc>
        <w:tc>
          <w:tcPr>
            <w:tcW w:w="6192" w:type="dxa"/>
            <w:gridSpan w:val="2"/>
            <w:tcBorders>
              <w:tl2br w:val="nil"/>
              <w:tr2bl w:val="nil"/>
            </w:tcBorders>
            <w:vAlign w:val="center"/>
          </w:tcPr>
          <w:p w14:paraId="2357A19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土壤含盐量（SSC）/g/kg</w:t>
            </w:r>
          </w:p>
        </w:tc>
      </w:tr>
      <w:tr w14:paraId="535F6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vMerge w:val="continue"/>
            <w:tcBorders>
              <w:tl2br w:val="nil"/>
              <w:tr2bl w:val="nil"/>
            </w:tcBorders>
            <w:vAlign w:val="center"/>
          </w:tcPr>
          <w:p w14:paraId="080C1D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3096" w:type="dxa"/>
            <w:tcBorders>
              <w:tl2br w:val="nil"/>
              <w:tr2bl w:val="nil"/>
            </w:tcBorders>
            <w:vAlign w:val="center"/>
          </w:tcPr>
          <w:p w14:paraId="0B0F0E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滨海、半湿润和半干旱地区</w:t>
            </w:r>
          </w:p>
        </w:tc>
        <w:tc>
          <w:tcPr>
            <w:tcW w:w="3096" w:type="dxa"/>
            <w:tcBorders>
              <w:tl2br w:val="nil"/>
              <w:tr2bl w:val="nil"/>
            </w:tcBorders>
            <w:vAlign w:val="center"/>
          </w:tcPr>
          <w:p w14:paraId="1CE64E8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干旱、半荒漠和荒漠地区</w:t>
            </w:r>
          </w:p>
        </w:tc>
      </w:tr>
      <w:tr w14:paraId="11B09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center"/>
          </w:tcPr>
          <w:p w14:paraId="2509B6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未盐化</w:t>
            </w:r>
          </w:p>
        </w:tc>
        <w:tc>
          <w:tcPr>
            <w:tcW w:w="3096" w:type="dxa"/>
            <w:tcBorders>
              <w:tl2br w:val="nil"/>
              <w:tr2bl w:val="nil"/>
            </w:tcBorders>
            <w:vAlign w:val="center"/>
          </w:tcPr>
          <w:p w14:paraId="7561701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SSC&lt;1</w:t>
            </w:r>
          </w:p>
        </w:tc>
        <w:tc>
          <w:tcPr>
            <w:tcW w:w="3096" w:type="dxa"/>
            <w:tcBorders>
              <w:tl2br w:val="nil"/>
              <w:tr2bl w:val="nil"/>
            </w:tcBorders>
            <w:vAlign w:val="center"/>
          </w:tcPr>
          <w:p w14:paraId="09190B1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SSC&lt;1</w:t>
            </w:r>
          </w:p>
        </w:tc>
      </w:tr>
      <w:tr w14:paraId="08214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center"/>
          </w:tcPr>
          <w:p w14:paraId="13B324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轻度盐化</w:t>
            </w:r>
          </w:p>
        </w:tc>
        <w:tc>
          <w:tcPr>
            <w:tcW w:w="3096" w:type="dxa"/>
            <w:tcBorders>
              <w:tl2br w:val="nil"/>
              <w:tr2bl w:val="nil"/>
            </w:tcBorders>
            <w:vAlign w:val="center"/>
          </w:tcPr>
          <w:p w14:paraId="51F33B9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1≤SSC&lt;2</w:t>
            </w:r>
          </w:p>
        </w:tc>
        <w:tc>
          <w:tcPr>
            <w:tcW w:w="3096" w:type="dxa"/>
            <w:tcBorders>
              <w:tl2br w:val="nil"/>
              <w:tr2bl w:val="nil"/>
            </w:tcBorders>
            <w:vAlign w:val="center"/>
          </w:tcPr>
          <w:p w14:paraId="48AA7FC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2≤SSC&lt;3</w:t>
            </w:r>
          </w:p>
        </w:tc>
      </w:tr>
      <w:tr w14:paraId="10C12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center"/>
          </w:tcPr>
          <w:p w14:paraId="5F7B532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中度盐化</w:t>
            </w:r>
          </w:p>
        </w:tc>
        <w:tc>
          <w:tcPr>
            <w:tcW w:w="3096" w:type="dxa"/>
            <w:tcBorders>
              <w:tl2br w:val="nil"/>
              <w:tr2bl w:val="nil"/>
            </w:tcBorders>
            <w:vAlign w:val="center"/>
          </w:tcPr>
          <w:p w14:paraId="34AA16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2≤SSC&lt;4</w:t>
            </w:r>
          </w:p>
        </w:tc>
        <w:tc>
          <w:tcPr>
            <w:tcW w:w="3096" w:type="dxa"/>
            <w:tcBorders>
              <w:tl2br w:val="nil"/>
              <w:tr2bl w:val="nil"/>
            </w:tcBorders>
            <w:vAlign w:val="center"/>
          </w:tcPr>
          <w:p w14:paraId="74FE30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3≤SSC&lt;5</w:t>
            </w:r>
          </w:p>
        </w:tc>
      </w:tr>
      <w:tr w14:paraId="4864B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center"/>
          </w:tcPr>
          <w:p w14:paraId="4FEAB9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重度盐化</w:t>
            </w:r>
          </w:p>
        </w:tc>
        <w:tc>
          <w:tcPr>
            <w:tcW w:w="3096" w:type="dxa"/>
            <w:tcBorders>
              <w:tl2br w:val="nil"/>
              <w:tr2bl w:val="nil"/>
            </w:tcBorders>
            <w:vAlign w:val="center"/>
          </w:tcPr>
          <w:p w14:paraId="0BE1787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4≤SSC&lt;6</w:t>
            </w:r>
          </w:p>
        </w:tc>
        <w:tc>
          <w:tcPr>
            <w:tcW w:w="3096" w:type="dxa"/>
            <w:tcBorders>
              <w:tl2br w:val="nil"/>
              <w:tr2bl w:val="nil"/>
            </w:tcBorders>
            <w:vAlign w:val="center"/>
          </w:tcPr>
          <w:p w14:paraId="3CC643A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5≤SSC&lt;10</w:t>
            </w:r>
          </w:p>
        </w:tc>
      </w:tr>
      <w:tr w14:paraId="7487B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vAlign w:val="center"/>
          </w:tcPr>
          <w:p w14:paraId="293107C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极重度盐化</w:t>
            </w:r>
          </w:p>
        </w:tc>
        <w:tc>
          <w:tcPr>
            <w:tcW w:w="3096" w:type="dxa"/>
            <w:tcBorders>
              <w:tl2br w:val="nil"/>
              <w:tr2bl w:val="nil"/>
            </w:tcBorders>
            <w:vAlign w:val="center"/>
          </w:tcPr>
          <w:p w14:paraId="6DB193B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SSC≥6</w:t>
            </w:r>
          </w:p>
        </w:tc>
        <w:tc>
          <w:tcPr>
            <w:tcW w:w="3096" w:type="dxa"/>
            <w:tcBorders>
              <w:tl2br w:val="nil"/>
              <w:tr2bl w:val="nil"/>
            </w:tcBorders>
            <w:vAlign w:val="center"/>
          </w:tcPr>
          <w:p w14:paraId="567E5B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SSC≥10</w:t>
            </w:r>
          </w:p>
        </w:tc>
      </w:tr>
    </w:tbl>
    <w:p w14:paraId="7CCB74B0">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表2.6-7  </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土壤酸化、碱化分级标准</w:t>
      </w:r>
    </w:p>
    <w:tbl>
      <w:tblPr>
        <w:tblStyle w:val="19"/>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14:paraId="02CF7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5ED7F85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土壤pH值</w:t>
            </w:r>
          </w:p>
        </w:tc>
        <w:tc>
          <w:tcPr>
            <w:tcW w:w="4644" w:type="dxa"/>
            <w:tcBorders>
              <w:tl2br w:val="nil"/>
              <w:tr2bl w:val="nil"/>
            </w:tcBorders>
            <w:vAlign w:val="center"/>
          </w:tcPr>
          <w:p w14:paraId="7F7B3C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土壤酸化、碱化强度</w:t>
            </w:r>
          </w:p>
        </w:tc>
      </w:tr>
      <w:tr w14:paraId="53383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27B7183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pH&lt;3.5</w:t>
            </w:r>
          </w:p>
        </w:tc>
        <w:tc>
          <w:tcPr>
            <w:tcW w:w="4644" w:type="dxa"/>
            <w:tcBorders>
              <w:tl2br w:val="nil"/>
              <w:tr2bl w:val="nil"/>
            </w:tcBorders>
            <w:vAlign w:val="center"/>
          </w:tcPr>
          <w:p w14:paraId="0FDF7C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极重度</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酸化</w:t>
            </w:r>
          </w:p>
        </w:tc>
      </w:tr>
      <w:tr w14:paraId="562C5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51864D4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3.5≤pH&lt;4.0</w:t>
            </w:r>
          </w:p>
        </w:tc>
        <w:tc>
          <w:tcPr>
            <w:tcW w:w="4644" w:type="dxa"/>
            <w:tcBorders>
              <w:tl2br w:val="nil"/>
              <w:tr2bl w:val="nil"/>
            </w:tcBorders>
            <w:vAlign w:val="center"/>
          </w:tcPr>
          <w:p w14:paraId="6E945B4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重度酸化</w:t>
            </w:r>
          </w:p>
        </w:tc>
      </w:tr>
      <w:tr w14:paraId="62964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5E5B478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4.0≤pH&lt;4.5</w:t>
            </w:r>
          </w:p>
        </w:tc>
        <w:tc>
          <w:tcPr>
            <w:tcW w:w="4644" w:type="dxa"/>
            <w:tcBorders>
              <w:tl2br w:val="nil"/>
              <w:tr2bl w:val="nil"/>
            </w:tcBorders>
            <w:vAlign w:val="center"/>
          </w:tcPr>
          <w:p w14:paraId="6F7A94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中度酸化</w:t>
            </w:r>
          </w:p>
        </w:tc>
      </w:tr>
      <w:tr w14:paraId="00FBD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3C587D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4.5≤pH&lt;5.5</w:t>
            </w:r>
          </w:p>
        </w:tc>
        <w:tc>
          <w:tcPr>
            <w:tcW w:w="4644" w:type="dxa"/>
            <w:tcBorders>
              <w:tl2br w:val="nil"/>
              <w:tr2bl w:val="nil"/>
            </w:tcBorders>
            <w:vAlign w:val="center"/>
          </w:tcPr>
          <w:p w14:paraId="00CC002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轻度酸化</w:t>
            </w:r>
          </w:p>
        </w:tc>
      </w:tr>
      <w:tr w14:paraId="0E065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363613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5.5≤pH&lt;8.5</w:t>
            </w:r>
          </w:p>
        </w:tc>
        <w:tc>
          <w:tcPr>
            <w:tcW w:w="4644" w:type="dxa"/>
            <w:tcBorders>
              <w:tl2br w:val="nil"/>
              <w:tr2bl w:val="nil"/>
            </w:tcBorders>
            <w:vAlign w:val="center"/>
          </w:tcPr>
          <w:p w14:paraId="050F45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无酸化或碱化</w:t>
            </w:r>
          </w:p>
        </w:tc>
      </w:tr>
      <w:tr w14:paraId="36562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164DBD9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8.5≤pH&lt;9.0</w:t>
            </w:r>
          </w:p>
        </w:tc>
        <w:tc>
          <w:tcPr>
            <w:tcW w:w="4644" w:type="dxa"/>
            <w:tcBorders>
              <w:tl2br w:val="nil"/>
              <w:tr2bl w:val="nil"/>
            </w:tcBorders>
            <w:vAlign w:val="center"/>
          </w:tcPr>
          <w:p w14:paraId="3933F24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轻度碱化</w:t>
            </w:r>
          </w:p>
        </w:tc>
      </w:tr>
      <w:tr w14:paraId="79DD3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4" w:type="dxa"/>
            <w:tcBorders>
              <w:tl2br w:val="nil"/>
              <w:tr2bl w:val="nil"/>
            </w:tcBorders>
            <w:vAlign w:val="center"/>
          </w:tcPr>
          <w:p w14:paraId="60511BA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9.0≤pH&lt;9.5</w:t>
            </w:r>
          </w:p>
        </w:tc>
        <w:tc>
          <w:tcPr>
            <w:tcW w:w="4644" w:type="dxa"/>
            <w:tcBorders>
              <w:tl2br w:val="nil"/>
              <w:tr2bl w:val="nil"/>
            </w:tcBorders>
            <w:vAlign w:val="center"/>
          </w:tcPr>
          <w:p w14:paraId="034DAD7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中度碱化</w:t>
            </w:r>
          </w:p>
        </w:tc>
      </w:tr>
      <w:tr w14:paraId="23852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61F0F41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9.5≤pH&lt;10.0</w:t>
            </w:r>
          </w:p>
        </w:tc>
        <w:tc>
          <w:tcPr>
            <w:tcW w:w="4644" w:type="dxa"/>
            <w:tcBorders>
              <w:tl2br w:val="nil"/>
              <w:tr2bl w:val="nil"/>
            </w:tcBorders>
            <w:vAlign w:val="center"/>
          </w:tcPr>
          <w:p w14:paraId="7B47552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重度碱化</w:t>
            </w:r>
          </w:p>
        </w:tc>
      </w:tr>
      <w:tr w14:paraId="20BF8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44" w:type="dxa"/>
            <w:tcBorders>
              <w:tl2br w:val="nil"/>
              <w:tr2bl w:val="nil"/>
            </w:tcBorders>
            <w:vAlign w:val="center"/>
          </w:tcPr>
          <w:p w14:paraId="7CE07B4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pH≥1.0</w:t>
            </w:r>
          </w:p>
        </w:tc>
        <w:tc>
          <w:tcPr>
            <w:tcW w:w="4644" w:type="dxa"/>
            <w:tcBorders>
              <w:tl2br w:val="nil"/>
              <w:tr2bl w:val="nil"/>
            </w:tcBorders>
            <w:vAlign w:val="center"/>
          </w:tcPr>
          <w:p w14:paraId="02F8C6C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极重度碱化</w:t>
            </w:r>
          </w:p>
        </w:tc>
      </w:tr>
    </w:tbl>
    <w:p w14:paraId="5D8F3BF4">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根据本项目土壤监测结果，SSC均小于1，pH在5.5-8.5之间，判定本项目属于非土壤盐化、酸化和碱化地区。本项目属于污染影响型项目。</w:t>
      </w:r>
    </w:p>
    <w:p w14:paraId="51DF4F83">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根据《环境影响评价技术导则·土壤环境（试行）》（HJ964-2018）</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陆地石油天然气开发建设项目》（HJ349-20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23</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本项目工程涉及</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油田</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集输管道，油类输送管道按照II类建设项目开展土壤环境影响评价</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p>
    <w:p w14:paraId="53E6971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环境影响类型和途径</w:t>
      </w:r>
    </w:p>
    <w:p w14:paraId="0D0E69A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根据工程分析，本项目开发过程中对土壤环境的影响主要表现为油田</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运营期管道破裂导致的原油渗透</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对土壤环境的污染</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建设项目土壤环境影响类型与影响途径见</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表2.6-</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13071D92">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表2.6-8  </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建设项目土壤环境影响类型与影响途径表</w:t>
      </w:r>
    </w:p>
    <w:tbl>
      <w:tblPr>
        <w:tblStyle w:val="18"/>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55"/>
        <w:gridCol w:w="2145"/>
        <w:gridCol w:w="2059"/>
        <w:gridCol w:w="2117"/>
        <w:gridCol w:w="1406"/>
      </w:tblGrid>
      <w:tr w14:paraId="250197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38" w:type="pct"/>
            <w:vMerge w:val="restart"/>
            <w:tcBorders>
              <w:tl2br w:val="nil"/>
              <w:tr2bl w:val="nil"/>
            </w:tcBorders>
            <w:vAlign w:val="center"/>
          </w:tcPr>
          <w:p w14:paraId="1671DB9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不同时段</w:t>
            </w:r>
          </w:p>
        </w:tc>
        <w:tc>
          <w:tcPr>
            <w:tcW w:w="4161" w:type="pct"/>
            <w:gridSpan w:val="4"/>
            <w:tcBorders>
              <w:tl2br w:val="nil"/>
              <w:tr2bl w:val="nil"/>
            </w:tcBorders>
            <w:vAlign w:val="center"/>
          </w:tcPr>
          <w:p w14:paraId="316CAE7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污染影响型</w:t>
            </w:r>
          </w:p>
        </w:tc>
      </w:tr>
      <w:tr w14:paraId="461E38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838" w:type="pct"/>
            <w:vMerge w:val="continue"/>
            <w:tcBorders>
              <w:tl2br w:val="nil"/>
              <w:tr2bl w:val="nil"/>
            </w:tcBorders>
            <w:vAlign w:val="center"/>
          </w:tcPr>
          <w:p w14:paraId="7EAAFB7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155" w:type="pct"/>
            <w:tcBorders>
              <w:tl2br w:val="nil"/>
              <w:tr2bl w:val="nil"/>
            </w:tcBorders>
            <w:vAlign w:val="center"/>
          </w:tcPr>
          <w:p w14:paraId="3B34D2D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大气沉降</w:t>
            </w:r>
          </w:p>
        </w:tc>
        <w:tc>
          <w:tcPr>
            <w:tcW w:w="1109" w:type="pct"/>
            <w:tcBorders>
              <w:tl2br w:val="nil"/>
              <w:tr2bl w:val="nil"/>
            </w:tcBorders>
            <w:vAlign w:val="center"/>
          </w:tcPr>
          <w:p w14:paraId="46EE37F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地面漫流</w:t>
            </w:r>
          </w:p>
        </w:tc>
        <w:tc>
          <w:tcPr>
            <w:tcW w:w="1140" w:type="pct"/>
            <w:tcBorders>
              <w:tl2br w:val="nil"/>
              <w:tr2bl w:val="nil"/>
            </w:tcBorders>
            <w:vAlign w:val="center"/>
          </w:tcPr>
          <w:p w14:paraId="3434C4F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垂直入渗</w:t>
            </w:r>
          </w:p>
        </w:tc>
        <w:tc>
          <w:tcPr>
            <w:tcW w:w="757" w:type="pct"/>
            <w:tcBorders>
              <w:tl2br w:val="nil"/>
              <w:tr2bl w:val="nil"/>
            </w:tcBorders>
            <w:vAlign w:val="center"/>
          </w:tcPr>
          <w:p w14:paraId="3EC95D51">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其他</w:t>
            </w:r>
          </w:p>
        </w:tc>
      </w:tr>
      <w:tr w14:paraId="09B1B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838" w:type="pct"/>
            <w:tcBorders>
              <w:tl2br w:val="nil"/>
              <w:tr2bl w:val="nil"/>
            </w:tcBorders>
            <w:vAlign w:val="center"/>
          </w:tcPr>
          <w:p w14:paraId="135D10C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运营期</w:t>
            </w:r>
          </w:p>
        </w:tc>
        <w:tc>
          <w:tcPr>
            <w:tcW w:w="1155" w:type="pct"/>
            <w:tcBorders>
              <w:tl2br w:val="nil"/>
              <w:tr2bl w:val="nil"/>
            </w:tcBorders>
            <w:shd w:val="clear" w:color="auto" w:fill="auto"/>
            <w:vAlign w:val="center"/>
          </w:tcPr>
          <w:p w14:paraId="58B8D2A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109" w:type="pct"/>
            <w:tcBorders>
              <w:tl2br w:val="nil"/>
              <w:tr2bl w:val="nil"/>
            </w:tcBorders>
            <w:shd w:val="clear" w:color="auto" w:fill="auto"/>
            <w:vAlign w:val="center"/>
          </w:tcPr>
          <w:p w14:paraId="46775AD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140" w:type="pct"/>
            <w:tcBorders>
              <w:tl2br w:val="nil"/>
              <w:tr2bl w:val="nil"/>
            </w:tcBorders>
            <w:shd w:val="clear" w:color="auto" w:fill="auto"/>
            <w:vAlign w:val="center"/>
          </w:tcPr>
          <w:p w14:paraId="19C22B0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757" w:type="pct"/>
            <w:tcBorders>
              <w:tl2br w:val="nil"/>
              <w:tr2bl w:val="nil"/>
            </w:tcBorders>
            <w:shd w:val="clear" w:color="auto" w:fill="auto"/>
            <w:vAlign w:val="center"/>
          </w:tcPr>
          <w:p w14:paraId="054009C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bl>
    <w:p w14:paraId="4D7613E8">
      <w:pPr>
        <w:keepNext w:val="0"/>
        <w:keepLines w:val="0"/>
        <w:pageBreakBefore w:val="0"/>
        <w:widowControl w:val="0"/>
        <w:kinsoku/>
        <w:wordWrap/>
        <w:topLinePunct w:val="0"/>
        <w:bidi w:val="0"/>
        <w:adjustRightInd w:val="0"/>
        <w:snapToGrid w:val="0"/>
        <w:spacing w:after="0" w:line="360" w:lineRule="auto"/>
        <w:ind w:firstLine="480" w:firstLineChars="200"/>
        <w:jc w:val="left"/>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根据上表可知，污染型影响型土壤环境影响源及影响因子识别见</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表2.6-</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640C5042">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表2.6-9  </w:t>
      </w:r>
      <w:r>
        <w:rPr>
          <w:rFonts w:hint="default"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建设项目土壤环境影响源及影响因子识别表</w:t>
      </w:r>
    </w:p>
    <w:tbl>
      <w:tblPr>
        <w:tblStyle w:val="18"/>
        <w:tblW w:w="928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81"/>
        <w:gridCol w:w="1614"/>
        <w:gridCol w:w="1811"/>
        <w:gridCol w:w="1906"/>
        <w:gridCol w:w="1486"/>
        <w:gridCol w:w="1486"/>
      </w:tblGrid>
      <w:tr w14:paraId="63D407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981" w:type="dxa"/>
            <w:tcBorders>
              <w:tl2br w:val="nil"/>
              <w:tr2bl w:val="nil"/>
            </w:tcBorders>
            <w:vAlign w:val="center"/>
          </w:tcPr>
          <w:p w14:paraId="4146176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污染源</w:t>
            </w:r>
          </w:p>
        </w:tc>
        <w:tc>
          <w:tcPr>
            <w:tcW w:w="1614" w:type="dxa"/>
            <w:tcBorders>
              <w:tl2br w:val="nil"/>
              <w:tr2bl w:val="nil"/>
            </w:tcBorders>
            <w:vAlign w:val="center"/>
          </w:tcPr>
          <w:p w14:paraId="3463207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工艺流程</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/节点</w:t>
            </w:r>
          </w:p>
        </w:tc>
        <w:tc>
          <w:tcPr>
            <w:tcW w:w="1811" w:type="dxa"/>
            <w:tcBorders>
              <w:tl2br w:val="nil"/>
              <w:tr2bl w:val="nil"/>
            </w:tcBorders>
            <w:vAlign w:val="center"/>
          </w:tcPr>
          <w:p w14:paraId="068048C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污染途径</w:t>
            </w:r>
          </w:p>
        </w:tc>
        <w:tc>
          <w:tcPr>
            <w:tcW w:w="1906" w:type="dxa"/>
            <w:tcBorders>
              <w:tl2br w:val="nil"/>
              <w:tr2bl w:val="nil"/>
            </w:tcBorders>
            <w:vAlign w:val="center"/>
          </w:tcPr>
          <w:p w14:paraId="1CCAF4C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全部污染指标</w:t>
            </w:r>
          </w:p>
        </w:tc>
        <w:tc>
          <w:tcPr>
            <w:tcW w:w="1486" w:type="dxa"/>
            <w:tcBorders>
              <w:tl2br w:val="nil"/>
              <w:tr2bl w:val="nil"/>
            </w:tcBorders>
            <w:vAlign w:val="center"/>
          </w:tcPr>
          <w:p w14:paraId="27B4A08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特征因子</w:t>
            </w:r>
          </w:p>
        </w:tc>
        <w:tc>
          <w:tcPr>
            <w:tcW w:w="1486" w:type="dxa"/>
            <w:tcBorders>
              <w:tl2br w:val="nil"/>
              <w:tr2bl w:val="nil"/>
            </w:tcBorders>
            <w:vAlign w:val="center"/>
          </w:tcPr>
          <w:p w14:paraId="054C789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备注</w:t>
            </w:r>
          </w:p>
        </w:tc>
      </w:tr>
      <w:tr w14:paraId="317051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981" w:type="dxa"/>
            <w:vMerge w:val="restart"/>
            <w:tcBorders>
              <w:tl2br w:val="nil"/>
              <w:tr2bl w:val="nil"/>
            </w:tcBorders>
            <w:vAlign w:val="center"/>
          </w:tcPr>
          <w:p w14:paraId="3C11195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w:t>
            </w:r>
          </w:p>
        </w:tc>
        <w:tc>
          <w:tcPr>
            <w:tcW w:w="1614" w:type="dxa"/>
            <w:vMerge w:val="restart"/>
            <w:tcBorders>
              <w:tl2br w:val="nil"/>
              <w:tr2bl w:val="nil"/>
            </w:tcBorders>
            <w:vAlign w:val="center"/>
          </w:tcPr>
          <w:p w14:paraId="583FA8B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油气集输</w:t>
            </w:r>
          </w:p>
        </w:tc>
        <w:tc>
          <w:tcPr>
            <w:tcW w:w="1811" w:type="dxa"/>
            <w:tcBorders>
              <w:tl2br w:val="nil"/>
              <w:tr2bl w:val="nil"/>
            </w:tcBorders>
            <w:vAlign w:val="center"/>
          </w:tcPr>
          <w:p w14:paraId="5C4A479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大气沉降</w:t>
            </w:r>
          </w:p>
        </w:tc>
        <w:tc>
          <w:tcPr>
            <w:tcW w:w="1906" w:type="dxa"/>
            <w:tcBorders>
              <w:tl2br w:val="nil"/>
              <w:tr2bl w:val="nil"/>
            </w:tcBorders>
            <w:vAlign w:val="center"/>
          </w:tcPr>
          <w:p w14:paraId="19F35B1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486" w:type="dxa"/>
            <w:tcBorders>
              <w:tl2br w:val="nil"/>
              <w:tr2bl w:val="nil"/>
            </w:tcBorders>
            <w:vAlign w:val="center"/>
          </w:tcPr>
          <w:p w14:paraId="0C9A215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486" w:type="dxa"/>
            <w:tcBorders>
              <w:tl2br w:val="nil"/>
              <w:tr2bl w:val="nil"/>
            </w:tcBorders>
            <w:vAlign w:val="center"/>
          </w:tcPr>
          <w:p w14:paraId="59460EF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65B05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981" w:type="dxa"/>
            <w:vMerge w:val="continue"/>
            <w:tcBorders>
              <w:tl2br w:val="nil"/>
              <w:tr2bl w:val="nil"/>
            </w:tcBorders>
            <w:vAlign w:val="center"/>
          </w:tcPr>
          <w:p w14:paraId="57A8050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614" w:type="dxa"/>
            <w:vMerge w:val="continue"/>
            <w:tcBorders>
              <w:tl2br w:val="nil"/>
              <w:tr2bl w:val="nil"/>
            </w:tcBorders>
            <w:vAlign w:val="center"/>
          </w:tcPr>
          <w:p w14:paraId="2C8496D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811" w:type="dxa"/>
            <w:tcBorders>
              <w:tl2br w:val="nil"/>
              <w:tr2bl w:val="nil"/>
            </w:tcBorders>
            <w:vAlign w:val="center"/>
          </w:tcPr>
          <w:p w14:paraId="7FBF16C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地面漫流</w:t>
            </w:r>
          </w:p>
        </w:tc>
        <w:tc>
          <w:tcPr>
            <w:tcW w:w="1906" w:type="dxa"/>
            <w:tcBorders>
              <w:tl2br w:val="nil"/>
              <w:tr2bl w:val="nil"/>
            </w:tcBorders>
            <w:vAlign w:val="center"/>
          </w:tcPr>
          <w:p w14:paraId="22422AE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486" w:type="dxa"/>
            <w:tcBorders>
              <w:tl2br w:val="nil"/>
              <w:tr2bl w:val="nil"/>
            </w:tcBorders>
            <w:vAlign w:val="center"/>
          </w:tcPr>
          <w:p w14:paraId="07B8E31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486" w:type="dxa"/>
            <w:tcBorders>
              <w:tl2br w:val="nil"/>
              <w:tr2bl w:val="nil"/>
            </w:tcBorders>
            <w:vAlign w:val="center"/>
          </w:tcPr>
          <w:p w14:paraId="59189AA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1568C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981" w:type="dxa"/>
            <w:vMerge w:val="continue"/>
            <w:tcBorders>
              <w:tl2br w:val="nil"/>
              <w:tr2bl w:val="nil"/>
            </w:tcBorders>
            <w:vAlign w:val="center"/>
          </w:tcPr>
          <w:p w14:paraId="385CE7F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614" w:type="dxa"/>
            <w:vMerge w:val="continue"/>
            <w:tcBorders>
              <w:tl2br w:val="nil"/>
              <w:tr2bl w:val="nil"/>
            </w:tcBorders>
            <w:vAlign w:val="center"/>
          </w:tcPr>
          <w:p w14:paraId="5A062C4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811" w:type="dxa"/>
            <w:tcBorders>
              <w:tl2br w:val="nil"/>
              <w:tr2bl w:val="nil"/>
            </w:tcBorders>
            <w:vAlign w:val="center"/>
          </w:tcPr>
          <w:p w14:paraId="45FC61A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垂直入渗</w:t>
            </w:r>
          </w:p>
        </w:tc>
        <w:tc>
          <w:tcPr>
            <w:tcW w:w="1906" w:type="dxa"/>
            <w:tcBorders>
              <w:tl2br w:val="nil"/>
              <w:tr2bl w:val="nil"/>
            </w:tcBorders>
            <w:vAlign w:val="center"/>
          </w:tcPr>
          <w:p w14:paraId="727419D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石油烃</w:t>
            </w:r>
          </w:p>
        </w:tc>
        <w:tc>
          <w:tcPr>
            <w:tcW w:w="1486" w:type="dxa"/>
            <w:tcBorders>
              <w:tl2br w:val="nil"/>
              <w:tr2bl w:val="nil"/>
            </w:tcBorders>
            <w:vAlign w:val="center"/>
          </w:tcPr>
          <w:p w14:paraId="07BA1C3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石油烃</w:t>
            </w:r>
          </w:p>
        </w:tc>
        <w:tc>
          <w:tcPr>
            <w:tcW w:w="1486" w:type="dxa"/>
            <w:tcBorders>
              <w:tl2br w:val="nil"/>
              <w:tr2bl w:val="nil"/>
            </w:tcBorders>
            <w:vAlign w:val="center"/>
          </w:tcPr>
          <w:p w14:paraId="16641A9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事故</w:t>
            </w:r>
          </w:p>
        </w:tc>
      </w:tr>
    </w:tbl>
    <w:p w14:paraId="29EA2E3C">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）占地规模</w:t>
      </w:r>
    </w:p>
    <w:p w14:paraId="7B33474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spacing w:val="-27"/>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根据《环境影响评价技术导则土壤环境（试行）》（</w:t>
      </w:r>
      <w:r>
        <w:rPr>
          <w:rFonts w:hint="default" w:ascii="Times New Roman" w:hAnsi="Times New Roman" w:eastAsia="Times New Roman" w:cs="Times New Roman"/>
          <w:snapToGrid/>
          <w:color w:val="000000" w:themeColor="text1"/>
          <w:spacing w:val="-1"/>
          <w:kern w:val="2"/>
          <w:sz w:val="24"/>
          <w:szCs w:val="24"/>
          <w:highlight w:val="none"/>
          <w:lang w:val="en-US" w:eastAsia="zh-CN" w:bidi="ar-SA"/>
          <w14:textFill>
            <w14:solidFill>
              <w14:schemeClr w14:val="tx1"/>
            </w14:solidFill>
          </w14:textFill>
        </w:rPr>
        <w:t>H</w:t>
      </w:r>
      <w:r>
        <w:rPr>
          <w:rFonts w:hint="default" w:ascii="Times New Roman" w:hAnsi="Times New Roman" w:eastAsia="Times New Roman" w:cs="Times New Roman"/>
          <w:snapToGrid/>
          <w:color w:val="000000" w:themeColor="text1"/>
          <w:kern w:val="2"/>
          <w:sz w:val="24"/>
          <w:szCs w:val="24"/>
          <w:highlight w:val="none"/>
          <w:lang w:val="en-US" w:eastAsia="zh-CN" w:bidi="ar-SA"/>
          <w14:textFill>
            <w14:solidFill>
              <w14:schemeClr w14:val="tx1"/>
            </w14:solidFill>
          </w14:textFill>
        </w:rPr>
        <w:t>J964</w:t>
      </w:r>
      <w:r>
        <w:rPr>
          <w:rFonts w:hint="default" w:ascii="Times New Roman" w:hAnsi="Times New Roman" w:eastAsia="Times New Roman" w:cs="Times New Roman"/>
          <w:snapToGrid/>
          <w:color w:val="000000" w:themeColor="text1"/>
          <w:spacing w:val="-1"/>
          <w:kern w:val="2"/>
          <w:sz w:val="24"/>
          <w:szCs w:val="24"/>
          <w:highlight w:val="none"/>
          <w:lang w:val="en-US" w:eastAsia="zh-CN" w:bidi="ar-SA"/>
          <w14:textFill>
            <w14:solidFill>
              <w14:schemeClr w14:val="tx1"/>
            </w14:solidFill>
          </w14:textFill>
        </w:rPr>
        <w:t>-</w:t>
      </w:r>
      <w:r>
        <w:rPr>
          <w:rFonts w:hint="default" w:ascii="Times New Roman" w:hAnsi="Times New Roman" w:eastAsia="Times New Roman" w:cs="Times New Roman"/>
          <w:snapToGrid/>
          <w:color w:val="000000" w:themeColor="text1"/>
          <w:kern w:val="2"/>
          <w:sz w:val="24"/>
          <w:szCs w:val="24"/>
          <w:highlight w:val="none"/>
          <w:lang w:val="en-US" w:eastAsia="zh-CN" w:bidi="ar-SA"/>
          <w14:textFill>
            <w14:solidFill>
              <w14:schemeClr w14:val="tx1"/>
            </w14:solidFill>
          </w14:textFill>
        </w:rPr>
        <w:t>2018</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将建设</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项</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目占</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地</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规模分</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为</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大型</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w:t>
      </w:r>
      <w:r>
        <w:rPr>
          <w:rFonts w:hint="default" w:ascii="Times New Roman" w:hAnsi="Times New Roman" w:eastAsia="Times New Roman" w:cs="Times New Roman"/>
          <w:snapToGrid/>
          <w:color w:val="000000" w:themeColor="text1"/>
          <w:kern w:val="2"/>
          <w:sz w:val="24"/>
          <w:szCs w:val="24"/>
          <w:highlight w:val="none"/>
          <w:lang w:val="en-US" w:eastAsia="zh-CN" w:bidi="ar-SA"/>
          <w14:textFill>
            <w14:solidFill>
              <w14:schemeClr w14:val="tx1"/>
            </w14:solidFill>
          </w14:textFill>
        </w:rPr>
        <w:t>≥50hm</w:t>
      </w:r>
      <w:r>
        <w:rPr>
          <w:rFonts w:hint="default" w:ascii="Times New Roman" w:hAnsi="Times New Roman" w:eastAsia="Times New Roman" w:cs="Times New Roman"/>
          <w:snapToGrid/>
          <w:color w:val="000000" w:themeColor="text1"/>
          <w:spacing w:val="-2"/>
          <w:kern w:val="2"/>
          <w:position w:val="8"/>
          <w:sz w:val="15"/>
          <w:szCs w:val="15"/>
          <w:highlight w:val="none"/>
          <w:lang w:val="en-US" w:eastAsia="zh-CN" w:bidi="ar-SA"/>
          <w14:textFill>
            <w14:solidFill>
              <w14:schemeClr w14:val="tx1"/>
            </w14:solidFill>
          </w14:textFill>
        </w:rPr>
        <w:t>2</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中型</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w:t>
      </w:r>
      <w:r>
        <w:rPr>
          <w:rFonts w:hint="default" w:ascii="Times New Roman" w:hAnsi="Times New Roman" w:eastAsia="Times New Roman" w:cs="Times New Roman"/>
          <w:snapToGrid/>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color w:val="000000" w:themeColor="text1"/>
          <w:spacing w:val="-1"/>
          <w:kern w:val="2"/>
          <w:sz w:val="24"/>
          <w:szCs w:val="24"/>
          <w:highlight w:val="none"/>
          <w:lang w:val="en-US" w:eastAsia="zh-CN" w:bidi="ar-SA"/>
          <w14:textFill>
            <w14:solidFill>
              <w14:schemeClr w14:val="tx1"/>
            </w14:solidFill>
          </w14:textFill>
        </w:rPr>
        <w:t>-</w:t>
      </w:r>
      <w:r>
        <w:rPr>
          <w:rFonts w:hint="default" w:ascii="Times New Roman" w:hAnsi="Times New Roman" w:eastAsia="Times New Roman" w:cs="Times New Roman"/>
          <w:snapToGrid/>
          <w:color w:val="000000" w:themeColor="text1"/>
          <w:kern w:val="2"/>
          <w:sz w:val="24"/>
          <w:szCs w:val="24"/>
          <w:highlight w:val="none"/>
          <w:lang w:val="en-US" w:eastAsia="zh-CN" w:bidi="ar-SA"/>
          <w14:textFill>
            <w14:solidFill>
              <w14:schemeClr w14:val="tx1"/>
            </w14:solidFill>
          </w14:textFill>
        </w:rPr>
        <w:t>50hm</w:t>
      </w:r>
      <w:r>
        <w:rPr>
          <w:rFonts w:hint="default" w:ascii="Times New Roman" w:hAnsi="Times New Roman" w:eastAsia="Times New Roman" w:cs="Times New Roman"/>
          <w:snapToGrid/>
          <w:color w:val="000000" w:themeColor="text1"/>
          <w:spacing w:val="-2"/>
          <w:kern w:val="2"/>
          <w:position w:val="8"/>
          <w:sz w:val="15"/>
          <w:szCs w:val="15"/>
          <w:highlight w:val="none"/>
          <w:lang w:val="en-US" w:eastAsia="zh-CN" w:bidi="ar-SA"/>
          <w14:textFill>
            <w14:solidFill>
              <w14:schemeClr w14:val="tx1"/>
            </w14:solidFill>
          </w14:textFill>
        </w:rPr>
        <w:t>2</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spacing w:val="2"/>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小型（</w:t>
      </w:r>
      <w:r>
        <w:rPr>
          <w:rFonts w:hint="default" w:ascii="Times New Roman" w:hAnsi="Times New Roman" w:eastAsia="Times New Roman" w:cs="Times New Roman"/>
          <w:snapToGrid/>
          <w:color w:val="000000" w:themeColor="text1"/>
          <w:spacing w:val="-2"/>
          <w:kern w:val="2"/>
          <w:sz w:val="24"/>
          <w:szCs w:val="24"/>
          <w:highlight w:val="none"/>
          <w:lang w:val="en-US" w:eastAsia="zh-CN" w:bidi="ar-SA"/>
          <w14:textFill>
            <w14:solidFill>
              <w14:schemeClr w14:val="tx1"/>
            </w14:solidFill>
          </w14:textFill>
        </w:rPr>
        <w:t>≤</w:t>
      </w:r>
      <w:r>
        <w:rPr>
          <w:rFonts w:hint="default" w:ascii="Times New Roman" w:hAnsi="Times New Roman" w:eastAsia="Times New Roman" w:cs="Times New Roman"/>
          <w:snapToGrid/>
          <w:color w:val="000000" w:themeColor="text1"/>
          <w:kern w:val="2"/>
          <w:sz w:val="24"/>
          <w:szCs w:val="24"/>
          <w:highlight w:val="none"/>
          <w:lang w:val="en-US" w:eastAsia="zh-CN" w:bidi="ar-SA"/>
          <w14:textFill>
            <w14:solidFill>
              <w14:schemeClr w14:val="tx1"/>
            </w14:solidFill>
          </w14:textFill>
        </w:rPr>
        <w:t>5hm</w:t>
      </w:r>
      <w:r>
        <w:rPr>
          <w:rFonts w:hint="default" w:ascii="Times New Roman" w:hAnsi="Times New Roman" w:eastAsia="Times New Roman" w:cs="Times New Roman"/>
          <w:snapToGrid/>
          <w:color w:val="000000" w:themeColor="text1"/>
          <w:kern w:val="2"/>
          <w:position w:val="8"/>
          <w:sz w:val="15"/>
          <w:szCs w:val="15"/>
          <w:highlight w:val="none"/>
          <w:lang w:val="en-US" w:eastAsia="zh-CN" w:bidi="ar-SA"/>
          <w14:textFill>
            <w14:solidFill>
              <w14:schemeClr w14:val="tx1"/>
            </w14:solidFill>
          </w14:textFill>
        </w:rPr>
        <w:t>2</w:t>
      </w:r>
      <w:r>
        <w:rPr>
          <w:rFonts w:hint="default" w:ascii="Times New Roman" w:hAnsi="Times New Roman" w:cs="Times New Roman" w:eastAsiaTheme="minorEastAsia"/>
          <w:snapToGrid/>
          <w:color w:val="000000" w:themeColor="text1"/>
          <w:spacing w:val="-29"/>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snapToGrid/>
          <w:color w:val="000000" w:themeColor="text1"/>
          <w:spacing w:val="-27"/>
          <w:kern w:val="2"/>
          <w:sz w:val="24"/>
          <w:szCs w:val="24"/>
          <w:highlight w:val="none"/>
          <w:lang w:val="en-US" w:eastAsia="zh-CN" w:bidi="ar-SA"/>
          <w14:textFill>
            <w14:solidFill>
              <w14:schemeClr w14:val="tx1"/>
            </w14:solidFill>
          </w14:textFill>
        </w:rPr>
        <w:t>。</w:t>
      </w:r>
    </w:p>
    <w:p w14:paraId="0D719A6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本项目管道施工新增临时占地，占地类型为小型。</w:t>
      </w:r>
    </w:p>
    <w:p w14:paraId="2F3868B4">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（4）环境敏感程度划分</w:t>
      </w:r>
    </w:p>
    <w:p w14:paraId="5EED5E9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建设项目所在地土壤环境敏感程度判别依据见</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表2.6-</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附近为耕地、草地</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及林地</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，所以本项目所在地土壤环境敏感程度为敏感。</w:t>
      </w:r>
    </w:p>
    <w:p w14:paraId="2472CE0B">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表2.6-</w:t>
      </w:r>
      <w:r>
        <w:rPr>
          <w:rFonts w:hint="eastAsia" w:ascii="Times New Roman" w:hAnsi="Times New Roman" w:eastAsia="宋体" w:cs="Times New Roman"/>
          <w:b/>
          <w:color w:val="000000" w:themeColor="text1"/>
          <w:kern w:val="0"/>
          <w:sz w:val="24"/>
          <w:szCs w:val="24"/>
          <w:highlight w:val="none"/>
          <w:lang w:val="en-US" w:eastAsia="zh-CN" w:bidi="ar-SA"/>
          <w14:textFill>
            <w14:solidFill>
              <w14:schemeClr w14:val="tx1"/>
            </w14:solidFill>
          </w14:textFill>
        </w:rPr>
        <w:t xml:space="preserve">10  </w:t>
      </w:r>
      <w:r>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t>污染影响型环境敏感程度分级表</w:t>
      </w:r>
    </w:p>
    <w:tbl>
      <w:tblPr>
        <w:tblStyle w:val="18"/>
        <w:tblW w:w="928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70"/>
        <w:gridCol w:w="8116"/>
      </w:tblGrid>
      <w:tr w14:paraId="0A8D5F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1170" w:type="dxa"/>
            <w:tcBorders>
              <w:top w:val="single" w:color="000000" w:sz="12" w:space="0"/>
              <w:left w:val="single" w:color="000000" w:sz="12" w:space="0"/>
              <w:bottom w:val="single" w:color="000000" w:sz="6" w:space="0"/>
              <w:right w:val="single" w:color="000000" w:sz="6" w:space="0"/>
            </w:tcBorders>
            <w:vAlign w:val="center"/>
          </w:tcPr>
          <w:p w14:paraId="3CFF6BD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敏感程度</w:t>
            </w:r>
          </w:p>
        </w:tc>
        <w:tc>
          <w:tcPr>
            <w:tcW w:w="8116" w:type="dxa"/>
            <w:tcBorders>
              <w:top w:val="single" w:color="000000" w:sz="12" w:space="0"/>
              <w:left w:val="single" w:color="000000" w:sz="6" w:space="0"/>
              <w:bottom w:val="single" w:color="000000" w:sz="6" w:space="0"/>
              <w:right w:val="single" w:color="000000" w:sz="12" w:space="0"/>
            </w:tcBorders>
            <w:vAlign w:val="center"/>
          </w:tcPr>
          <w:p w14:paraId="66E8C6F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判别依据</w:t>
            </w:r>
          </w:p>
        </w:tc>
      </w:tr>
      <w:tr w14:paraId="2D74AA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1170" w:type="dxa"/>
            <w:tcBorders>
              <w:top w:val="single" w:color="000000" w:sz="6" w:space="0"/>
              <w:left w:val="single" w:color="000000" w:sz="12" w:space="0"/>
              <w:bottom w:val="single" w:color="000000" w:sz="6" w:space="0"/>
              <w:right w:val="single" w:color="000000" w:sz="6" w:space="0"/>
            </w:tcBorders>
            <w:vAlign w:val="center"/>
          </w:tcPr>
          <w:p w14:paraId="3326957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敏感</w:t>
            </w:r>
          </w:p>
        </w:tc>
        <w:tc>
          <w:tcPr>
            <w:tcW w:w="8116" w:type="dxa"/>
            <w:tcBorders>
              <w:top w:val="single" w:color="000000" w:sz="6" w:space="0"/>
              <w:left w:val="single" w:color="000000" w:sz="6" w:space="0"/>
              <w:bottom w:val="single" w:color="000000" w:sz="6" w:space="0"/>
              <w:right w:val="single" w:color="000000" w:sz="12" w:space="0"/>
            </w:tcBorders>
            <w:vAlign w:val="center"/>
          </w:tcPr>
          <w:p w14:paraId="6B201EA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建设项目周边存在耕地、园地、牧草地、饮用水水源地或居民区、学校、医院、疗养院、养老院等土壤环境敏感目标的</w:t>
            </w:r>
          </w:p>
        </w:tc>
      </w:tr>
      <w:tr w14:paraId="44112E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1170" w:type="dxa"/>
            <w:tcBorders>
              <w:top w:val="single" w:color="000000" w:sz="6" w:space="0"/>
              <w:left w:val="single" w:color="000000" w:sz="12" w:space="0"/>
              <w:bottom w:val="single" w:color="000000" w:sz="6" w:space="0"/>
              <w:right w:val="single" w:color="000000" w:sz="6" w:space="0"/>
            </w:tcBorders>
            <w:vAlign w:val="center"/>
          </w:tcPr>
          <w:p w14:paraId="249163A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较敏感</w:t>
            </w:r>
          </w:p>
        </w:tc>
        <w:tc>
          <w:tcPr>
            <w:tcW w:w="8116" w:type="dxa"/>
            <w:tcBorders>
              <w:top w:val="single" w:color="000000" w:sz="6" w:space="0"/>
              <w:left w:val="single" w:color="000000" w:sz="6" w:space="0"/>
              <w:bottom w:val="single" w:color="000000" w:sz="6" w:space="0"/>
              <w:right w:val="single" w:color="000000" w:sz="12" w:space="0"/>
            </w:tcBorders>
            <w:vAlign w:val="center"/>
          </w:tcPr>
          <w:p w14:paraId="0F433C7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建设项目周边存在其他土壤环境敏感目标的其他情况</w:t>
            </w:r>
          </w:p>
        </w:tc>
      </w:tr>
      <w:tr w14:paraId="7075BD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 w:hRule="atLeast"/>
          <w:jc w:val="center"/>
        </w:trPr>
        <w:tc>
          <w:tcPr>
            <w:tcW w:w="1170" w:type="dxa"/>
            <w:tcBorders>
              <w:top w:val="single" w:color="000000" w:sz="6" w:space="0"/>
              <w:left w:val="single" w:color="000000" w:sz="12" w:space="0"/>
              <w:bottom w:val="single" w:color="000000" w:sz="12" w:space="0"/>
              <w:right w:val="single" w:color="000000" w:sz="6" w:space="0"/>
            </w:tcBorders>
            <w:vAlign w:val="center"/>
          </w:tcPr>
          <w:p w14:paraId="12713BA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不敏感</w:t>
            </w:r>
          </w:p>
        </w:tc>
        <w:tc>
          <w:tcPr>
            <w:tcW w:w="8116" w:type="dxa"/>
            <w:tcBorders>
              <w:top w:val="single" w:color="000000" w:sz="6" w:space="0"/>
              <w:left w:val="single" w:color="000000" w:sz="6" w:space="0"/>
              <w:bottom w:val="single" w:color="000000" w:sz="12" w:space="0"/>
              <w:right w:val="single" w:color="000000" w:sz="12" w:space="0"/>
            </w:tcBorders>
            <w:vAlign w:val="center"/>
          </w:tcPr>
          <w:p w14:paraId="0CB591C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其他情况</w:t>
            </w:r>
          </w:p>
        </w:tc>
      </w:tr>
    </w:tbl>
    <w:p w14:paraId="7884C5C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（5）评价等级的确定</w:t>
      </w:r>
    </w:p>
    <w:p w14:paraId="5030C4F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根据《环境影响评价技术导则土壤环境（试行）》（HJ964-2018）中关于评价等级的规定，本项目污染影响型评价等级划分见</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表2.6-11</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3ECCEFA4">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表2.6-</w:t>
      </w:r>
      <w:r>
        <w:rPr>
          <w:rFonts w:hint="eastAsia" w:ascii="Times New Roman" w:hAnsi="Times New Roman" w:eastAsia="宋体" w:cs="Times New Roman"/>
          <w:b/>
          <w:color w:val="000000" w:themeColor="text1"/>
          <w:sz w:val="24"/>
          <w:szCs w:val="24"/>
          <w:highlight w:val="none"/>
          <w:lang w:val="en-US" w:eastAsia="zh-CN" w:bidi="ar-SA"/>
          <w14:textFill>
            <w14:solidFill>
              <w14:schemeClr w14:val="tx1"/>
            </w14:solidFill>
          </w14:textFill>
        </w:rPr>
        <w:t xml:space="preserve">11  </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污染影响型评价工作等级划分表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896"/>
        <w:gridCol w:w="897"/>
        <w:gridCol w:w="901"/>
        <w:gridCol w:w="897"/>
        <w:gridCol w:w="897"/>
        <w:gridCol w:w="901"/>
        <w:gridCol w:w="897"/>
        <w:gridCol w:w="897"/>
        <w:gridCol w:w="906"/>
      </w:tblGrid>
      <w:tr w14:paraId="4CB31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4" w:type="pct"/>
            <w:vMerge w:val="restart"/>
            <w:vAlign w:val="center"/>
          </w:tcPr>
          <w:p w14:paraId="11AC4382">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51" w:type="pct"/>
            <w:gridSpan w:val="3"/>
            <w:vAlign w:val="center"/>
          </w:tcPr>
          <w:p w14:paraId="1C980A18">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Ⅰ类</w:t>
            </w:r>
          </w:p>
        </w:tc>
        <w:tc>
          <w:tcPr>
            <w:tcW w:w="1451" w:type="pct"/>
            <w:gridSpan w:val="3"/>
            <w:vAlign w:val="center"/>
          </w:tcPr>
          <w:p w14:paraId="42324184">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Ⅱ类</w:t>
            </w:r>
          </w:p>
        </w:tc>
        <w:tc>
          <w:tcPr>
            <w:tcW w:w="1451" w:type="pct"/>
            <w:gridSpan w:val="3"/>
            <w:vAlign w:val="center"/>
          </w:tcPr>
          <w:p w14:paraId="3C4A2086">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Ⅲ类</w:t>
            </w:r>
          </w:p>
        </w:tc>
      </w:tr>
      <w:tr w14:paraId="4385B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14:paraId="2F4AA160">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3" w:type="pct"/>
            <w:vAlign w:val="center"/>
          </w:tcPr>
          <w:p w14:paraId="4BEEAC3A">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大</w:t>
            </w:r>
          </w:p>
        </w:tc>
        <w:tc>
          <w:tcPr>
            <w:tcW w:w="483" w:type="pct"/>
            <w:vAlign w:val="center"/>
          </w:tcPr>
          <w:p w14:paraId="2FD818E0">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中</w:t>
            </w:r>
          </w:p>
        </w:tc>
        <w:tc>
          <w:tcPr>
            <w:tcW w:w="484" w:type="pct"/>
            <w:vAlign w:val="center"/>
          </w:tcPr>
          <w:p w14:paraId="61CF4387">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小</w:t>
            </w:r>
          </w:p>
        </w:tc>
        <w:tc>
          <w:tcPr>
            <w:tcW w:w="483" w:type="pct"/>
            <w:vAlign w:val="center"/>
          </w:tcPr>
          <w:p w14:paraId="31D211F6">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大</w:t>
            </w:r>
          </w:p>
        </w:tc>
        <w:tc>
          <w:tcPr>
            <w:tcW w:w="483" w:type="pct"/>
            <w:vAlign w:val="center"/>
          </w:tcPr>
          <w:p w14:paraId="26039465">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中</w:t>
            </w:r>
          </w:p>
        </w:tc>
        <w:tc>
          <w:tcPr>
            <w:tcW w:w="484" w:type="pct"/>
            <w:vAlign w:val="center"/>
          </w:tcPr>
          <w:p w14:paraId="2D745E0B">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小</w:t>
            </w:r>
          </w:p>
        </w:tc>
        <w:tc>
          <w:tcPr>
            <w:tcW w:w="483" w:type="pct"/>
            <w:vAlign w:val="center"/>
          </w:tcPr>
          <w:p w14:paraId="04B177D2">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大</w:t>
            </w:r>
          </w:p>
        </w:tc>
        <w:tc>
          <w:tcPr>
            <w:tcW w:w="483" w:type="pct"/>
            <w:vAlign w:val="center"/>
          </w:tcPr>
          <w:p w14:paraId="4B858BC7">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中</w:t>
            </w:r>
          </w:p>
        </w:tc>
        <w:tc>
          <w:tcPr>
            <w:tcW w:w="484" w:type="pct"/>
            <w:vAlign w:val="center"/>
          </w:tcPr>
          <w:p w14:paraId="3003A2E0">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小</w:t>
            </w:r>
          </w:p>
        </w:tc>
      </w:tr>
      <w:tr w14:paraId="4BAA8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14:paraId="5B0C6C6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敏感</w:t>
            </w:r>
          </w:p>
        </w:tc>
        <w:tc>
          <w:tcPr>
            <w:tcW w:w="483" w:type="pct"/>
            <w:vAlign w:val="center"/>
          </w:tcPr>
          <w:p w14:paraId="2BBD8F59">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483" w:type="pct"/>
            <w:vAlign w:val="center"/>
          </w:tcPr>
          <w:p w14:paraId="05F7C231">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484" w:type="pct"/>
            <w:vAlign w:val="center"/>
          </w:tcPr>
          <w:p w14:paraId="7B7F423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483" w:type="pct"/>
            <w:vAlign w:val="center"/>
          </w:tcPr>
          <w:p w14:paraId="23DBBB4D">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3" w:type="pct"/>
            <w:vAlign w:val="center"/>
          </w:tcPr>
          <w:p w14:paraId="108AD20E">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4" w:type="pct"/>
            <w:vAlign w:val="center"/>
          </w:tcPr>
          <w:p w14:paraId="1A9E7DA9">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3" w:type="pct"/>
            <w:vAlign w:val="center"/>
          </w:tcPr>
          <w:p w14:paraId="3AD5F97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3" w:type="pct"/>
            <w:vAlign w:val="center"/>
          </w:tcPr>
          <w:p w14:paraId="3E720A61">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4" w:type="pct"/>
            <w:vAlign w:val="center"/>
          </w:tcPr>
          <w:p w14:paraId="3C9A2F66">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r>
      <w:tr w14:paraId="67DBC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14:paraId="5C30A3D6">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较敏感</w:t>
            </w:r>
          </w:p>
        </w:tc>
        <w:tc>
          <w:tcPr>
            <w:tcW w:w="483" w:type="pct"/>
            <w:vAlign w:val="center"/>
          </w:tcPr>
          <w:p w14:paraId="4BDDA87E">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483" w:type="pct"/>
            <w:vAlign w:val="center"/>
          </w:tcPr>
          <w:p w14:paraId="68721E8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484" w:type="pct"/>
            <w:vAlign w:val="center"/>
          </w:tcPr>
          <w:p w14:paraId="082BE01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3" w:type="pct"/>
            <w:vAlign w:val="center"/>
          </w:tcPr>
          <w:p w14:paraId="7020DE64">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3" w:type="pct"/>
            <w:vAlign w:val="center"/>
          </w:tcPr>
          <w:p w14:paraId="16F873C1">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4" w:type="pct"/>
            <w:vAlign w:val="center"/>
          </w:tcPr>
          <w:p w14:paraId="07831CBC">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3" w:type="pct"/>
            <w:vAlign w:val="center"/>
          </w:tcPr>
          <w:p w14:paraId="211AF4E4">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3" w:type="pct"/>
            <w:vAlign w:val="center"/>
          </w:tcPr>
          <w:p w14:paraId="1AFECFA7">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4" w:type="pct"/>
            <w:vAlign w:val="center"/>
          </w:tcPr>
          <w:p w14:paraId="2F21361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25762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14:paraId="20CB5A08">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不敏感</w:t>
            </w:r>
          </w:p>
        </w:tc>
        <w:tc>
          <w:tcPr>
            <w:tcW w:w="483" w:type="pct"/>
            <w:vAlign w:val="center"/>
          </w:tcPr>
          <w:p w14:paraId="03F4B3BD">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p>
        </w:tc>
        <w:tc>
          <w:tcPr>
            <w:tcW w:w="483" w:type="pct"/>
            <w:vAlign w:val="center"/>
          </w:tcPr>
          <w:p w14:paraId="1821293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4" w:type="pct"/>
            <w:vAlign w:val="center"/>
          </w:tcPr>
          <w:p w14:paraId="11662003">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3" w:type="pct"/>
            <w:vAlign w:val="center"/>
          </w:tcPr>
          <w:p w14:paraId="0B3A8A50">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p>
        </w:tc>
        <w:tc>
          <w:tcPr>
            <w:tcW w:w="483" w:type="pct"/>
            <w:vAlign w:val="center"/>
          </w:tcPr>
          <w:p w14:paraId="1DC396E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4" w:type="pct"/>
            <w:vAlign w:val="center"/>
          </w:tcPr>
          <w:p w14:paraId="6291CCBE">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3" w:type="pct"/>
            <w:vAlign w:val="center"/>
          </w:tcPr>
          <w:p w14:paraId="04B92DF5">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p>
        </w:tc>
        <w:tc>
          <w:tcPr>
            <w:tcW w:w="483" w:type="pct"/>
            <w:vAlign w:val="center"/>
          </w:tcPr>
          <w:p w14:paraId="6E950A4A">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84" w:type="pct"/>
            <w:vAlign w:val="center"/>
          </w:tcPr>
          <w:p w14:paraId="6543292D">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715C6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14:paraId="207DDA74">
            <w:pPr>
              <w:keepNext w:val="0"/>
              <w:keepLines w:val="0"/>
              <w:pageBreakBefore w:val="0"/>
              <w:widowControl w:val="0"/>
              <w:kinsoku/>
              <w:wordWrap/>
              <w:topLinePunct w:val="0"/>
              <w:bidi w:val="0"/>
              <w:spacing w:after="0"/>
              <w:jc w:val="both"/>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注：</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表示可不开展土壤环境影响评价工作</w:t>
            </w:r>
          </w:p>
        </w:tc>
      </w:tr>
    </w:tbl>
    <w:p w14:paraId="2BBE52B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集输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评价等级判定见表2.6-</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71971182">
      <w:pPr>
        <w:keepNext w:val="0"/>
        <w:keepLines w:val="0"/>
        <w:pageBreakBefore w:val="0"/>
        <w:widowControl w:val="0"/>
        <w:kinsoku/>
        <w:wordWrap/>
        <w:overflowPunct/>
        <w:topLinePunct w:val="0"/>
        <w:autoSpaceDE/>
        <w:autoSpaceDN/>
        <w:bidi w:val="0"/>
        <w:adjustRightInd/>
        <w:snapToGrid/>
        <w:spacing w:after="0" w:line="240" w:lineRule="auto"/>
        <w:ind w:firstLine="482" w:firstLineChars="200"/>
        <w:jc w:val="center"/>
        <w:textAlignment w:val="auto"/>
        <w:rPr>
          <w:rFonts w:hint="default"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t>表2</w:t>
      </w:r>
      <w:r>
        <w:rPr>
          <w:rFonts w:hint="eastAsia"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t>.6-12</w:t>
      </w:r>
      <w:r>
        <w:rPr>
          <w:rFonts w:hint="default"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t xml:space="preserve">  本项目各工程评价等级判定表</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6"/>
        <w:gridCol w:w="2336"/>
        <w:gridCol w:w="867"/>
        <w:gridCol w:w="1266"/>
        <w:gridCol w:w="1212"/>
        <w:gridCol w:w="1212"/>
        <w:gridCol w:w="1529"/>
      </w:tblGrid>
      <w:tr w14:paraId="76091C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738" w:type="pct"/>
            <w:gridSpan w:val="2"/>
            <w:tcBorders>
              <w:tl2br w:val="nil"/>
              <w:tr2bl w:val="nil"/>
            </w:tcBorders>
            <w:noWrap w:val="0"/>
            <w:vAlign w:val="center"/>
          </w:tcPr>
          <w:p w14:paraId="0FE2A56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本项目工程</w:t>
            </w:r>
          </w:p>
        </w:tc>
        <w:tc>
          <w:tcPr>
            <w:tcW w:w="481" w:type="pct"/>
            <w:tcBorders>
              <w:tl2br w:val="nil"/>
              <w:tr2bl w:val="nil"/>
            </w:tcBorders>
            <w:noWrap/>
            <w:vAlign w:val="center"/>
          </w:tcPr>
          <w:p w14:paraId="6979FDE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占地</w:t>
            </w:r>
          </w:p>
        </w:tc>
        <w:tc>
          <w:tcPr>
            <w:tcW w:w="652" w:type="pct"/>
            <w:tcBorders>
              <w:tl2br w:val="nil"/>
              <w:tr2bl w:val="nil"/>
            </w:tcBorders>
            <w:noWrap/>
            <w:vAlign w:val="center"/>
          </w:tcPr>
          <w:p w14:paraId="7871230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周边情况</w:t>
            </w:r>
          </w:p>
        </w:tc>
        <w:tc>
          <w:tcPr>
            <w:tcW w:w="652" w:type="pct"/>
            <w:tcBorders>
              <w:tl2br w:val="nil"/>
              <w:tr2bl w:val="nil"/>
            </w:tcBorders>
            <w:noWrap/>
            <w:vAlign w:val="center"/>
          </w:tcPr>
          <w:p w14:paraId="5D21D35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敏感程度</w:t>
            </w:r>
          </w:p>
        </w:tc>
        <w:tc>
          <w:tcPr>
            <w:tcW w:w="652" w:type="pct"/>
            <w:tcBorders>
              <w:tl2br w:val="nil"/>
              <w:tr2bl w:val="nil"/>
            </w:tcBorders>
            <w:noWrap/>
            <w:vAlign w:val="center"/>
          </w:tcPr>
          <w:p w14:paraId="1897631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项目类别</w:t>
            </w:r>
          </w:p>
        </w:tc>
        <w:tc>
          <w:tcPr>
            <w:tcW w:w="823" w:type="pct"/>
            <w:tcBorders>
              <w:tl2br w:val="nil"/>
              <w:tr2bl w:val="nil"/>
            </w:tcBorders>
            <w:noWrap/>
            <w:vAlign w:val="center"/>
          </w:tcPr>
          <w:p w14:paraId="25A6903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评价工作等级</w:t>
            </w:r>
          </w:p>
        </w:tc>
      </w:tr>
      <w:tr w14:paraId="49FDB5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81" w:type="pct"/>
            <w:vMerge w:val="restart"/>
            <w:tcBorders>
              <w:tl2br w:val="nil"/>
              <w:tr2bl w:val="nil"/>
            </w:tcBorders>
            <w:noWrap/>
            <w:vAlign w:val="center"/>
          </w:tcPr>
          <w:p w14:paraId="1927B19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管线</w:t>
            </w:r>
          </w:p>
        </w:tc>
        <w:tc>
          <w:tcPr>
            <w:tcW w:w="2336" w:type="dxa"/>
            <w:tcBorders>
              <w:tl2br w:val="nil"/>
              <w:tr2bl w:val="nil"/>
            </w:tcBorders>
            <w:noWrap/>
            <w:vAlign w:val="center"/>
          </w:tcPr>
          <w:p w14:paraId="5111ED49">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芳3转油站外输油管道</w:t>
            </w:r>
          </w:p>
        </w:tc>
        <w:tc>
          <w:tcPr>
            <w:tcW w:w="481" w:type="pct"/>
            <w:tcBorders>
              <w:tl2br w:val="nil"/>
              <w:tr2bl w:val="nil"/>
            </w:tcBorders>
            <w:noWrap/>
            <w:vAlign w:val="center"/>
          </w:tcPr>
          <w:p w14:paraId="3542428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小型</w:t>
            </w:r>
          </w:p>
        </w:tc>
        <w:tc>
          <w:tcPr>
            <w:tcW w:w="652" w:type="pct"/>
            <w:tcBorders>
              <w:tl2br w:val="nil"/>
              <w:tr2bl w:val="nil"/>
            </w:tcBorders>
            <w:noWrap/>
            <w:vAlign w:val="center"/>
          </w:tcPr>
          <w:p w14:paraId="43BF4D5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耕地</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、林地</w:t>
            </w:r>
          </w:p>
        </w:tc>
        <w:tc>
          <w:tcPr>
            <w:tcW w:w="652" w:type="pct"/>
            <w:tcBorders>
              <w:tl2br w:val="nil"/>
              <w:tr2bl w:val="nil"/>
            </w:tcBorders>
            <w:noWrap/>
            <w:vAlign w:val="center"/>
          </w:tcPr>
          <w:p w14:paraId="0E8461F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敏感</w:t>
            </w:r>
          </w:p>
        </w:tc>
        <w:tc>
          <w:tcPr>
            <w:tcW w:w="652" w:type="pct"/>
            <w:tcBorders>
              <w:tl2br w:val="nil"/>
              <w:tr2bl w:val="nil"/>
            </w:tcBorders>
            <w:noWrap/>
            <w:vAlign w:val="center"/>
          </w:tcPr>
          <w:p w14:paraId="0155960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II</w:t>
            </w:r>
          </w:p>
        </w:tc>
        <w:tc>
          <w:tcPr>
            <w:tcW w:w="823" w:type="pct"/>
            <w:tcBorders>
              <w:tl2br w:val="nil"/>
              <w:tr2bl w:val="nil"/>
            </w:tcBorders>
            <w:noWrap/>
            <w:vAlign w:val="center"/>
          </w:tcPr>
          <w:p w14:paraId="626484A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二级</w:t>
            </w:r>
          </w:p>
        </w:tc>
      </w:tr>
      <w:tr w14:paraId="368F0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81" w:type="pct"/>
            <w:vMerge w:val="continue"/>
            <w:tcBorders>
              <w:tl2br w:val="nil"/>
              <w:tr2bl w:val="nil"/>
            </w:tcBorders>
            <w:noWrap/>
            <w:vAlign w:val="center"/>
          </w:tcPr>
          <w:p w14:paraId="572AC43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tc>
        <w:tc>
          <w:tcPr>
            <w:tcW w:w="2336" w:type="dxa"/>
            <w:tcBorders>
              <w:tl2br w:val="nil"/>
              <w:tr2bl w:val="nil"/>
            </w:tcBorders>
            <w:noWrap/>
            <w:vAlign w:val="center"/>
          </w:tcPr>
          <w:p w14:paraId="2C6795FF">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407-6集油阀组间</w:t>
            </w:r>
          </w:p>
          <w:p w14:paraId="2F6F979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5环集油管道</w:t>
            </w:r>
          </w:p>
        </w:tc>
        <w:tc>
          <w:tcPr>
            <w:tcW w:w="481" w:type="pct"/>
            <w:tcBorders>
              <w:tl2br w:val="nil"/>
              <w:tr2bl w:val="nil"/>
            </w:tcBorders>
            <w:noWrap/>
            <w:vAlign w:val="center"/>
          </w:tcPr>
          <w:p w14:paraId="47512F3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小型</w:t>
            </w:r>
          </w:p>
        </w:tc>
        <w:tc>
          <w:tcPr>
            <w:tcW w:w="652" w:type="pct"/>
            <w:tcBorders>
              <w:tl2br w:val="nil"/>
              <w:tr2bl w:val="nil"/>
            </w:tcBorders>
            <w:noWrap/>
            <w:vAlign w:val="center"/>
          </w:tcPr>
          <w:p w14:paraId="2E1DD12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草地</w:t>
            </w:r>
          </w:p>
        </w:tc>
        <w:tc>
          <w:tcPr>
            <w:tcW w:w="652" w:type="pct"/>
            <w:tcBorders>
              <w:tl2br w:val="nil"/>
              <w:tr2bl w:val="nil"/>
            </w:tcBorders>
            <w:noWrap/>
            <w:vAlign w:val="center"/>
          </w:tcPr>
          <w:p w14:paraId="40D86FB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敏感</w:t>
            </w:r>
          </w:p>
        </w:tc>
        <w:tc>
          <w:tcPr>
            <w:tcW w:w="652" w:type="pct"/>
            <w:tcBorders>
              <w:tl2br w:val="nil"/>
              <w:tr2bl w:val="nil"/>
            </w:tcBorders>
            <w:noWrap/>
            <w:vAlign w:val="center"/>
          </w:tcPr>
          <w:p w14:paraId="481462D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II</w:t>
            </w:r>
          </w:p>
        </w:tc>
        <w:tc>
          <w:tcPr>
            <w:tcW w:w="823" w:type="pct"/>
            <w:tcBorders>
              <w:tl2br w:val="nil"/>
              <w:tr2bl w:val="nil"/>
            </w:tcBorders>
            <w:noWrap/>
            <w:vAlign w:val="center"/>
          </w:tcPr>
          <w:p w14:paraId="5A7FC29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二级</w:t>
            </w:r>
          </w:p>
        </w:tc>
      </w:tr>
      <w:tr w14:paraId="098C6A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81" w:type="pct"/>
            <w:vMerge w:val="continue"/>
            <w:tcBorders>
              <w:tl2br w:val="nil"/>
              <w:tr2bl w:val="nil"/>
            </w:tcBorders>
            <w:noWrap/>
            <w:vAlign w:val="center"/>
          </w:tcPr>
          <w:p w14:paraId="4D11450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tc>
        <w:tc>
          <w:tcPr>
            <w:tcW w:w="2336" w:type="dxa"/>
            <w:tcBorders>
              <w:tl2br w:val="nil"/>
              <w:tr2bl w:val="nil"/>
            </w:tcBorders>
            <w:noWrap/>
            <w:vAlign w:val="center"/>
          </w:tcPr>
          <w:p w14:paraId="6B63766B">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1-6集油阀组间</w:t>
            </w:r>
          </w:p>
          <w:p w14:paraId="34641172">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1环集油管道</w:t>
            </w:r>
          </w:p>
        </w:tc>
        <w:tc>
          <w:tcPr>
            <w:tcW w:w="481" w:type="pct"/>
            <w:tcBorders>
              <w:tl2br w:val="nil"/>
              <w:tr2bl w:val="nil"/>
            </w:tcBorders>
            <w:noWrap/>
            <w:vAlign w:val="center"/>
          </w:tcPr>
          <w:p w14:paraId="65EC804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小型</w:t>
            </w:r>
          </w:p>
        </w:tc>
        <w:tc>
          <w:tcPr>
            <w:tcW w:w="652" w:type="pct"/>
            <w:tcBorders>
              <w:tl2br w:val="nil"/>
              <w:tr2bl w:val="nil"/>
            </w:tcBorders>
            <w:noWrap/>
            <w:vAlign w:val="center"/>
          </w:tcPr>
          <w:p w14:paraId="0BD542A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草地</w:t>
            </w:r>
          </w:p>
        </w:tc>
        <w:tc>
          <w:tcPr>
            <w:tcW w:w="652" w:type="pct"/>
            <w:tcBorders>
              <w:tl2br w:val="nil"/>
              <w:tr2bl w:val="nil"/>
            </w:tcBorders>
            <w:noWrap/>
            <w:vAlign w:val="center"/>
          </w:tcPr>
          <w:p w14:paraId="5EAF292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敏感</w:t>
            </w:r>
          </w:p>
        </w:tc>
        <w:tc>
          <w:tcPr>
            <w:tcW w:w="652" w:type="pct"/>
            <w:tcBorders>
              <w:tl2br w:val="nil"/>
              <w:tr2bl w:val="nil"/>
            </w:tcBorders>
            <w:noWrap/>
            <w:vAlign w:val="center"/>
          </w:tcPr>
          <w:p w14:paraId="1BCAB9C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II</w:t>
            </w:r>
          </w:p>
        </w:tc>
        <w:tc>
          <w:tcPr>
            <w:tcW w:w="823" w:type="pct"/>
            <w:tcBorders>
              <w:tl2br w:val="nil"/>
              <w:tr2bl w:val="nil"/>
            </w:tcBorders>
            <w:noWrap/>
            <w:vAlign w:val="center"/>
          </w:tcPr>
          <w:p w14:paraId="4D65C10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二级</w:t>
            </w:r>
          </w:p>
        </w:tc>
      </w:tr>
      <w:tr w14:paraId="203AE0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81" w:type="pct"/>
            <w:vMerge w:val="continue"/>
            <w:tcBorders>
              <w:tl2br w:val="nil"/>
              <w:tr2bl w:val="nil"/>
            </w:tcBorders>
            <w:noWrap/>
            <w:vAlign w:val="center"/>
          </w:tcPr>
          <w:p w14:paraId="36930FA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tc>
        <w:tc>
          <w:tcPr>
            <w:tcW w:w="2336" w:type="dxa"/>
            <w:tcBorders>
              <w:tl2br w:val="nil"/>
              <w:tr2bl w:val="nil"/>
            </w:tcBorders>
            <w:noWrap/>
            <w:vAlign w:val="center"/>
          </w:tcPr>
          <w:p w14:paraId="3BBD8EA8">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w:t>
            </w:r>
          </w:p>
          <w:p w14:paraId="382AB1E8">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1环集油管道</w:t>
            </w:r>
          </w:p>
        </w:tc>
        <w:tc>
          <w:tcPr>
            <w:tcW w:w="481" w:type="pct"/>
            <w:tcBorders>
              <w:tl2br w:val="nil"/>
              <w:tr2bl w:val="nil"/>
            </w:tcBorders>
            <w:noWrap/>
            <w:vAlign w:val="center"/>
          </w:tcPr>
          <w:p w14:paraId="53AB3EA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小型</w:t>
            </w:r>
          </w:p>
        </w:tc>
        <w:tc>
          <w:tcPr>
            <w:tcW w:w="652" w:type="pct"/>
            <w:tcBorders>
              <w:tl2br w:val="nil"/>
              <w:tr2bl w:val="nil"/>
            </w:tcBorders>
            <w:noWrap/>
            <w:vAlign w:val="center"/>
          </w:tcPr>
          <w:p w14:paraId="2CBB524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草地</w:t>
            </w:r>
          </w:p>
        </w:tc>
        <w:tc>
          <w:tcPr>
            <w:tcW w:w="652" w:type="pct"/>
            <w:tcBorders>
              <w:tl2br w:val="nil"/>
              <w:tr2bl w:val="nil"/>
            </w:tcBorders>
            <w:noWrap/>
            <w:vAlign w:val="center"/>
          </w:tcPr>
          <w:p w14:paraId="03B38C5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敏感</w:t>
            </w:r>
          </w:p>
        </w:tc>
        <w:tc>
          <w:tcPr>
            <w:tcW w:w="652" w:type="pct"/>
            <w:tcBorders>
              <w:tl2br w:val="nil"/>
              <w:tr2bl w:val="nil"/>
            </w:tcBorders>
            <w:noWrap/>
            <w:vAlign w:val="center"/>
          </w:tcPr>
          <w:p w14:paraId="540168E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II</w:t>
            </w:r>
          </w:p>
        </w:tc>
        <w:tc>
          <w:tcPr>
            <w:tcW w:w="823" w:type="pct"/>
            <w:tcBorders>
              <w:tl2br w:val="nil"/>
              <w:tr2bl w:val="nil"/>
            </w:tcBorders>
            <w:noWrap/>
            <w:vAlign w:val="center"/>
          </w:tcPr>
          <w:p w14:paraId="6E43658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二级</w:t>
            </w:r>
          </w:p>
        </w:tc>
      </w:tr>
      <w:tr w14:paraId="2E645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481" w:type="pct"/>
            <w:vMerge w:val="continue"/>
            <w:tcBorders>
              <w:tl2br w:val="nil"/>
              <w:tr2bl w:val="nil"/>
            </w:tcBorders>
            <w:noWrap/>
            <w:vAlign w:val="center"/>
          </w:tcPr>
          <w:p w14:paraId="20D9545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tc>
        <w:tc>
          <w:tcPr>
            <w:tcW w:w="2336" w:type="dxa"/>
            <w:tcBorders>
              <w:tl2br w:val="nil"/>
              <w:tr2bl w:val="nil"/>
            </w:tcBorders>
            <w:noWrap/>
            <w:vAlign w:val="center"/>
          </w:tcPr>
          <w:p w14:paraId="6E930F36">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w:t>
            </w:r>
          </w:p>
          <w:p w14:paraId="2E377B29">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6环集油管道</w:t>
            </w:r>
          </w:p>
        </w:tc>
        <w:tc>
          <w:tcPr>
            <w:tcW w:w="481" w:type="pct"/>
            <w:tcBorders>
              <w:tl2br w:val="nil"/>
              <w:tr2bl w:val="nil"/>
            </w:tcBorders>
            <w:noWrap/>
            <w:vAlign w:val="center"/>
          </w:tcPr>
          <w:p w14:paraId="746FAF1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小型</w:t>
            </w:r>
          </w:p>
        </w:tc>
        <w:tc>
          <w:tcPr>
            <w:tcW w:w="652" w:type="pct"/>
            <w:tcBorders>
              <w:tl2br w:val="nil"/>
              <w:tr2bl w:val="nil"/>
            </w:tcBorders>
            <w:noWrap/>
            <w:vAlign w:val="center"/>
          </w:tcPr>
          <w:p w14:paraId="18FF62B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耕地</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、草地</w:t>
            </w:r>
          </w:p>
        </w:tc>
        <w:tc>
          <w:tcPr>
            <w:tcW w:w="1212" w:type="dxa"/>
            <w:tcBorders>
              <w:tl2br w:val="nil"/>
              <w:tr2bl w:val="nil"/>
            </w:tcBorders>
            <w:noWrap/>
            <w:vAlign w:val="center"/>
          </w:tcPr>
          <w:p w14:paraId="769A240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敏感</w:t>
            </w:r>
          </w:p>
        </w:tc>
        <w:tc>
          <w:tcPr>
            <w:tcW w:w="1212" w:type="dxa"/>
            <w:tcBorders>
              <w:tl2br w:val="nil"/>
              <w:tr2bl w:val="nil"/>
            </w:tcBorders>
            <w:noWrap/>
            <w:vAlign w:val="center"/>
          </w:tcPr>
          <w:p w14:paraId="3D57A29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II</w:t>
            </w:r>
          </w:p>
        </w:tc>
        <w:tc>
          <w:tcPr>
            <w:tcW w:w="1529" w:type="dxa"/>
            <w:tcBorders>
              <w:tl2br w:val="nil"/>
              <w:tr2bl w:val="nil"/>
            </w:tcBorders>
            <w:noWrap/>
            <w:vAlign w:val="center"/>
          </w:tcPr>
          <w:p w14:paraId="62D61C8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二级</w:t>
            </w:r>
          </w:p>
        </w:tc>
      </w:tr>
    </w:tbl>
    <w:p w14:paraId="3BCFE7E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综上所述，</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本项目集输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管道为污染影响型，评价工作等级为二级。</w:t>
      </w:r>
    </w:p>
    <w:p w14:paraId="50907CE9">
      <w:pPr>
        <w:keepNext w:val="0"/>
        <w:keepLines w:val="0"/>
        <w:pageBreakBefore w:val="0"/>
        <w:widowControl w:val="0"/>
        <w:kinsoku/>
        <w:wordWrap/>
        <w:overflowPunct w:val="0"/>
        <w:topLinePunct w:val="0"/>
        <w:autoSpaceDE/>
        <w:autoSpaceDN/>
        <w:bidi w:val="0"/>
        <w:adjustRightInd/>
        <w:snapToGrid/>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生态环境</w:t>
      </w:r>
    </w:p>
    <w:p w14:paraId="6AAEE21F">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zh-TW"/>
          <w14:textFill>
            <w14:solidFill>
              <w14:schemeClr w14:val="tx1"/>
            </w14:solidFill>
          </w14:textFill>
        </w:rPr>
        <w:t>根据《环境影响评价技术导则</w:t>
      </w:r>
      <w:r>
        <w:rPr>
          <w:rFonts w:hint="eastAsia"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zh-TW"/>
          <w14:textFill>
            <w14:solidFill>
              <w14:schemeClr w14:val="tx1"/>
            </w14:solidFill>
          </w14:textFill>
        </w:rPr>
        <w:t>生态影响》（</w:t>
      </w:r>
      <w:r>
        <w:rPr>
          <w:rFonts w:hint="default" w:ascii="Times New Roman" w:hAnsi="Times New Roman" w:eastAsia="宋体" w:cs="Times New Roman"/>
          <w:color w:val="000000" w:themeColor="text1"/>
          <w:sz w:val="24"/>
          <w:szCs w:val="24"/>
          <w:highlight w:val="none"/>
          <w:lang w:bidi="en-US"/>
          <w14:textFill>
            <w14:solidFill>
              <w14:schemeClr w14:val="tx1"/>
            </w14:solidFill>
          </w14:textFill>
        </w:rPr>
        <w:t>HJ19-20</w:t>
      </w:r>
      <w:r>
        <w:rPr>
          <w:rFonts w:hint="default" w:ascii="Times New Roman" w:hAnsi="Times New Roman" w:cs="Times New Roman"/>
          <w:color w:val="000000" w:themeColor="text1"/>
          <w:sz w:val="24"/>
          <w:szCs w:val="24"/>
          <w:highlight w:val="none"/>
          <w:lang w:val="en-US" w:eastAsia="zh-CN" w:bidi="en-US"/>
          <w14:textFill>
            <w14:solidFill>
              <w14:schemeClr w14:val="tx1"/>
            </w14:solidFill>
          </w14:textFill>
        </w:rPr>
        <w:t>22</w:t>
      </w:r>
      <w:r>
        <w:rPr>
          <w:rFonts w:hint="default" w:ascii="Times New Roman" w:hAnsi="Times New Roman" w:eastAsia="宋体" w:cs="Times New Roman"/>
          <w:color w:val="000000" w:themeColor="text1"/>
          <w:sz w:val="24"/>
          <w:szCs w:val="24"/>
          <w:highlight w:val="none"/>
          <w:lang w:bidi="en-US"/>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相关判定要求，依据建设项目影响区域的生态敏感性和影响程度，评价等级划分为一级、二级和三级。</w:t>
      </w:r>
    </w:p>
    <w:p w14:paraId="146DFEC0">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（1）涉及国家公园、自然保护区、世界自然遗产、重要生境时，评价等级为一级；</w:t>
      </w:r>
    </w:p>
    <w:p w14:paraId="47EA6CF1">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（2）涉及自然公园时，评价等级为二级；</w:t>
      </w:r>
    </w:p>
    <w:p w14:paraId="093E3938">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）涉及生态保护红线时，评价等级不低于二级；</w:t>
      </w:r>
    </w:p>
    <w:p w14:paraId="2ABA3AFB">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4</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）根据HJ2.3判断属于水文要素影响型且地表水评价等级不低于二级的建设项目，生态影响评价等级不低于二级；</w:t>
      </w:r>
    </w:p>
    <w:p w14:paraId="2757673F">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5</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）根据HJ610、HJ964判断地下水水位或土壤影响范围内分布有天然林、公益林、湿地等生态保护目标的建设项目，生态影响评价等级不低于二级；</w:t>
      </w:r>
    </w:p>
    <w:p w14:paraId="2E2575AC">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6</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）当工程占地规模大于20km</w:t>
      </w:r>
      <w:r>
        <w:rPr>
          <w:rFonts w:hint="default" w:ascii="Times New Roman" w:hAnsi="Times New Roman" w:cs="Times New Roman"/>
          <w:color w:val="000000" w:themeColor="text1"/>
          <w:sz w:val="24"/>
          <w:szCs w:val="24"/>
          <w:highlight w:val="none"/>
          <w:vertAlign w:val="superscript"/>
          <w:lang w:eastAsia="zh-CN" w:bidi="zh-TW"/>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时（包括永久和临时占用陆域和水域），评价等级不低于二级；</w:t>
      </w:r>
      <w:r>
        <w:rPr>
          <w:rFonts w:hint="eastAsia" w:cs="Times New Roman"/>
          <w:color w:val="000000" w:themeColor="text1"/>
          <w:sz w:val="24"/>
          <w:szCs w:val="24"/>
          <w:highlight w:val="none"/>
          <w:lang w:eastAsia="zh-CN" w:bidi="zh-TW"/>
          <w14:textFill>
            <w14:solidFill>
              <w14:schemeClr w14:val="tx1"/>
            </w14:solidFill>
          </w14:textFill>
        </w:rPr>
        <w:t>改建</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项目的占地范围以新增占地（包括陆域和水域）确定；</w:t>
      </w:r>
    </w:p>
    <w:p w14:paraId="2E3B3EDA">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7</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）除本条（</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1</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4</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5</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6</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）以外的情况，评价等级为三级；</w:t>
      </w:r>
    </w:p>
    <w:p w14:paraId="4606D073">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8</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）当评价等级判定同时符合上述多种情况时，应采用其中最高的评价等级。</w:t>
      </w:r>
    </w:p>
    <w:p w14:paraId="5AD40578">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本项目位于</w:t>
      </w:r>
      <w:r>
        <w:rPr>
          <w:rFonts w:hint="eastAsia" w:cs="Times New Roman"/>
          <w:color w:val="000000" w:themeColor="text1"/>
          <w:sz w:val="24"/>
          <w:szCs w:val="24"/>
          <w:highlight w:val="none"/>
          <w:lang w:val="en-US" w:eastAsia="zh-CN" w:bidi="zh-TW"/>
          <w14:textFill>
            <w14:solidFill>
              <w14:schemeClr w14:val="tx1"/>
            </w14:solidFill>
          </w14:textFill>
        </w:rPr>
        <w:t>黑龙江省绥化市安达市昌德镇、升平镇，大庆市大同区祝三乡境内</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，项目所在区域不涉及国家公园、自然保护区、世界自然遗产、重要生境、自然公园、生态保护红线；</w:t>
      </w:r>
    </w:p>
    <w:p w14:paraId="797BEE6D">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根据</w:t>
      </w:r>
      <w:r>
        <w:rPr>
          <w:rFonts w:hint="default" w:ascii="Times New Roman" w:hAnsi="Times New Roman" w:cs="Times New Roman"/>
          <w:color w:val="000000" w:themeColor="text1"/>
          <w:highlight w:val="none"/>
          <w14:textFill>
            <w14:solidFill>
              <w14:schemeClr w14:val="tx1"/>
            </w14:solidFill>
          </w14:textFill>
        </w:rPr>
        <w:t>《环境影响评价技术导则地表水环境》（HJ2.3-2018）</w:t>
      </w:r>
      <w:r>
        <w:rPr>
          <w:rFonts w:hint="default" w:ascii="Times New Roman" w:hAnsi="Times New Roman" w:cs="Times New Roman"/>
          <w:color w:val="000000" w:themeColor="text1"/>
          <w:highlight w:val="none"/>
          <w:lang w:val="en-US" w:eastAsia="zh-CN"/>
          <w14:textFill>
            <w14:solidFill>
              <w14:schemeClr w14:val="tx1"/>
            </w14:solidFill>
          </w14:textFill>
        </w:rPr>
        <w:t>判断本项目为水污染影响型项目，不属于水文要素影响型建设项目，且地表水评价等级为三级B；</w:t>
      </w:r>
    </w:p>
    <w:p w14:paraId="4ACA6B40">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根据《环境影响评价技术导则地下水》（HJ610-2016）</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本项目地下水评价等级为</w:t>
      </w:r>
      <w:r>
        <w:rPr>
          <w:rFonts w:hint="eastAsia" w:cs="Times New Roman"/>
          <w:color w:val="000000" w:themeColor="text1"/>
          <w:sz w:val="24"/>
          <w:szCs w:val="24"/>
          <w:highlight w:val="none"/>
          <w:lang w:val="en-US" w:eastAsia="zh-CN"/>
          <w14:textFill>
            <w14:solidFill>
              <w14:schemeClr w14:val="tx1"/>
            </w14:solidFill>
          </w14:textFill>
        </w:rPr>
        <w:t>二</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级，</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本项目不开采地下水，不会造成区域地下水水位发生变化，不涉及</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天然林、公益林、湿地等生态保护目标</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481C4927">
      <w:pPr>
        <w:pStyle w:val="34"/>
        <w:keepNext w:val="0"/>
        <w:keepLines w:val="0"/>
        <w:pageBreakBefore w:val="0"/>
        <w:widowControl w:val="0"/>
        <w:kinsoku/>
        <w:wordWrap/>
        <w:topLinePunct w:val="0"/>
        <w:bidi w:val="0"/>
        <w:ind w:firstLine="480"/>
        <w:rPr>
          <w:rFonts w:hint="default" w:ascii="Times New Roman" w:hAnsi="Times New Roman" w:cs="Times New Roman"/>
          <w:snapToGrid w:val="0"/>
          <w:color w:val="000000" w:themeColor="text1"/>
          <w:sz w:val="24"/>
          <w:szCs w:val="20"/>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根据</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《环境影响评价技术导则土壤环境（试行）》（HJ964-2018），本项目为污染影响型</w:t>
      </w:r>
      <w:r>
        <w:rPr>
          <w:rFonts w:hint="default" w:ascii="Times New Roman" w:hAnsi="Times New Roman" w:cs="Times New Roman"/>
          <w:snapToGrid w:val="0"/>
          <w:color w:val="000000" w:themeColor="text1"/>
          <w:sz w:val="24"/>
          <w:szCs w:val="24"/>
          <w:highlight w:val="none"/>
          <w:lang w:val="en-US" w:eastAsia="zh-CN" w:bidi="ar-SA"/>
          <w14:textFill>
            <w14:solidFill>
              <w14:schemeClr w14:val="tx1"/>
            </w14:solidFill>
          </w14:textFill>
        </w:rPr>
        <w:t>二</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级评价，土壤</w:t>
      </w:r>
      <w:r>
        <w:rPr>
          <w:rFonts w:hint="default" w:ascii="Times New Roman" w:hAnsi="Times New Roman" w:cs="Times New Roman"/>
          <w:snapToGrid w:val="0"/>
          <w:color w:val="000000" w:themeColor="text1"/>
          <w:sz w:val="24"/>
          <w:szCs w:val="20"/>
          <w:highlight w:val="none"/>
          <w:lang w:val="en-US" w:eastAsia="zh-CN"/>
          <w14:textFill>
            <w14:solidFill>
              <w14:schemeClr w14:val="tx1"/>
            </w14:solidFill>
          </w14:textFill>
        </w:rPr>
        <w:t>影响范围内</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不涉及</w:t>
      </w:r>
      <w:r>
        <w:rPr>
          <w:rFonts w:hint="default" w:ascii="Times New Roman" w:hAnsi="Times New Roman" w:cs="Times New Roman"/>
          <w:color w:val="000000" w:themeColor="text1"/>
          <w:sz w:val="24"/>
          <w:szCs w:val="24"/>
          <w:highlight w:val="none"/>
          <w:lang w:eastAsia="zh-CN" w:bidi="zh-TW"/>
          <w14:textFill>
            <w14:solidFill>
              <w14:schemeClr w14:val="tx1"/>
            </w14:solidFill>
          </w14:textFill>
        </w:rPr>
        <w:t>天然林、公益林、湿地等生态保护目标；</w:t>
      </w:r>
    </w:p>
    <w:p w14:paraId="22696F46">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sz w:val="24"/>
          <w:szCs w:val="24"/>
          <w:highlight w:val="none"/>
          <w:vertAlign w:val="baseline"/>
          <w:lang w:val="en-US" w:eastAsia="zh-CN" w:bidi="zh-TW"/>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本项目总占地规模为</w:t>
      </w:r>
      <w:r>
        <w:rPr>
          <w:rFonts w:hint="eastAsia" w:cs="Times New Roman"/>
          <w:color w:val="000000" w:themeColor="text1"/>
          <w:highlight w:val="none"/>
          <w:lang w:val="en-US" w:eastAsia="zh-CN"/>
          <w14:textFill>
            <w14:solidFill>
              <w14:schemeClr w14:val="tx1"/>
            </w14:solidFill>
          </w14:textFill>
        </w:rPr>
        <w:t>81800</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r>
        <w:rPr>
          <w:rFonts w:hint="eastAsia" w:cs="Times New Roman"/>
          <w:color w:val="000000" w:themeColor="text1"/>
          <w:highlight w:val="none"/>
          <w:vertAlign w:val="baseline"/>
          <w:lang w:val="en-US" w:eastAsia="zh-CN"/>
          <w14:textFill>
            <w14:solidFill>
              <w14:schemeClr w14:val="tx1"/>
            </w14:solidFill>
          </w14:textFill>
        </w:rPr>
        <w:t>0.0818</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k</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）&lt;</w:t>
      </w:r>
      <w:r>
        <w:rPr>
          <w:rFonts w:hint="default" w:ascii="Times New Roman" w:hAnsi="Times New Roman" w:cs="Times New Roman"/>
          <w:color w:val="000000" w:themeColor="text1"/>
          <w:highlight w:val="none"/>
          <w:lang w:val="en-US" w:eastAsia="zh-CN"/>
          <w14:textFill>
            <w14:solidFill>
              <w14:schemeClr w14:val="tx1"/>
            </w14:solidFill>
          </w14:textFill>
        </w:rPr>
        <w:t>20km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p>
    <w:p w14:paraId="569F9996">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sz w:val="24"/>
          <w:szCs w:val="24"/>
          <w:highlight w:val="none"/>
          <w:lang w:val="en-US" w:eastAsia="zh-CN" w:bidi="zh-TW"/>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综上所述，确定本</w:t>
      </w:r>
      <w:r>
        <w:rPr>
          <w:rFonts w:hint="default" w:ascii="Times New Roman" w:hAnsi="Times New Roman" w:eastAsia="宋体" w:cs="Times New Roman"/>
          <w:color w:val="000000" w:themeColor="text1"/>
          <w:sz w:val="24"/>
          <w:szCs w:val="24"/>
          <w:highlight w:val="none"/>
          <w:lang w:bidi="zh-TW"/>
          <w14:textFill>
            <w14:solidFill>
              <w14:schemeClr w14:val="tx1"/>
            </w14:solidFill>
          </w14:textFill>
        </w:rPr>
        <w:t>项目的生态环境评价等级确定为</w:t>
      </w:r>
      <w:r>
        <w:rPr>
          <w:rFonts w:hint="default" w:ascii="Times New Roman" w:hAnsi="Times New Roman" w:cs="Times New Roman"/>
          <w:color w:val="000000" w:themeColor="text1"/>
          <w:sz w:val="24"/>
          <w:szCs w:val="24"/>
          <w:highlight w:val="none"/>
          <w:lang w:val="en-US" w:eastAsia="zh-CN" w:bidi="zh-TW"/>
          <w14:textFill>
            <w14:solidFill>
              <w14:schemeClr w14:val="tx1"/>
            </w14:solidFill>
          </w14:textFill>
        </w:rPr>
        <w:t>三</w:t>
      </w:r>
      <w:r>
        <w:rPr>
          <w:rFonts w:hint="default" w:ascii="Times New Roman" w:hAnsi="Times New Roman" w:eastAsia="宋体" w:cs="Times New Roman"/>
          <w:color w:val="000000" w:themeColor="text1"/>
          <w:sz w:val="24"/>
          <w:szCs w:val="24"/>
          <w:highlight w:val="none"/>
          <w:lang w:val="en-US" w:eastAsia="zh-CN" w:bidi="zh-TW"/>
          <w14:textFill>
            <w14:solidFill>
              <w14:schemeClr w14:val="tx1"/>
            </w14:solidFill>
          </w14:textFill>
        </w:rPr>
        <w:t>级。</w:t>
      </w:r>
    </w:p>
    <w:p w14:paraId="35BE2FC6">
      <w:pPr>
        <w:keepNext w:val="0"/>
        <w:keepLines w:val="0"/>
        <w:pageBreakBefore w:val="0"/>
        <w:widowControl w:val="0"/>
        <w:kinsoku/>
        <w:wordWrap/>
        <w:overflowPunct w:val="0"/>
        <w:topLinePunct w:val="0"/>
        <w:autoSpaceDE/>
        <w:autoSpaceDN/>
        <w:bidi w:val="0"/>
        <w:adjustRightInd/>
        <w:snapToGrid/>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环境风险</w:t>
      </w:r>
    </w:p>
    <w:p w14:paraId="722DA6CB">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）风险潜势初判</w:t>
      </w:r>
    </w:p>
    <w:p w14:paraId="2B02DC4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本工程涉及的主要危险物质为运行期密闭集输管道内的原油和伴生气（天然气）</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p>
    <w:p w14:paraId="5955345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根据《建设项目环境风险评价技术导则》（HJ169-2018）附录B表B.1</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突发环境事件风险物质及临界量，油类物质（矿物油类，如石油、汽油、柴油等，生物柴油等）的临界量为2500t，甲烷临界量为10t。根据《建设项目环境风险评价技术导则》（HJ169-2018），定量分析危险物质数量与临界量的比值（Q）。</w:t>
      </w:r>
    </w:p>
    <w:p w14:paraId="25A3C46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对于长输</w:t>
      </w:r>
      <w:r>
        <w:rPr>
          <w:rFonts w:hint="eastAsia"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项目，按照两个场站或截断阀室之间管段危险物质最大存在总量计算。</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将单条最长</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作为风险单元，主要风险物质为原油和伴生气（主要为石油气）：</w:t>
      </w:r>
    </w:p>
    <w:p w14:paraId="0B54B480">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u w:val="none"/>
          <w:lang w:val="en-US" w:eastAsia="zh-CN" w:bidi="ar-SA"/>
          <w14:textFill>
            <w14:solidFill>
              <w14:schemeClr w14:val="tx1"/>
            </w14:solidFill>
          </w14:textFill>
        </w:rPr>
        <w:t>选取</w:t>
      </w:r>
      <w:r>
        <w:rPr>
          <w:rFonts w:hint="default" w:ascii="Times New Roman" w:hAnsi="Times New Roman" w:cs="Times New Roman"/>
          <w:color w:val="000000" w:themeColor="text1"/>
          <w:sz w:val="24"/>
          <w:szCs w:val="28"/>
          <w:highlight w:val="none"/>
          <w:u w:val="none"/>
          <w:lang w:val="en-US" w:eastAsia="zh-CN" w:bidi="ar-SA"/>
          <w14:textFill>
            <w14:solidFill>
              <w14:schemeClr w14:val="tx1"/>
            </w14:solidFill>
          </w14:textFill>
        </w:rPr>
        <w:t>本次更换</w:t>
      </w:r>
      <w:r>
        <w:rPr>
          <w:rFonts w:hint="eastAsia" w:ascii="Times New Roman" w:hAnsi="Times New Roman" w:cs="Times New Roman"/>
          <w:color w:val="000000" w:themeColor="text1"/>
          <w:sz w:val="24"/>
          <w:szCs w:val="28"/>
          <w:highlight w:val="none"/>
          <w:u w:val="none"/>
          <w:lang w:val="en-US" w:eastAsia="zh-CN" w:bidi="ar-SA"/>
          <w14:textFill>
            <w14:solidFill>
              <w14:schemeClr w14:val="tx1"/>
            </w14:solidFill>
          </w14:textFill>
        </w:rPr>
        <w:t>管道之间两个截断阀之间距离</w:t>
      </w:r>
      <w:r>
        <w:rPr>
          <w:rFonts w:hint="default" w:ascii="Times New Roman" w:hAnsi="Times New Roman" w:eastAsia="宋体" w:cs="Times New Roman"/>
          <w:color w:val="000000" w:themeColor="text1"/>
          <w:sz w:val="24"/>
          <w:szCs w:val="28"/>
          <w:highlight w:val="none"/>
          <w:u w:val="none"/>
          <w:lang w:val="en-US" w:eastAsia="zh-CN" w:bidi="ar-SA"/>
          <w14:textFill>
            <w14:solidFill>
              <w14:schemeClr w14:val="tx1"/>
            </w14:solidFill>
          </w14:textFill>
        </w:rPr>
        <w:t>最长</w:t>
      </w:r>
      <w:r>
        <w:rPr>
          <w:rFonts w:hint="eastAsia" w:ascii="Times New Roman" w:hAnsi="Times New Roman" w:cs="Times New Roman"/>
          <w:color w:val="000000" w:themeColor="text1"/>
          <w:sz w:val="24"/>
          <w:szCs w:val="28"/>
          <w:highlight w:val="none"/>
          <w:u w:val="none"/>
          <w:lang w:val="en-US" w:eastAsia="zh-CN" w:bidi="ar-SA"/>
          <w14:textFill>
            <w14:solidFill>
              <w14:schemeClr w14:val="tx1"/>
            </w14:solidFill>
          </w14:textFill>
        </w:rPr>
        <w:t>的</w:t>
      </w:r>
      <w:r>
        <w:rPr>
          <w:rFonts w:hint="default" w:ascii="Times New Roman" w:hAnsi="Times New Roman" w:eastAsia="宋体" w:cs="Times New Roman"/>
          <w:color w:val="000000" w:themeColor="text1"/>
          <w:sz w:val="24"/>
          <w:szCs w:val="28"/>
          <w:highlight w:val="none"/>
          <w:u w:val="none"/>
          <w:lang w:val="en-US" w:eastAsia="zh-CN" w:bidi="ar-SA"/>
          <w14:textFill>
            <w14:solidFill>
              <w14:schemeClr w14:val="tx1"/>
            </w14:solidFill>
          </w14:textFill>
        </w:rPr>
        <w:t>集油</w:t>
      </w:r>
      <w:r>
        <w:rPr>
          <w:rFonts w:hint="eastAsia" w:ascii="Times New Roman" w:hAnsi="Times New Roman" w:cs="Times New Roman"/>
          <w:color w:val="000000" w:themeColor="text1"/>
          <w:sz w:val="24"/>
          <w:szCs w:val="28"/>
          <w:highlight w:val="none"/>
          <w:u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sz w:val="24"/>
          <w:szCs w:val="28"/>
          <w:highlight w:val="none"/>
          <w:u w:val="none"/>
          <w:lang w:val="en-US" w:eastAsia="zh-CN" w:bidi="ar-SA"/>
          <w14:textFill>
            <w14:solidFill>
              <w14:schemeClr w14:val="tx1"/>
            </w14:solidFill>
          </w14:textFill>
        </w:rPr>
        <w:t>进行计算。</w:t>
      </w:r>
    </w:p>
    <w:p w14:paraId="23C7E782">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eastAsia" w:ascii="Times New Roman" w:hAnsi="Times New Roman" w:cs="Times New Roman"/>
          <w:color w:val="000000" w:themeColor="text1"/>
          <w:sz w:val="24"/>
          <w:szCs w:val="28"/>
          <w:highlight w:val="none"/>
          <w:u w:val="none"/>
          <w:lang w:val="en-US" w:eastAsia="zh-CN" w:bidi="ar-SA"/>
          <w14:textFill>
            <w14:solidFill>
              <w14:schemeClr w14:val="tx1"/>
            </w14:solidFill>
          </w14:textFill>
        </w:rPr>
        <w:t>两个截断阀之间距离</w:t>
      </w:r>
      <w:r>
        <w:rPr>
          <w:rFonts w:hint="default" w:ascii="Times New Roman" w:hAnsi="Times New Roman" w:eastAsia="宋体" w:cs="Times New Roman"/>
          <w:color w:val="000000" w:themeColor="text1"/>
          <w:sz w:val="24"/>
          <w:szCs w:val="28"/>
          <w:highlight w:val="none"/>
          <w:u w:val="none"/>
          <w:lang w:val="en-US" w:eastAsia="zh-CN" w:bidi="ar-SA"/>
          <w14:textFill>
            <w14:solidFill>
              <w14:schemeClr w14:val="tx1"/>
            </w14:solidFill>
          </w14:textFill>
        </w:rPr>
        <w:t>最长</w:t>
      </w:r>
      <w:r>
        <w:rPr>
          <w:rFonts w:hint="eastAsia" w:ascii="Times New Roman" w:hAnsi="Times New Roman" w:cs="Times New Roman"/>
          <w:color w:val="000000" w:themeColor="text1"/>
          <w:sz w:val="24"/>
          <w:szCs w:val="28"/>
          <w:highlight w:val="none"/>
          <w:u w:val="none"/>
          <w:lang w:val="en-US" w:eastAsia="zh-CN" w:bidi="ar-SA"/>
          <w14:textFill>
            <w14:solidFill>
              <w14:schemeClr w14:val="tx1"/>
            </w14:solidFill>
          </w14:textFill>
        </w:rPr>
        <w:t>的</w:t>
      </w:r>
      <w:r>
        <w:rPr>
          <w:rFonts w:hint="default" w:ascii="Times New Roman" w:hAnsi="Times New Roman" w:eastAsia="宋体" w:cs="Times New Roman"/>
          <w:color w:val="000000" w:themeColor="text1"/>
          <w:sz w:val="24"/>
          <w:szCs w:val="28"/>
          <w:highlight w:val="none"/>
          <w:u w:val="none"/>
          <w:lang w:val="en-US" w:eastAsia="zh-CN" w:bidi="ar-SA"/>
          <w14:textFill>
            <w14:solidFill>
              <w14:schemeClr w14:val="tx1"/>
            </w14:solidFill>
          </w14:textFill>
        </w:rPr>
        <w:t>集油</w:t>
      </w:r>
      <w:r>
        <w:rPr>
          <w:rFonts w:hint="eastAsia" w:ascii="Times New Roman" w:hAnsi="Times New Roman" w:cs="Times New Roman"/>
          <w:color w:val="000000" w:themeColor="text1"/>
          <w:sz w:val="24"/>
          <w:szCs w:val="28"/>
          <w:highlight w:val="none"/>
          <w:u w:val="none"/>
          <w:lang w:val="en-US" w:eastAsia="zh-CN" w:bidi="ar-SA"/>
          <w14:textFill>
            <w14:solidFill>
              <w14:schemeClr w14:val="tx1"/>
            </w14:solidFill>
          </w14:textFill>
        </w:rPr>
        <w:t>管道为芳3转油站外输油管道</w:t>
      </w:r>
      <w:r>
        <w:rPr>
          <w:rFonts w:hint="default" w:ascii="Times New Roman" w:hAnsi="Times New Roman" w:cs="Times New Roman"/>
          <w:color w:val="000000" w:themeColor="text1"/>
          <w:highlight w:val="none"/>
          <w14:textFill>
            <w14:solidFill>
              <w14:schemeClr w14:val="tx1"/>
            </w14:solidFill>
          </w14:textFill>
        </w:rPr>
        <w:t>，危险物质量按照</w:t>
      </w:r>
      <w:r>
        <w:rPr>
          <w:rFonts w:hint="eastAsia" w:ascii="Times New Roman" w:hAnsi="Times New Roman"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内原油及天然气量进行核算。</w:t>
      </w:r>
      <w:r>
        <w:rPr>
          <w:rFonts w:hint="eastAsia" w:ascii="Times New Roman" w:hAnsi="Times New Roman" w:cs="Times New Roman"/>
          <w:color w:val="000000" w:themeColor="text1"/>
          <w:highlight w:val="none"/>
          <w:lang w:val="en-US" w:eastAsia="zh-CN"/>
          <w14:textFill>
            <w14:solidFill>
              <w14:schemeClr w14:val="tx1"/>
            </w14:solidFill>
          </w14:textFill>
        </w:rPr>
        <w:t>截断阀之间的</w:t>
      </w:r>
      <w:r>
        <w:rPr>
          <w:rFonts w:hint="default" w:ascii="Times New Roman" w:hAnsi="Times New Roman" w:cs="Times New Roman"/>
          <w:color w:val="000000" w:themeColor="text1"/>
          <w:highlight w:val="none"/>
          <w14:textFill>
            <w14:solidFill>
              <w14:schemeClr w14:val="tx1"/>
            </w14:solidFill>
          </w14:textFill>
        </w:rPr>
        <w:t>集油</w:t>
      </w:r>
      <w:r>
        <w:rPr>
          <w:rFonts w:hint="eastAsia" w:ascii="Times New Roman" w:hAnsi="Times New Roman" w:cs="Times New Roman"/>
          <w:color w:val="000000" w:themeColor="text1"/>
          <w:highlight w:val="none"/>
          <w:lang w:val="en-US" w:eastAsia="zh-CN"/>
          <w14:textFill>
            <w14:solidFill>
              <w14:schemeClr w14:val="tx1"/>
            </w14:solidFill>
          </w14:textFill>
        </w:rPr>
        <w:t>管道长度</w:t>
      </w:r>
      <w:r>
        <w:rPr>
          <w:rFonts w:hint="default" w:ascii="Times New Roman" w:hAnsi="Times New Roman" w:cs="Times New Roman"/>
          <w:color w:val="000000" w:themeColor="text1"/>
          <w:highlight w:val="none"/>
          <w14:textFill>
            <w14:solidFill>
              <w14:schemeClr w14:val="tx1"/>
            </w14:solidFill>
          </w14:textFill>
        </w:rPr>
        <w:t>为</w:t>
      </w:r>
      <w:r>
        <w:rPr>
          <w:rFonts w:hint="eastAsia" w:ascii="Times New Roman" w:hAnsi="Times New Roman" w:cs="Times New Roman"/>
          <w:color w:val="000000" w:themeColor="text1"/>
          <w:highlight w:val="none"/>
          <w:lang w:val="en-US" w:eastAsia="zh-CN"/>
          <w14:textFill>
            <w14:solidFill>
              <w14:schemeClr w14:val="tx1"/>
            </w14:solidFill>
          </w14:textFill>
        </w:rPr>
        <w:t>12.4</w:t>
      </w:r>
      <w:r>
        <w:rPr>
          <w:rFonts w:hint="default" w:ascii="Times New Roman" w:hAnsi="Times New Roman" w:cs="Times New Roman"/>
          <w:color w:val="000000" w:themeColor="text1"/>
          <w:highlight w:val="none"/>
          <w:lang w:val="en-US" w:eastAsia="zh-CN"/>
          <w14:textFill>
            <w14:solidFill>
              <w14:schemeClr w14:val="tx1"/>
            </w14:solidFill>
          </w14:textFill>
        </w:rPr>
        <w:t>k</w:t>
      </w:r>
      <w:r>
        <w:rPr>
          <w:rFonts w:hint="default" w:ascii="Times New Roman" w:hAnsi="Times New Roman" w:cs="Times New Roman"/>
          <w:color w:val="000000" w:themeColor="text1"/>
          <w:highlight w:val="none"/>
          <w14:textFill>
            <w14:solidFill>
              <w14:schemeClr w14:val="tx1"/>
            </w14:solidFill>
          </w14:textFill>
        </w:rPr>
        <w:t>m，管径为φ</w:t>
      </w:r>
      <w:r>
        <w:rPr>
          <w:rFonts w:hint="eastAsia" w:ascii="Times New Roman" w:hAnsi="Times New Roman" w:cs="Times New Roman"/>
          <w:color w:val="000000" w:themeColor="text1"/>
          <w:highlight w:val="none"/>
          <w:lang w:val="en-US" w:eastAsia="zh-CN"/>
          <w14:textFill>
            <w14:solidFill>
              <w14:schemeClr w14:val="tx1"/>
            </w14:solidFill>
          </w14:textFill>
        </w:rPr>
        <w:t>114</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5.5</w:t>
      </w:r>
      <w:r>
        <w:rPr>
          <w:rFonts w:hint="default" w:ascii="Times New Roman" w:hAnsi="Times New Roman" w:cs="Times New Roman"/>
          <w:color w:val="000000" w:themeColor="text1"/>
          <w:highlight w:val="none"/>
          <w14:textFill>
            <w14:solidFill>
              <w14:schemeClr w14:val="tx1"/>
            </w14:solidFill>
          </w14:textFill>
        </w:rPr>
        <w:t>，原油密度为</w:t>
      </w:r>
      <w:r>
        <w:rPr>
          <w:rFonts w:hint="eastAsia" w:ascii="Times New Roman" w:hAnsi="Times New Roman" w:cs="Times New Roman"/>
          <w:color w:val="000000" w:themeColor="text1"/>
          <w:highlight w:val="none"/>
          <w:lang w:val="en-US" w:eastAsia="zh-CN"/>
          <w14:textFill>
            <w14:solidFill>
              <w14:schemeClr w14:val="tx1"/>
            </w14:solidFill>
          </w14:textFill>
        </w:rPr>
        <w:t>0.8718t</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，气油比约</w:t>
      </w:r>
      <w:r>
        <w:rPr>
          <w:rFonts w:hint="eastAsia" w:ascii="Times New Roman" w:hAnsi="Times New Roman" w:cs="Times New Roman"/>
          <w:color w:val="000000" w:themeColor="text1"/>
          <w:highlight w:val="none"/>
          <w:lang w:val="en-US" w:eastAsia="zh-CN"/>
          <w14:textFill>
            <w14:solidFill>
              <w14:schemeClr w14:val="tx1"/>
            </w14:solidFill>
          </w14:textFill>
        </w:rPr>
        <w:t>19.8</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/t，天然气密度为</w:t>
      </w:r>
      <w:r>
        <w:rPr>
          <w:rFonts w:hint="eastAsia" w:ascii="Times New Roman" w:hAnsi="Times New Roman" w:cs="Times New Roman"/>
          <w:color w:val="000000" w:themeColor="text1"/>
          <w:highlight w:val="none"/>
          <w:lang w:val="en-US" w:eastAsia="zh-CN"/>
          <w14:textFill>
            <w14:solidFill>
              <w14:schemeClr w14:val="tx1"/>
            </w14:solidFill>
          </w14:textFill>
        </w:rPr>
        <w:t>0.62</w:t>
      </w:r>
      <w:r>
        <w:rPr>
          <w:rFonts w:hint="default" w:ascii="Times New Roman" w:hAnsi="Times New Roman" w:cs="Times New Roman"/>
          <w:color w:val="000000" w:themeColor="text1"/>
          <w:highlight w:val="none"/>
          <w14:textFill>
            <w14:solidFill>
              <w14:schemeClr w14:val="tx1"/>
            </w14:solidFill>
          </w14:textFill>
        </w:rPr>
        <w:t>kg/m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，则集油管道内的原油量为</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05</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×3.14×</w:t>
      </w:r>
      <w:r>
        <w:rPr>
          <w:rFonts w:hint="eastAsia" w:ascii="Times New Roman" w:hAnsi="Times New Roman" w:cs="Times New Roman"/>
          <w:color w:val="000000" w:themeColor="text1"/>
          <w:highlight w:val="none"/>
          <w:lang w:val="en-US" w:eastAsia="zh-CN"/>
          <w14:textFill>
            <w14:solidFill>
              <w14:schemeClr w14:val="tx1"/>
            </w14:solidFill>
          </w14:textFill>
        </w:rPr>
        <w:t>12400</w:t>
      </w:r>
      <w:r>
        <w:rPr>
          <w:rFonts w:hint="default" w:ascii="Times New Roman" w:hAnsi="Times New Roman" w:cs="Times New Roman"/>
          <w:color w:val="000000" w:themeColor="text1"/>
          <w:highlight w:val="none"/>
          <w14:textFill>
            <w14:solidFill>
              <w14:schemeClr w14:val="tx1"/>
            </w14:solidFill>
          </w14:textFill>
        </w:rPr>
        <w:t>×0.8</w:t>
      </w:r>
      <w:r>
        <w:rPr>
          <w:rFonts w:hint="eastAsia" w:ascii="Times New Roman" w:hAnsi="Times New Roman" w:cs="Times New Roman"/>
          <w:color w:val="000000" w:themeColor="text1"/>
          <w:highlight w:val="none"/>
          <w:lang w:val="en-US" w:eastAsia="zh-CN"/>
          <w14:textFill>
            <w14:solidFill>
              <w14:schemeClr w14:val="tx1"/>
            </w14:solidFill>
          </w14:textFill>
        </w:rPr>
        <w:t>718/1000</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0.08</w:t>
      </w:r>
      <w:r>
        <w:rPr>
          <w:rFonts w:hint="default" w:ascii="Times New Roman" w:hAnsi="Times New Roman" w:cs="Times New Roman"/>
          <w:color w:val="000000" w:themeColor="text1"/>
          <w:highlight w:val="none"/>
          <w:lang w:val="en-US" w:eastAsia="zh-CN"/>
          <w14:textFill>
            <w14:solidFill>
              <w14:schemeClr w14:val="tx1"/>
            </w14:solidFill>
          </w14:textFill>
        </w:rPr>
        <w:t>t</w:t>
      </w:r>
      <w:r>
        <w:rPr>
          <w:rFonts w:hint="default" w:ascii="Times New Roman" w:hAnsi="Times New Roman" w:cs="Times New Roman"/>
          <w:color w:val="000000" w:themeColor="text1"/>
          <w:highlight w:val="none"/>
          <w14:textFill>
            <w14:solidFill>
              <w14:schemeClr w14:val="tx1"/>
            </w14:solidFill>
          </w14:textFill>
        </w:rPr>
        <w:t>，同时产生的伴生气量为</w:t>
      </w:r>
      <w:r>
        <w:rPr>
          <w:rFonts w:hint="eastAsia" w:ascii="Times New Roman" w:hAnsi="Times New Roman" w:cs="Times New Roman"/>
          <w:color w:val="000000" w:themeColor="text1"/>
          <w:highlight w:val="none"/>
          <w:lang w:val="en-US" w:eastAsia="zh-CN"/>
          <w14:textFill>
            <w14:solidFill>
              <w14:schemeClr w14:val="tx1"/>
            </w14:solidFill>
          </w14:textFill>
        </w:rPr>
        <w:t>0.08</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19.8</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0.62</w:t>
      </w:r>
      <w:r>
        <w:rPr>
          <w:rFonts w:hint="default" w:ascii="Times New Roman" w:hAnsi="Times New Roman" w:cs="Times New Roman"/>
          <w:color w:val="000000" w:themeColor="text1"/>
          <w:highlight w:val="none"/>
          <w:lang w:val="en-US" w:eastAsia="zh-CN"/>
          <w14:textFill>
            <w14:solidFill>
              <w14:schemeClr w14:val="tx1"/>
            </w14:solidFill>
          </w14:textFill>
        </w:rPr>
        <w:t>/1000</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001</w:t>
      </w:r>
      <w:r>
        <w:rPr>
          <w:rFonts w:hint="default" w:ascii="Times New Roman" w:hAnsi="Times New Roman" w:cs="Times New Roman"/>
          <w:color w:val="000000" w:themeColor="text1"/>
          <w:highlight w:val="none"/>
          <w:lang w:val="en-US" w:eastAsia="zh-CN"/>
          <w14:textFill>
            <w14:solidFill>
              <w14:schemeClr w14:val="tx1"/>
            </w14:solidFill>
          </w14:textFill>
        </w:rPr>
        <w:t>t</w:t>
      </w:r>
      <w:r>
        <w:rPr>
          <w:rFonts w:hint="default" w:ascii="Times New Roman" w:hAnsi="Times New Roman" w:cs="Times New Roman"/>
          <w:color w:val="000000" w:themeColor="text1"/>
          <w:highlight w:val="none"/>
          <w14:textFill>
            <w14:solidFill>
              <w14:schemeClr w14:val="tx1"/>
            </w14:solidFill>
          </w14:textFill>
        </w:rPr>
        <w:t>。</w:t>
      </w:r>
    </w:p>
    <w:p w14:paraId="4A3723D9">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根据《建设项目环境风险评价技术导则》（HJ169-2018），定量分析危险物质数量与临界量的比值（Q），见</w:t>
      </w:r>
      <w:r>
        <w:rPr>
          <w:rFonts w:hint="eastAsia" w:ascii="Times New Roman" w:hAnsi="Times New Roman" w:cs="Times New Roman"/>
          <w:color w:val="000000" w:themeColor="text1"/>
          <w:highlight w:val="none"/>
          <w:lang w:eastAsia="zh-CN"/>
          <w14:textFill>
            <w14:solidFill>
              <w14:schemeClr w14:val="tx1"/>
            </w14:solidFill>
          </w14:textFill>
        </w:rPr>
        <w:t>表2.6-</w:t>
      </w:r>
      <w:r>
        <w:rPr>
          <w:rFonts w:hint="eastAsia" w:ascii="Times New Roman" w:hAnsi="Times New Roman" w:cs="Times New Roman"/>
          <w:color w:val="000000" w:themeColor="text1"/>
          <w:highlight w:val="none"/>
          <w:lang w:val="en-US" w:eastAsia="zh-CN"/>
          <w14:textFill>
            <w14:solidFill>
              <w14:schemeClr w14:val="tx1"/>
            </w14:solidFill>
          </w14:textFill>
        </w:rPr>
        <w:t>13</w:t>
      </w:r>
      <w:r>
        <w:rPr>
          <w:rFonts w:hint="default" w:ascii="Times New Roman" w:hAnsi="Times New Roman" w:cs="Times New Roman"/>
          <w:color w:val="000000" w:themeColor="text1"/>
          <w:highlight w:val="none"/>
          <w:lang w:eastAsia="zh-CN"/>
          <w14:textFill>
            <w14:solidFill>
              <w14:schemeClr w14:val="tx1"/>
            </w14:solidFill>
          </w14:textFill>
        </w:rPr>
        <w:t>。</w:t>
      </w:r>
    </w:p>
    <w:p w14:paraId="2423A297">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 xml:space="preserve">表2.6-13  </w:t>
      </w:r>
      <w:r>
        <w:rPr>
          <w:rFonts w:hint="default" w:ascii="Times New Roman" w:hAnsi="Times New Roman" w:cs="Times New Roman"/>
          <w:color w:val="000000" w:themeColor="text1"/>
          <w:szCs w:val="24"/>
          <w:highlight w:val="none"/>
          <w:lang w:val="en-US" w:eastAsia="zh-CN"/>
          <w14:textFill>
            <w14:solidFill>
              <w14:schemeClr w14:val="tx1"/>
            </w14:solidFill>
          </w14:textFill>
        </w:rPr>
        <w:t>危险物质数量与临界值的比值Q值确定表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2207"/>
        <w:gridCol w:w="1482"/>
        <w:gridCol w:w="1449"/>
        <w:gridCol w:w="1326"/>
        <w:gridCol w:w="979"/>
        <w:gridCol w:w="1301"/>
      </w:tblGrid>
      <w:tr w14:paraId="5029E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89" w:type="pct"/>
            <w:vAlign w:val="center"/>
          </w:tcPr>
          <w:p w14:paraId="155A50F6">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1188" w:type="pct"/>
            <w:vAlign w:val="center"/>
          </w:tcPr>
          <w:p w14:paraId="0AA96F21">
            <w:pPr>
              <w:keepNext w:val="0"/>
              <w:keepLines w:val="0"/>
              <w:pageBreakBefore w:val="0"/>
              <w:widowControl w:val="0"/>
              <w:kinsoku/>
              <w:wordWrap/>
              <w:topLinePunct w:val="0"/>
              <w:bidi w:val="0"/>
              <w:spacing w:after="0"/>
              <w:jc w:val="cente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位置</w:t>
            </w:r>
          </w:p>
        </w:tc>
        <w:tc>
          <w:tcPr>
            <w:tcW w:w="798" w:type="pct"/>
            <w:vAlign w:val="center"/>
          </w:tcPr>
          <w:p w14:paraId="1238E363">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危险物质名称</w:t>
            </w:r>
          </w:p>
        </w:tc>
        <w:tc>
          <w:tcPr>
            <w:tcW w:w="780" w:type="pct"/>
            <w:vAlign w:val="center"/>
          </w:tcPr>
          <w:p w14:paraId="07BC712F">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CAS号</w:t>
            </w:r>
          </w:p>
        </w:tc>
        <w:tc>
          <w:tcPr>
            <w:tcW w:w="714" w:type="pct"/>
            <w:vAlign w:val="center"/>
          </w:tcPr>
          <w:p w14:paraId="71941030">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最大总存在量q</w:t>
            </w:r>
            <w:r>
              <w:rPr>
                <w:rFonts w:hint="default" w:ascii="Times New Roman" w:hAnsi="Times New Roman" w:eastAsia="宋体" w:cs="Times New Roman"/>
                <w:b/>
                <w:color w:val="000000" w:themeColor="text1"/>
                <w:sz w:val="21"/>
                <w:szCs w:val="21"/>
                <w:highlight w:val="none"/>
                <w:vertAlign w:val="subscript"/>
                <w14:textFill>
                  <w14:solidFill>
                    <w14:schemeClr w14:val="tx1"/>
                  </w14:solidFill>
                </w14:textFill>
              </w:rPr>
              <w:t>n</w:t>
            </w:r>
            <w:r>
              <w:rPr>
                <w:rFonts w:hint="default" w:ascii="Times New Roman" w:hAnsi="Times New Roman" w:eastAsia="宋体" w:cs="Times New Roman"/>
                <w:b/>
                <w:color w:val="000000" w:themeColor="text1"/>
                <w:sz w:val="21"/>
                <w:szCs w:val="21"/>
                <w:highlight w:val="none"/>
                <w14:textFill>
                  <w14:solidFill>
                    <w14:schemeClr w14:val="tx1"/>
                  </w14:solidFill>
                </w14:textFill>
              </w:rPr>
              <w:t>/t</w:t>
            </w:r>
          </w:p>
        </w:tc>
        <w:tc>
          <w:tcPr>
            <w:tcW w:w="527" w:type="pct"/>
            <w:vAlign w:val="center"/>
          </w:tcPr>
          <w:p w14:paraId="2E9CA6E9">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临界量Q</w:t>
            </w:r>
            <w:r>
              <w:rPr>
                <w:rFonts w:hint="default" w:ascii="Times New Roman" w:hAnsi="Times New Roman" w:eastAsia="宋体" w:cs="Times New Roman"/>
                <w:b/>
                <w:color w:val="000000" w:themeColor="text1"/>
                <w:sz w:val="21"/>
                <w:szCs w:val="21"/>
                <w:highlight w:val="none"/>
                <w:vertAlign w:val="subscript"/>
                <w14:textFill>
                  <w14:solidFill>
                    <w14:schemeClr w14:val="tx1"/>
                  </w14:solidFill>
                </w14:textFill>
              </w:rPr>
              <w:t>n</w:t>
            </w:r>
            <w:r>
              <w:rPr>
                <w:rFonts w:hint="default" w:ascii="Times New Roman" w:hAnsi="Times New Roman" w:eastAsia="宋体" w:cs="Times New Roman"/>
                <w:b/>
                <w:color w:val="000000" w:themeColor="text1"/>
                <w:sz w:val="21"/>
                <w:szCs w:val="21"/>
                <w:highlight w:val="none"/>
                <w14:textFill>
                  <w14:solidFill>
                    <w14:schemeClr w14:val="tx1"/>
                  </w14:solidFill>
                </w14:textFill>
              </w:rPr>
              <w:t>/t</w:t>
            </w:r>
          </w:p>
        </w:tc>
        <w:tc>
          <w:tcPr>
            <w:tcW w:w="700" w:type="pct"/>
            <w:vAlign w:val="center"/>
          </w:tcPr>
          <w:p w14:paraId="24B6FB6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该种危险物质Q值</w:t>
            </w:r>
          </w:p>
        </w:tc>
      </w:tr>
      <w:tr w14:paraId="5DADB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89" w:type="pct"/>
            <w:vAlign w:val="center"/>
          </w:tcPr>
          <w:p w14:paraId="0320910C">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1</w:t>
            </w:r>
          </w:p>
        </w:tc>
        <w:tc>
          <w:tcPr>
            <w:tcW w:w="1188" w:type="pct"/>
            <w:vMerge w:val="restart"/>
            <w:vAlign w:val="center"/>
          </w:tcPr>
          <w:p w14:paraId="18E42103">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芳3转油站外输油管道</w:t>
            </w:r>
          </w:p>
        </w:tc>
        <w:tc>
          <w:tcPr>
            <w:tcW w:w="798" w:type="pct"/>
            <w:vAlign w:val="center"/>
          </w:tcPr>
          <w:p w14:paraId="49DA6056">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原油</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（石油）</w:t>
            </w:r>
          </w:p>
        </w:tc>
        <w:tc>
          <w:tcPr>
            <w:tcW w:w="780" w:type="pct"/>
            <w:vAlign w:val="center"/>
          </w:tcPr>
          <w:p w14:paraId="53C9F3A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14" w:type="pct"/>
            <w:vAlign w:val="center"/>
          </w:tcPr>
          <w:p w14:paraId="0BD19216">
            <w:pPr>
              <w:pStyle w:val="49"/>
              <w:keepNext w:val="0"/>
              <w:keepLines w:val="0"/>
              <w:pageBreakBefore w:val="0"/>
              <w:widowControl w:val="0"/>
              <w:kinsoku/>
              <w:wordWrap/>
              <w:topLinePunct w:val="0"/>
              <w:bidi w:val="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0.08</w:t>
            </w:r>
          </w:p>
        </w:tc>
        <w:tc>
          <w:tcPr>
            <w:tcW w:w="527" w:type="pct"/>
            <w:vAlign w:val="center"/>
          </w:tcPr>
          <w:p w14:paraId="65A54D7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2500</w:t>
            </w:r>
          </w:p>
        </w:tc>
        <w:tc>
          <w:tcPr>
            <w:tcW w:w="700" w:type="pct"/>
            <w:vAlign w:val="center"/>
          </w:tcPr>
          <w:p w14:paraId="38D47736">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0.00003</w:t>
            </w:r>
          </w:p>
        </w:tc>
      </w:tr>
      <w:tr w14:paraId="2A02D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89" w:type="pct"/>
            <w:vAlign w:val="center"/>
          </w:tcPr>
          <w:p w14:paraId="544FC93F">
            <w:pPr>
              <w:keepNext w:val="0"/>
              <w:keepLines w:val="0"/>
              <w:pageBreakBefore w:val="0"/>
              <w:widowControl w:val="0"/>
              <w:kinsoku/>
              <w:wordWrap/>
              <w:topLinePunct w:val="0"/>
              <w:bidi w:val="0"/>
              <w:spacing w:after="0"/>
              <w:jc w:val="cente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2</w:t>
            </w:r>
          </w:p>
        </w:tc>
        <w:tc>
          <w:tcPr>
            <w:tcW w:w="1188" w:type="pct"/>
            <w:vMerge w:val="continue"/>
            <w:vAlign w:val="center"/>
          </w:tcPr>
          <w:p w14:paraId="74D5CA91">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p>
        </w:tc>
        <w:tc>
          <w:tcPr>
            <w:tcW w:w="798" w:type="pct"/>
            <w:vAlign w:val="center"/>
          </w:tcPr>
          <w:p w14:paraId="5EE6F5FA">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伴生气</w:t>
            </w:r>
            <w:r>
              <w:rPr>
                <w:rFonts w:hint="default" w:ascii="Times New Roman" w:hAnsi="Times New Roman" w:cs="Times New Roman"/>
                <w:color w:val="000000" w:themeColor="text1"/>
                <w:highlight w:val="none"/>
                <w:lang w:eastAsia="zh-CN"/>
                <w14:textFill>
                  <w14:solidFill>
                    <w14:schemeClr w14:val="tx1"/>
                  </w14:solidFill>
                </w14:textFill>
              </w:rPr>
              <w:t>（甲烷）</w:t>
            </w:r>
          </w:p>
        </w:tc>
        <w:tc>
          <w:tcPr>
            <w:tcW w:w="780" w:type="pct"/>
            <w:vAlign w:val="center"/>
          </w:tcPr>
          <w:p w14:paraId="758C84E1">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74-82-8</w:t>
            </w:r>
          </w:p>
        </w:tc>
        <w:tc>
          <w:tcPr>
            <w:tcW w:w="714" w:type="pct"/>
            <w:vAlign w:val="center"/>
          </w:tcPr>
          <w:p w14:paraId="761D4D0C">
            <w:pPr>
              <w:pStyle w:val="4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0.001</w:t>
            </w:r>
          </w:p>
        </w:tc>
        <w:tc>
          <w:tcPr>
            <w:tcW w:w="527" w:type="pct"/>
            <w:vAlign w:val="center"/>
          </w:tcPr>
          <w:p w14:paraId="45AF68F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700" w:type="pct"/>
            <w:vAlign w:val="center"/>
          </w:tcPr>
          <w:p w14:paraId="1FF5CC5E">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0.0001</w:t>
            </w:r>
          </w:p>
        </w:tc>
      </w:tr>
    </w:tbl>
    <w:p w14:paraId="3E1F49E3">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（2）评价等级</w:t>
      </w:r>
    </w:p>
    <w:p w14:paraId="38A033FD">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根据《建设项目环境风险评价技术导则》（HJ169-2018）中评价等级的判定方法（见</w:t>
      </w:r>
      <w:r>
        <w:rPr>
          <w:rFonts w:hint="eastAsia" w:ascii="Times New Roman" w:hAnsi="Times New Roman" w:cs="Times New Roman"/>
          <w:color w:val="000000" w:themeColor="text1"/>
          <w:highlight w:val="none"/>
          <w:lang w:eastAsia="zh-CN"/>
          <w14:textFill>
            <w14:solidFill>
              <w14:schemeClr w14:val="tx1"/>
            </w14:solidFill>
          </w14:textFill>
        </w:rPr>
        <w:t>表2.6-</w:t>
      </w:r>
      <w:r>
        <w:rPr>
          <w:rFonts w:hint="eastAsia" w:ascii="Times New Roman" w:hAnsi="Times New Roman" w:cs="Times New Roman"/>
          <w:color w:val="000000" w:themeColor="text1"/>
          <w:highlight w:val="none"/>
          <w:lang w:val="en-US" w:eastAsia="zh-CN"/>
          <w14:textFill>
            <w14:solidFill>
              <w14:schemeClr w14:val="tx1"/>
            </w14:solidFill>
          </w14:textFill>
        </w:rPr>
        <w:t>14</w:t>
      </w:r>
      <w:r>
        <w:rPr>
          <w:rFonts w:hint="default" w:ascii="Times New Roman" w:hAnsi="Times New Roman" w:cs="Times New Roman"/>
          <w:color w:val="000000" w:themeColor="text1"/>
          <w:highlight w:val="none"/>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Q</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0.0</w:t>
      </w:r>
      <w:r>
        <w:rPr>
          <w:rFonts w:hint="eastAsia" w:ascii="Times New Roman" w:hAnsi="Times New Roman" w:cs="Times New Roman"/>
          <w:color w:val="000000" w:themeColor="text1"/>
          <w:highlight w:val="none"/>
          <w:lang w:val="en-US" w:eastAsia="zh-CN"/>
          <w14:textFill>
            <w14:solidFill>
              <w14:schemeClr w14:val="tx1"/>
            </w14:solidFill>
          </w14:textFill>
        </w:rPr>
        <w:t>0013</w:t>
      </w:r>
      <w:r>
        <w:rPr>
          <w:rFonts w:hint="default" w:ascii="Times New Roman" w:hAnsi="Times New Roman" w:cs="Times New Roman"/>
          <w:color w:val="000000" w:themeColor="text1"/>
          <w:highlight w:val="none"/>
          <w:lang w:val="en-US" w:eastAsia="zh-CN"/>
          <w14:textFill>
            <w14:solidFill>
              <w14:schemeClr w14:val="tx1"/>
            </w14:solidFill>
          </w14:textFill>
        </w:rPr>
        <w:t>&lt;</w:t>
      </w:r>
      <w:r>
        <w:rPr>
          <w:rFonts w:hint="default" w:ascii="Times New Roman" w:hAnsi="Times New Roman" w:cs="Times New Roman"/>
          <w:color w:val="000000" w:themeColor="text1"/>
          <w:highlight w:val="none"/>
          <w14:textFill>
            <w14:solidFill>
              <w14:schemeClr w14:val="tx1"/>
            </w14:solidFill>
          </w14:textFill>
        </w:rPr>
        <w:t>1，环境风险潜势为</w:t>
      </w:r>
      <w:r>
        <w:rPr>
          <w:rFonts w:hint="default" w:ascii="Times New Roman" w:hAnsi="Times New Roman" w:cs="Times New Roman"/>
          <w:color w:val="000000" w:themeColor="text1"/>
          <w:highlight w:val="none"/>
          <w:lang w:val="en-US" w:eastAsia="zh-CN"/>
          <w14:textFill>
            <w14:solidFill>
              <w14:schemeClr w14:val="tx1"/>
            </w14:solidFill>
          </w14:textFill>
        </w:rPr>
        <w:t>I</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则</w:t>
      </w:r>
      <w:r>
        <w:rPr>
          <w:rFonts w:hint="default" w:ascii="Times New Roman" w:hAnsi="Times New Roman" w:cs="Times New Roman"/>
          <w:color w:val="000000" w:themeColor="text1"/>
          <w:highlight w:val="none"/>
          <w14:textFill>
            <w14:solidFill>
              <w14:schemeClr w14:val="tx1"/>
            </w14:solidFill>
          </w14:textFill>
        </w:rPr>
        <w:t>本工程风险评价等级为简单分析</w:t>
      </w:r>
      <w:r>
        <w:rPr>
          <w:rFonts w:hint="default" w:ascii="Times New Roman" w:hAnsi="Times New Roman" w:cs="Times New Roman"/>
          <w:color w:val="000000" w:themeColor="text1"/>
          <w:highlight w:val="none"/>
          <w:lang w:eastAsia="zh-CN"/>
          <w14:textFill>
            <w14:solidFill>
              <w14:schemeClr w14:val="tx1"/>
            </w14:solidFill>
          </w14:textFill>
        </w:rPr>
        <w:t>。</w:t>
      </w:r>
    </w:p>
    <w:p w14:paraId="7301A0A5">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szCs w:val="24"/>
          <w:highlight w:val="none"/>
          <w:lang w:val="en-US" w:eastAsia="zh-CN"/>
          <w14:textFill>
            <w14:solidFill>
              <w14:schemeClr w14:val="tx1"/>
            </w14:solidFill>
          </w14:textFill>
        </w:rPr>
      </w:pPr>
      <w:r>
        <w:rPr>
          <w:rFonts w:hint="eastAsia" w:ascii="Times New Roman" w:hAnsi="Times New Roman" w:cs="Times New Roman"/>
          <w:color w:val="000000" w:themeColor="text1"/>
          <w:szCs w:val="24"/>
          <w:highlight w:val="none"/>
          <w:lang w:val="en-US" w:eastAsia="zh-CN"/>
          <w14:textFill>
            <w14:solidFill>
              <w14:schemeClr w14:val="tx1"/>
            </w14:solidFill>
          </w14:textFill>
        </w:rPr>
        <w:t>表2.6-14</w:t>
      </w:r>
      <w:r>
        <w:rPr>
          <w:rFonts w:hint="default" w:ascii="Times New Roman" w:hAnsi="Times New Roman" w:cs="Times New Roman"/>
          <w:color w:val="000000" w:themeColor="text1"/>
          <w:szCs w:val="24"/>
          <w:highlight w:val="none"/>
          <w:lang w:val="en-US" w:eastAsia="zh-CN"/>
          <w14:textFill>
            <w14:solidFill>
              <w14:schemeClr w14:val="tx1"/>
            </w14:solidFill>
          </w14:textFill>
        </w:rPr>
        <w:t>评价工作等级划分</w:t>
      </w:r>
    </w:p>
    <w:tbl>
      <w:tblPr>
        <w:tblStyle w:val="1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739"/>
        <w:gridCol w:w="1640"/>
        <w:gridCol w:w="1887"/>
        <w:gridCol w:w="1887"/>
        <w:gridCol w:w="2135"/>
      </w:tblGrid>
      <w:tr w14:paraId="090BDE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36" w:type="pct"/>
            <w:tcBorders>
              <w:top w:val="single" w:color="000000" w:sz="12" w:space="0"/>
              <w:left w:val="single" w:color="000000" w:sz="12" w:space="0"/>
              <w:bottom w:val="single" w:color="000000" w:sz="6" w:space="0"/>
              <w:right w:val="single" w:color="000000" w:sz="6" w:space="0"/>
            </w:tcBorders>
            <w:vAlign w:val="center"/>
          </w:tcPr>
          <w:p w14:paraId="2A7D8069">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bCs/>
                <w:color w:val="000000" w:themeColor="text1"/>
                <w:kern w:val="2"/>
                <w:highlight w:val="none"/>
                <w14:textFill>
                  <w14:solidFill>
                    <w14:schemeClr w14:val="tx1"/>
                  </w14:solidFill>
                </w14:textFill>
              </w:rPr>
              <w:t>环境风险潜势</w:t>
            </w:r>
          </w:p>
        </w:tc>
        <w:tc>
          <w:tcPr>
            <w:tcW w:w="883" w:type="pct"/>
            <w:tcBorders>
              <w:top w:val="single" w:color="000000" w:sz="12" w:space="0"/>
              <w:left w:val="single" w:color="000000" w:sz="6" w:space="0"/>
              <w:bottom w:val="single" w:color="000000" w:sz="6" w:space="0"/>
              <w:right w:val="single" w:color="000000" w:sz="6" w:space="0"/>
            </w:tcBorders>
            <w:vAlign w:val="center"/>
          </w:tcPr>
          <w:p w14:paraId="30D47A66">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color w:val="000000" w:themeColor="text1"/>
                <w:kern w:val="2"/>
                <w:highlight w:val="none"/>
                <w14:textFill>
                  <w14:solidFill>
                    <w14:schemeClr w14:val="tx1"/>
                  </w14:solidFill>
                </w14:textFill>
              </w:rPr>
              <w:t>Ⅳ、Ⅳ</w:t>
            </w:r>
            <w:r>
              <w:rPr>
                <w:rFonts w:hint="default" w:ascii="Times New Roman" w:hAnsi="Times New Roman" w:cs="Times New Roman"/>
                <w:b/>
                <w:color w:val="000000" w:themeColor="text1"/>
                <w:kern w:val="2"/>
                <w:highlight w:val="none"/>
                <w:vertAlign w:val="superscript"/>
                <w14:textFill>
                  <w14:solidFill>
                    <w14:schemeClr w14:val="tx1"/>
                  </w14:solidFill>
                </w14:textFill>
              </w:rPr>
              <w:t>+</w:t>
            </w:r>
          </w:p>
        </w:tc>
        <w:tc>
          <w:tcPr>
            <w:tcW w:w="1016" w:type="pct"/>
            <w:tcBorders>
              <w:top w:val="single" w:color="000000" w:sz="12" w:space="0"/>
              <w:left w:val="single" w:color="000000" w:sz="6" w:space="0"/>
              <w:bottom w:val="single" w:color="000000" w:sz="6" w:space="0"/>
              <w:right w:val="single" w:color="000000" w:sz="6" w:space="0"/>
            </w:tcBorders>
            <w:vAlign w:val="center"/>
          </w:tcPr>
          <w:p w14:paraId="332188AB">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color w:val="000000" w:themeColor="text1"/>
                <w:kern w:val="2"/>
                <w:highlight w:val="none"/>
                <w14:textFill>
                  <w14:solidFill>
                    <w14:schemeClr w14:val="tx1"/>
                  </w14:solidFill>
                </w14:textFill>
              </w:rPr>
              <w:t>Ⅲ</w:t>
            </w:r>
          </w:p>
        </w:tc>
        <w:tc>
          <w:tcPr>
            <w:tcW w:w="1016" w:type="pct"/>
            <w:tcBorders>
              <w:top w:val="single" w:color="000000" w:sz="12" w:space="0"/>
              <w:left w:val="single" w:color="000000" w:sz="6" w:space="0"/>
              <w:bottom w:val="single" w:color="000000" w:sz="6" w:space="0"/>
              <w:right w:val="single" w:color="000000" w:sz="6" w:space="0"/>
            </w:tcBorders>
            <w:vAlign w:val="center"/>
          </w:tcPr>
          <w:p w14:paraId="0DB963F5">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color w:val="000000" w:themeColor="text1"/>
                <w:kern w:val="2"/>
                <w:highlight w:val="none"/>
                <w14:textFill>
                  <w14:solidFill>
                    <w14:schemeClr w14:val="tx1"/>
                  </w14:solidFill>
                </w14:textFill>
              </w:rPr>
              <w:t>Ⅱ</w:t>
            </w:r>
          </w:p>
        </w:tc>
        <w:tc>
          <w:tcPr>
            <w:tcW w:w="1149" w:type="pct"/>
            <w:tcBorders>
              <w:top w:val="single" w:color="000000" w:sz="12" w:space="0"/>
              <w:left w:val="single" w:color="000000" w:sz="6" w:space="0"/>
              <w:bottom w:val="single" w:color="000000" w:sz="6" w:space="0"/>
              <w:right w:val="single" w:color="000000" w:sz="12" w:space="0"/>
            </w:tcBorders>
            <w:vAlign w:val="center"/>
          </w:tcPr>
          <w:p w14:paraId="644BF22D">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color w:val="000000" w:themeColor="text1"/>
                <w:kern w:val="2"/>
                <w:highlight w:val="none"/>
                <w14:textFill>
                  <w14:solidFill>
                    <w14:schemeClr w14:val="tx1"/>
                  </w14:solidFill>
                </w14:textFill>
              </w:rPr>
              <w:t>Ⅰ</w:t>
            </w:r>
          </w:p>
        </w:tc>
      </w:tr>
      <w:tr w14:paraId="4A5B5F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936" w:type="pct"/>
            <w:tcBorders>
              <w:top w:val="single" w:color="000000" w:sz="6" w:space="0"/>
              <w:left w:val="single" w:color="000000" w:sz="12" w:space="0"/>
              <w:bottom w:val="single" w:color="000000" w:sz="6" w:space="0"/>
              <w:right w:val="single" w:color="000000" w:sz="6" w:space="0"/>
            </w:tcBorders>
            <w:vAlign w:val="center"/>
          </w:tcPr>
          <w:p w14:paraId="26BF35F3">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color w:val="000000" w:themeColor="text1"/>
                <w:kern w:val="2"/>
                <w:highlight w:val="none"/>
                <w14:textFill>
                  <w14:solidFill>
                    <w14:schemeClr w14:val="tx1"/>
                  </w14:solidFill>
                </w14:textFill>
              </w:rPr>
              <w:t>评价工作等级</w:t>
            </w:r>
          </w:p>
        </w:tc>
        <w:tc>
          <w:tcPr>
            <w:tcW w:w="883" w:type="pct"/>
            <w:tcBorders>
              <w:top w:val="single" w:color="000000" w:sz="6" w:space="0"/>
              <w:left w:val="single" w:color="000000" w:sz="6" w:space="0"/>
              <w:bottom w:val="single" w:color="000000" w:sz="6" w:space="0"/>
              <w:right w:val="single" w:color="000000" w:sz="6" w:space="0"/>
            </w:tcBorders>
            <w:vAlign w:val="center"/>
          </w:tcPr>
          <w:p w14:paraId="0A3C7F53">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color w:val="000000" w:themeColor="text1"/>
                <w:kern w:val="2"/>
                <w:highlight w:val="none"/>
                <w14:textFill>
                  <w14:solidFill>
                    <w14:schemeClr w14:val="tx1"/>
                  </w14:solidFill>
                </w14:textFill>
              </w:rPr>
              <w:t>一</w:t>
            </w:r>
          </w:p>
        </w:tc>
        <w:tc>
          <w:tcPr>
            <w:tcW w:w="1016" w:type="pct"/>
            <w:tcBorders>
              <w:top w:val="single" w:color="000000" w:sz="6" w:space="0"/>
              <w:left w:val="single" w:color="000000" w:sz="6" w:space="0"/>
              <w:bottom w:val="single" w:color="000000" w:sz="6" w:space="0"/>
              <w:right w:val="single" w:color="000000" w:sz="6" w:space="0"/>
            </w:tcBorders>
            <w:vAlign w:val="center"/>
          </w:tcPr>
          <w:p w14:paraId="0D53E592">
            <w:pPr>
              <w:pStyle w:val="56"/>
              <w:keepNext w:val="0"/>
              <w:keepLines w:val="0"/>
              <w:pageBreakBefore w:val="0"/>
              <w:widowControl w:val="0"/>
              <w:kinsoku/>
              <w:wordWrap/>
              <w:topLinePunct w:val="0"/>
              <w:bidi w:val="0"/>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color w:val="000000" w:themeColor="text1"/>
                <w:kern w:val="2"/>
                <w:highlight w:val="none"/>
                <w14:textFill>
                  <w14:solidFill>
                    <w14:schemeClr w14:val="tx1"/>
                  </w14:solidFill>
                </w14:textFill>
              </w:rPr>
              <w:t>二</w:t>
            </w:r>
          </w:p>
        </w:tc>
        <w:tc>
          <w:tcPr>
            <w:tcW w:w="1016" w:type="pct"/>
            <w:tcBorders>
              <w:top w:val="single" w:color="000000" w:sz="6" w:space="0"/>
              <w:left w:val="single" w:color="000000" w:sz="6" w:space="0"/>
              <w:bottom w:val="single" w:color="000000" w:sz="6" w:space="0"/>
              <w:right w:val="single" w:color="000000" w:sz="6" w:space="0"/>
            </w:tcBorders>
            <w:vAlign w:val="center"/>
          </w:tcPr>
          <w:p w14:paraId="7E31B612">
            <w:pPr>
              <w:pStyle w:val="56"/>
              <w:keepNext w:val="0"/>
              <w:keepLines w:val="0"/>
              <w:pageBreakBefore w:val="0"/>
              <w:widowControl w:val="0"/>
              <w:kinsoku/>
              <w:wordWrap/>
              <w:topLinePunct w:val="0"/>
              <w:bidi w:val="0"/>
              <w:rPr>
                <w:rFonts w:hint="default" w:ascii="Times New Roman" w:hAnsi="Times New Roman" w:cs="Times New Roman"/>
                <w:b w:val="0"/>
                <w:bCs/>
                <w:color w:val="000000" w:themeColor="text1"/>
                <w:kern w:val="2"/>
                <w:highlight w:val="none"/>
                <w14:textFill>
                  <w14:solidFill>
                    <w14:schemeClr w14:val="tx1"/>
                  </w14:solidFill>
                </w14:textFill>
              </w:rPr>
            </w:pPr>
            <w:r>
              <w:rPr>
                <w:rFonts w:hint="default" w:ascii="Times New Roman" w:hAnsi="Times New Roman" w:cs="Times New Roman"/>
                <w:b w:val="0"/>
                <w:bCs/>
                <w:color w:val="000000" w:themeColor="text1"/>
                <w:kern w:val="2"/>
                <w:highlight w:val="none"/>
                <w14:textFill>
                  <w14:solidFill>
                    <w14:schemeClr w14:val="tx1"/>
                  </w14:solidFill>
                </w14:textFill>
              </w:rPr>
              <w:t>三</w:t>
            </w:r>
          </w:p>
        </w:tc>
        <w:tc>
          <w:tcPr>
            <w:tcW w:w="1149" w:type="pct"/>
            <w:tcBorders>
              <w:top w:val="single" w:color="000000" w:sz="6" w:space="0"/>
              <w:left w:val="single" w:color="000000" w:sz="6" w:space="0"/>
              <w:bottom w:val="single" w:color="000000" w:sz="6" w:space="0"/>
              <w:right w:val="single" w:color="000000" w:sz="12" w:space="0"/>
            </w:tcBorders>
            <w:vAlign w:val="center"/>
          </w:tcPr>
          <w:p w14:paraId="75D9A605">
            <w:pPr>
              <w:pStyle w:val="56"/>
              <w:keepNext w:val="0"/>
              <w:keepLines w:val="0"/>
              <w:pageBreakBefore w:val="0"/>
              <w:widowControl w:val="0"/>
              <w:kinsoku/>
              <w:wordWrap/>
              <w:topLinePunct w:val="0"/>
              <w:bidi w:val="0"/>
              <w:rPr>
                <w:rFonts w:hint="default" w:ascii="Times New Roman" w:hAnsi="Times New Roman" w:cs="Times New Roman"/>
                <w:b w:val="0"/>
                <w:bCs/>
                <w:color w:val="000000" w:themeColor="text1"/>
                <w:kern w:val="2"/>
                <w:highlight w:val="none"/>
                <w14:textFill>
                  <w14:solidFill>
                    <w14:schemeClr w14:val="tx1"/>
                  </w14:solidFill>
                </w14:textFill>
              </w:rPr>
            </w:pPr>
            <w:r>
              <w:rPr>
                <w:rFonts w:hint="default" w:ascii="Times New Roman" w:hAnsi="Times New Roman" w:cs="Times New Roman"/>
                <w:b w:val="0"/>
                <w:bCs/>
                <w:color w:val="000000" w:themeColor="text1"/>
                <w:kern w:val="2"/>
                <w:highlight w:val="none"/>
                <w14:textFill>
                  <w14:solidFill>
                    <w14:schemeClr w14:val="tx1"/>
                  </w14:solidFill>
                </w14:textFill>
              </w:rPr>
              <w:t>简单分析</w:t>
            </w:r>
            <w:r>
              <w:rPr>
                <w:rFonts w:hint="default" w:ascii="Times New Roman" w:hAnsi="Times New Roman" w:cs="Times New Roman"/>
                <w:b w:val="0"/>
                <w:bCs/>
                <w:color w:val="000000" w:themeColor="text1"/>
                <w:kern w:val="2"/>
                <w:highlight w:val="none"/>
                <w:vertAlign w:val="superscript"/>
                <w14:textFill>
                  <w14:solidFill>
                    <w14:schemeClr w14:val="tx1"/>
                  </w14:solidFill>
                </w14:textFill>
              </w:rPr>
              <w:t>a</w:t>
            </w:r>
          </w:p>
        </w:tc>
      </w:tr>
      <w:tr w14:paraId="7EA73F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000" w:type="pct"/>
            <w:gridSpan w:val="5"/>
            <w:tcBorders>
              <w:top w:val="single" w:color="000000" w:sz="6" w:space="0"/>
              <w:left w:val="single" w:color="000000" w:sz="12" w:space="0"/>
              <w:bottom w:val="single" w:color="000000" w:sz="12" w:space="0"/>
              <w:right w:val="single" w:color="000000" w:sz="12" w:space="0"/>
            </w:tcBorders>
            <w:vAlign w:val="center"/>
          </w:tcPr>
          <w:p w14:paraId="13E16316">
            <w:pPr>
              <w:pStyle w:val="56"/>
              <w:keepNext w:val="0"/>
              <w:keepLines w:val="0"/>
              <w:pageBreakBefore w:val="0"/>
              <w:widowControl w:val="0"/>
              <w:kinsoku/>
              <w:wordWrap/>
              <w:topLinePunct w:val="0"/>
              <w:bidi w:val="0"/>
              <w:jc w:val="both"/>
              <w:rPr>
                <w:rFonts w:hint="default" w:ascii="Times New Roman" w:hAnsi="Times New Roman" w:cs="Times New Roman"/>
                <w:color w:val="000000" w:themeColor="text1"/>
                <w:kern w:val="2"/>
                <w:highlight w:val="none"/>
                <w14:textFill>
                  <w14:solidFill>
                    <w14:schemeClr w14:val="tx1"/>
                  </w14:solidFill>
                </w14:textFill>
              </w:rPr>
            </w:pPr>
            <w:r>
              <w:rPr>
                <w:rFonts w:hint="default" w:ascii="Times New Roman" w:hAnsi="Times New Roman" w:cs="Times New Roman"/>
                <w:b w:val="0"/>
                <w:bCs/>
                <w:color w:val="000000" w:themeColor="text1"/>
                <w:kern w:val="2"/>
                <w:highlight w:val="none"/>
                <w14:textFill>
                  <w14:solidFill>
                    <w14:schemeClr w14:val="tx1"/>
                  </w14:solidFill>
                </w14:textFill>
              </w:rPr>
              <w:t>a是相对于详细评价工作内容而言，在描述危险物质、环境影响途径、环境危害后果、风险防范措施等方面给出定性的说明。见附录导则A。</w:t>
            </w:r>
          </w:p>
        </w:tc>
      </w:tr>
    </w:tbl>
    <w:p w14:paraId="519DD31A">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50" w:name="_Toc25232"/>
      <w:bookmarkStart w:id="51" w:name="_Toc19627"/>
      <w:r>
        <w:rPr>
          <w:rFonts w:hint="default" w:ascii="Times New Roman" w:hAnsi="Times New Roman" w:eastAsia="宋体" w:cs="Times New Roman"/>
          <w:b/>
          <w:color w:val="000000" w:themeColor="text1"/>
          <w:sz w:val="28"/>
          <w:szCs w:val="28"/>
          <w:highlight w:val="none"/>
          <w14:textFill>
            <w14:solidFill>
              <w14:schemeClr w14:val="tx1"/>
            </w14:solidFill>
          </w14:textFill>
        </w:rPr>
        <w:t>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8"/>
          <w:szCs w:val="28"/>
          <w:highlight w:val="none"/>
          <w14:textFill>
            <w14:solidFill>
              <w14:schemeClr w14:val="tx1"/>
            </w14:solidFill>
          </w14:textFill>
        </w:rPr>
        <w:t>评价范围</w:t>
      </w:r>
      <w:bookmarkEnd w:id="50"/>
      <w:bookmarkEnd w:id="51"/>
    </w:p>
    <w:p w14:paraId="1EAFFEE4">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1大气环境影响评价范围</w:t>
      </w:r>
    </w:p>
    <w:p w14:paraId="400E2D79">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cs="Times New Roman" w:eastAsiaTheme="minorEastAsia"/>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大气</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评价</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等级为三级，</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根据《环境影响评价技术导则大气环境》（HJ2.2-2018），无需</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设置大气影响评价范围，本项目为</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油田内部集输</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改造工程，考虑建设项目特点，确定本项目大气环境保护目标为管道中心线两侧各200m范围内，具体见附图2-1</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66CA2105">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2地表水</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环境影响评价范围</w:t>
      </w:r>
    </w:p>
    <w:p w14:paraId="147535AB">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地表水环境》</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HJ2.3-2018</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中关于地表水评价等级为三级B的评价范围要求，涉及地表水环境风险的，应覆盖环境风险影响范围所及的水环境保护目标水域。因此本项目地表水评价范围为区域内地表水体</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宋芳屯排水沟。</w:t>
      </w:r>
    </w:p>
    <w:p w14:paraId="11339817">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地</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下</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水环境影响评价范围</w:t>
      </w:r>
    </w:p>
    <w:p w14:paraId="073919EF">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kern w:val="0"/>
          <w:sz w:val="22"/>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地下水环境》（HJ610-2016）要求，线性工程应以工程边界两侧向外延伸200m作为调查评价范围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；根据现场调查情况，</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综合考虑周边的地下水环境保护目标分布情况、现状布点情况，结合该区域地下水流向，最终确定本项目地下水评价范围为新建升1-2集油阀组间1环集油管道、升1-2集油阀组间6环集油管道边界两侧向外延伸400m、其余新建管道边界两侧向外延伸200m范围</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，地下水评价范围见附图2-2</w:t>
      </w:r>
      <w:r>
        <w:rPr>
          <w:rFonts w:hint="default" w:ascii="Times New Roman" w:hAnsi="Times New Roman" w:eastAsia="宋体" w:cs="Times New Roman"/>
          <w:color w:val="000000" w:themeColor="text1"/>
          <w:kern w:val="0"/>
          <w:sz w:val="22"/>
          <w:szCs w:val="24"/>
          <w:highlight w:val="none"/>
          <w14:textFill>
            <w14:solidFill>
              <w14:schemeClr w14:val="tx1"/>
            </w14:solidFill>
          </w14:textFill>
        </w:rPr>
        <w:t>。</w:t>
      </w:r>
    </w:p>
    <w:p w14:paraId="24037C1D">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声环境影响评价范围</w:t>
      </w:r>
    </w:p>
    <w:p w14:paraId="0D6A6CAE">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本工程声环境评价范围为管道边界外扩200m范围内的声环境</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声环境影响评价范围见附图2-1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1D3545CA">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生态环境影响评价范围</w:t>
      </w:r>
    </w:p>
    <w:p w14:paraId="37D6224C">
      <w:pPr>
        <w:pStyle w:val="36"/>
        <w:keepNext w:val="0"/>
        <w:keepLines w:val="0"/>
        <w:pageBreakBefore w:val="0"/>
        <w:widowControl w:val="0"/>
        <w:kinsoku/>
        <w:wordWrap/>
        <w:topLinePunct w:val="0"/>
        <w:bidi w:val="0"/>
        <w:ind w:firstLine="480"/>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本工程生态环境评价范围为新建管道中心线两侧各300m的生态环境，</w:t>
      </w:r>
      <w:r>
        <w:rPr>
          <w:rFonts w:hint="default" w:ascii="Times New Roman" w:hAnsi="Times New Roman" w:cs="Times New Roman"/>
          <w:color w:val="000000" w:themeColor="text1"/>
          <w:highlight w:val="none"/>
          <w:lang w:eastAsia="zh-CN"/>
          <w14:textFill>
            <w14:solidFill>
              <w14:schemeClr w14:val="tx1"/>
            </w14:solidFill>
          </w14:textFill>
        </w:rPr>
        <w:t>生态环境影响评价范围图见附图</w:t>
      </w:r>
      <w:r>
        <w:rPr>
          <w:rFonts w:hint="default" w:ascii="Times New Roman" w:hAnsi="Times New Roman" w:cs="Times New Roman"/>
          <w:color w:val="000000" w:themeColor="text1"/>
          <w:highlight w:val="none"/>
          <w:lang w:val="en-US" w:eastAsia="zh-CN"/>
          <w14:textFill>
            <w14:solidFill>
              <w14:schemeClr w14:val="tx1"/>
            </w14:solidFill>
          </w14:textFill>
        </w:rPr>
        <w:t>2-1</w:t>
      </w:r>
      <w:r>
        <w:rPr>
          <w:rFonts w:hint="default" w:ascii="Times New Roman" w:hAnsi="Times New Roman" w:cs="Times New Roman"/>
          <w:color w:val="000000" w:themeColor="text1"/>
          <w:highlight w:val="none"/>
          <w14:textFill>
            <w14:solidFill>
              <w14:schemeClr w14:val="tx1"/>
            </w14:solidFill>
          </w14:textFill>
        </w:rPr>
        <w:t>。</w:t>
      </w:r>
    </w:p>
    <w:p w14:paraId="229F8E64">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环境风险评价范围</w:t>
      </w:r>
    </w:p>
    <w:p w14:paraId="3A865EC5">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本项目环境风险潜势为</w:t>
      </w:r>
      <w:r>
        <w:rPr>
          <w:rFonts w:hint="default" w:ascii="Times New Roman" w:hAnsi="Times New Roman" w:cs="Times New Roman" w:eastAsiaTheme="minorEastAsia"/>
          <w:color w:val="000000" w:themeColor="text1"/>
          <w:szCs w:val="24"/>
          <w:highlight w:val="none"/>
          <w:lang w:val="en-US" w:eastAsia="zh-CN"/>
          <w14:textFill>
            <w14:solidFill>
              <w14:schemeClr w14:val="tx1"/>
            </w14:solidFill>
          </w14:textFill>
        </w:rPr>
        <w:t>I</w:t>
      </w:r>
      <w:r>
        <w:rPr>
          <w:rFonts w:hint="default" w:ascii="Times New Roman" w:hAnsi="Times New Roman" w:cs="Times New Roman" w:eastAsiaTheme="minorEastAsia"/>
          <w:color w:val="000000" w:themeColor="text1"/>
          <w:szCs w:val="24"/>
          <w:highlight w:val="none"/>
          <w14:textFill>
            <w14:solidFill>
              <w14:schemeClr w14:val="tx1"/>
            </w14:solidFill>
          </w14:textFill>
        </w:rPr>
        <w:t>，风险评价等级为简单分析，无需设置评价范围。</w:t>
      </w:r>
    </w:p>
    <w:p w14:paraId="20B6C46A">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土壤环境影响评价范围</w:t>
      </w:r>
    </w:p>
    <w:p w14:paraId="1AD1FF23">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根据《环境影响评价技术导则土壤环境（试行）》（HJ964-2018）中相关规定，本项目涉及的</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为污染型建设项目二级评价，调查范围包括</w:t>
      </w:r>
      <w:r>
        <w:rPr>
          <w:rFonts w:hint="eastAsia" w:cs="Times New Roman"/>
          <w:snapToGrid w:val="0"/>
          <w:color w:val="000000" w:themeColor="text1"/>
          <w:sz w:val="24"/>
          <w:szCs w:val="20"/>
          <w:highlight w:val="none"/>
          <w:lang w:val="en-US" w:eastAsia="zh-CN" w:bidi="ar-SA"/>
          <w14:textFill>
            <w14:solidFill>
              <w14:schemeClr w14:val="tx1"/>
            </w14:solidFill>
          </w14:textFill>
        </w:rPr>
        <w:t>新建管道中心线</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两侧向外延伸</w:t>
      </w:r>
      <w:r>
        <w:rPr>
          <w:rFonts w:hint="eastAsia" w:cs="Times New Roman"/>
          <w:snapToGrid w:val="0"/>
          <w:color w:val="000000" w:themeColor="text1"/>
          <w:sz w:val="24"/>
          <w:szCs w:val="20"/>
          <w:highlight w:val="none"/>
          <w:lang w:val="en-US" w:eastAsia="zh-CN" w:bidi="ar-SA"/>
          <w14:textFill>
            <w14:solidFill>
              <w14:schemeClr w14:val="tx1"/>
            </w14:solidFill>
          </w14:textFill>
        </w:rPr>
        <w:t>200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m作为调查评价范围，</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土壤影响评价范围见附图2-1。</w:t>
      </w:r>
    </w:p>
    <w:p w14:paraId="0BDAAD93">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bookmarkStart w:id="52" w:name="_Toc17866"/>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2.7.</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各环境要素评价范围汇总</w:t>
      </w:r>
    </w:p>
    <w:p w14:paraId="23C682AE">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各环境要素评价范围详见</w:t>
      </w:r>
      <w:r>
        <w:rPr>
          <w:rFonts w:hint="eastAsia" w:cs="Times New Roman"/>
          <w:color w:val="000000" w:themeColor="text1"/>
          <w:highlight w:val="none"/>
          <w:lang w:eastAsia="zh-CN"/>
          <w14:textFill>
            <w14:solidFill>
              <w14:schemeClr w14:val="tx1"/>
            </w14:solidFill>
          </w14:textFill>
        </w:rPr>
        <w:t>表2.7-</w:t>
      </w:r>
      <w:r>
        <w:rPr>
          <w:rFonts w:hint="default" w:ascii="Times New Roman" w:hAnsi="Times New Roman" w:cs="Times New Roman"/>
          <w:color w:val="000000" w:themeColor="text1"/>
          <w:highlight w:val="none"/>
          <w14:textFill>
            <w14:solidFill>
              <w14:schemeClr w14:val="tx1"/>
            </w14:solidFill>
          </w14:textFill>
        </w:rPr>
        <w:t>1。</w:t>
      </w:r>
    </w:p>
    <w:p w14:paraId="5EC09E1C">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表2.7-</w:t>
      </w:r>
      <w:r>
        <w:rPr>
          <w:rFonts w:hint="default" w:ascii="Times New Roman" w:hAnsi="Times New Roman" w:eastAsia="宋体" w:cs="Times New Roman"/>
          <w:color w:val="000000" w:themeColor="text1"/>
          <w:highlight w:val="none"/>
          <w:lang w:val="en-US" w:eastAsia="zh-CN"/>
          <w14:textFill>
            <w14:solidFill>
              <w14:schemeClr w14:val="tx1"/>
            </w14:solidFill>
          </w14:textFill>
        </w:rPr>
        <w:t>1评价范围表</w:t>
      </w:r>
    </w:p>
    <w:tbl>
      <w:tblPr>
        <w:tblStyle w:val="18"/>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1083"/>
        <w:gridCol w:w="6289"/>
      </w:tblGrid>
      <w:tr w14:paraId="5721F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916" w:type="dxa"/>
            <w:tcBorders>
              <w:tl2br w:val="nil"/>
              <w:tr2bl w:val="nil"/>
            </w:tcBorders>
            <w:vAlign w:val="center"/>
          </w:tcPr>
          <w:p w14:paraId="1D55D9B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t>项目</w:t>
            </w:r>
          </w:p>
        </w:tc>
        <w:tc>
          <w:tcPr>
            <w:tcW w:w="1083" w:type="dxa"/>
            <w:tcBorders>
              <w:tl2br w:val="nil"/>
              <w:tr2bl w:val="nil"/>
            </w:tcBorders>
            <w:vAlign w:val="center"/>
          </w:tcPr>
          <w:p w14:paraId="0A9F630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t>评价等级</w:t>
            </w:r>
          </w:p>
        </w:tc>
        <w:tc>
          <w:tcPr>
            <w:tcW w:w="6289" w:type="dxa"/>
            <w:tcBorders>
              <w:tl2br w:val="nil"/>
              <w:tr2bl w:val="nil"/>
            </w:tcBorders>
            <w:vAlign w:val="center"/>
          </w:tcPr>
          <w:p w14:paraId="39551C0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en-US" w:bidi="ar-SA"/>
                <w14:textFill>
                  <w14:solidFill>
                    <w14:schemeClr w14:val="tx1"/>
                  </w14:solidFill>
                </w14:textFill>
              </w:rPr>
              <w:t>评价范围</w:t>
            </w:r>
          </w:p>
        </w:tc>
      </w:tr>
      <w:tr w14:paraId="189EA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16" w:type="dxa"/>
            <w:tcBorders>
              <w:tl2br w:val="nil"/>
              <w:tr2bl w:val="nil"/>
            </w:tcBorders>
            <w:vAlign w:val="center"/>
          </w:tcPr>
          <w:p w14:paraId="477F1C1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环境空气</w:t>
            </w:r>
          </w:p>
        </w:tc>
        <w:tc>
          <w:tcPr>
            <w:tcW w:w="1083" w:type="dxa"/>
            <w:tcBorders>
              <w:tl2br w:val="nil"/>
              <w:tr2bl w:val="nil"/>
            </w:tcBorders>
            <w:vAlign w:val="center"/>
          </w:tcPr>
          <w:p w14:paraId="03F0E7C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三级</w:t>
            </w:r>
          </w:p>
        </w:tc>
        <w:tc>
          <w:tcPr>
            <w:tcW w:w="6289" w:type="dxa"/>
            <w:tcBorders>
              <w:tl2br w:val="nil"/>
              <w:tr2bl w:val="nil"/>
            </w:tcBorders>
            <w:vAlign w:val="center"/>
          </w:tcPr>
          <w:p w14:paraId="311DE0A8">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新建</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管道中心线两侧各200m范围内。</w:t>
            </w:r>
          </w:p>
        </w:tc>
      </w:tr>
      <w:tr w14:paraId="08E8B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916" w:type="dxa"/>
            <w:tcBorders>
              <w:tl2br w:val="nil"/>
              <w:tr2bl w:val="nil"/>
            </w:tcBorders>
            <w:vAlign w:val="center"/>
          </w:tcPr>
          <w:p w14:paraId="794B721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声环境</w:t>
            </w:r>
          </w:p>
        </w:tc>
        <w:tc>
          <w:tcPr>
            <w:tcW w:w="1083" w:type="dxa"/>
            <w:tcBorders>
              <w:tl2br w:val="nil"/>
              <w:tr2bl w:val="nil"/>
            </w:tcBorders>
            <w:vAlign w:val="center"/>
          </w:tcPr>
          <w:p w14:paraId="5FE22EA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二级</w:t>
            </w:r>
          </w:p>
        </w:tc>
        <w:tc>
          <w:tcPr>
            <w:tcW w:w="6289" w:type="dxa"/>
            <w:tcBorders>
              <w:tl2br w:val="nil"/>
              <w:tr2bl w:val="nil"/>
            </w:tcBorders>
            <w:vAlign w:val="center"/>
          </w:tcPr>
          <w:p w14:paraId="1407CA57">
            <w:pPr>
              <w:keepNext w:val="0"/>
              <w:keepLines w:val="0"/>
              <w:pageBreakBefore w:val="0"/>
              <w:widowControl w:val="0"/>
              <w:kinsoku/>
              <w:wordWrap/>
              <w:topLinePunct w:val="0"/>
              <w:bidi w:val="0"/>
              <w:adjustRightInd/>
              <w:snapToGrid/>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新建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外扩200m范围内的声环境</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6C438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916" w:type="dxa"/>
            <w:tcBorders>
              <w:tl2br w:val="nil"/>
              <w:tr2bl w:val="nil"/>
            </w:tcBorders>
            <w:vAlign w:val="center"/>
          </w:tcPr>
          <w:p w14:paraId="1AF8FF6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地表水环境</w:t>
            </w:r>
          </w:p>
        </w:tc>
        <w:tc>
          <w:tcPr>
            <w:tcW w:w="1083" w:type="dxa"/>
            <w:tcBorders>
              <w:tl2br w:val="nil"/>
              <w:tr2bl w:val="nil"/>
            </w:tcBorders>
            <w:vAlign w:val="center"/>
          </w:tcPr>
          <w:p w14:paraId="7270E3E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三级B</w:t>
            </w:r>
          </w:p>
        </w:tc>
        <w:tc>
          <w:tcPr>
            <w:tcW w:w="6289" w:type="dxa"/>
            <w:tcBorders>
              <w:tl2br w:val="nil"/>
              <w:tr2bl w:val="nil"/>
            </w:tcBorders>
            <w:vAlign w:val="center"/>
          </w:tcPr>
          <w:p w14:paraId="04DC8422">
            <w:pPr>
              <w:keepNext w:val="0"/>
              <w:keepLines w:val="0"/>
              <w:pageBreakBefore w:val="0"/>
              <w:widowControl w:val="0"/>
              <w:kinsoku/>
              <w:wordWrap/>
              <w:topLinePunct w:val="0"/>
              <w:bidi w:val="0"/>
              <w:adjustRightInd/>
              <w:snapToGrid/>
              <w:spacing w:after="0"/>
              <w:ind w:firstLine="420" w:firstLineChars="200"/>
              <w:jc w:val="both"/>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宋芳屯排水沟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4935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16" w:type="dxa"/>
            <w:tcBorders>
              <w:tl2br w:val="nil"/>
              <w:tr2bl w:val="nil"/>
            </w:tcBorders>
            <w:vAlign w:val="center"/>
          </w:tcPr>
          <w:p w14:paraId="64BE37AE">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地下水环境</w:t>
            </w:r>
          </w:p>
        </w:tc>
        <w:tc>
          <w:tcPr>
            <w:tcW w:w="1083" w:type="dxa"/>
            <w:tcBorders>
              <w:tl2br w:val="nil"/>
              <w:tr2bl w:val="nil"/>
            </w:tcBorders>
            <w:vAlign w:val="center"/>
          </w:tcPr>
          <w:p w14:paraId="36360E2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二</w:t>
            </w: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级</w:t>
            </w:r>
          </w:p>
        </w:tc>
        <w:tc>
          <w:tcPr>
            <w:tcW w:w="6289" w:type="dxa"/>
            <w:tcBorders>
              <w:tl2br w:val="nil"/>
              <w:tr2bl w:val="nil"/>
            </w:tcBorders>
            <w:vAlign w:val="center"/>
          </w:tcPr>
          <w:p w14:paraId="73B68603">
            <w:pPr>
              <w:keepNext w:val="0"/>
              <w:keepLines w:val="0"/>
              <w:pageBreakBefore w:val="0"/>
              <w:widowControl w:val="0"/>
              <w:kinsoku/>
              <w:wordWrap/>
              <w:topLinePunct w:val="0"/>
              <w:bidi w:val="0"/>
              <w:adjustRightInd/>
              <w:snapToGrid/>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新建升1-2集油阀组间1环集油管道、升1-2集油阀组间6环集油管道边界两侧向外延伸400m、其余新建管道边界两侧向外延伸200m范围。</w:t>
            </w:r>
          </w:p>
        </w:tc>
      </w:tr>
      <w:tr w14:paraId="48C11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16" w:type="dxa"/>
            <w:tcBorders>
              <w:tl2br w:val="nil"/>
              <w:tr2bl w:val="nil"/>
            </w:tcBorders>
            <w:vAlign w:val="center"/>
          </w:tcPr>
          <w:p w14:paraId="19368D1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土壤环境</w:t>
            </w:r>
          </w:p>
        </w:tc>
        <w:tc>
          <w:tcPr>
            <w:tcW w:w="1083" w:type="dxa"/>
            <w:tcBorders>
              <w:tl2br w:val="nil"/>
              <w:tr2bl w:val="nil"/>
            </w:tcBorders>
            <w:vAlign w:val="center"/>
          </w:tcPr>
          <w:p w14:paraId="65617B9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二级</w:t>
            </w:r>
          </w:p>
        </w:tc>
        <w:tc>
          <w:tcPr>
            <w:tcW w:w="6289" w:type="dxa"/>
            <w:tcBorders>
              <w:tl2br w:val="nil"/>
              <w:tr2bl w:val="nil"/>
            </w:tcBorders>
            <w:vAlign w:val="center"/>
          </w:tcPr>
          <w:p w14:paraId="2EDC47FD">
            <w:pPr>
              <w:keepNext w:val="0"/>
              <w:keepLines w:val="0"/>
              <w:pageBreakBefore w:val="0"/>
              <w:widowControl w:val="0"/>
              <w:kinsoku/>
              <w:wordWrap/>
              <w:topLinePunct w:val="0"/>
              <w:bidi w:val="0"/>
              <w:adjustRightInd/>
              <w:snapToGrid/>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新建管道中心线两侧</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向外延伸</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200m的</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土壤环境。</w:t>
            </w:r>
          </w:p>
        </w:tc>
      </w:tr>
      <w:tr w14:paraId="5A605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916" w:type="dxa"/>
            <w:tcBorders>
              <w:tl2br w:val="nil"/>
              <w:tr2bl w:val="nil"/>
            </w:tcBorders>
            <w:vAlign w:val="center"/>
          </w:tcPr>
          <w:p w14:paraId="5252ACA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生态环境</w:t>
            </w:r>
          </w:p>
        </w:tc>
        <w:tc>
          <w:tcPr>
            <w:tcW w:w="1083" w:type="dxa"/>
            <w:tcBorders>
              <w:tl2br w:val="nil"/>
              <w:tr2bl w:val="nil"/>
            </w:tcBorders>
            <w:vAlign w:val="center"/>
          </w:tcPr>
          <w:p w14:paraId="3858CA8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三级</w:t>
            </w:r>
          </w:p>
        </w:tc>
        <w:tc>
          <w:tcPr>
            <w:tcW w:w="6289" w:type="dxa"/>
            <w:tcBorders>
              <w:tl2br w:val="nil"/>
              <w:tr2bl w:val="nil"/>
            </w:tcBorders>
            <w:vAlign w:val="center"/>
          </w:tcPr>
          <w:p w14:paraId="0FCB006A">
            <w:pPr>
              <w:keepNext w:val="0"/>
              <w:keepLines w:val="0"/>
              <w:pageBreakBefore w:val="0"/>
              <w:widowControl w:val="0"/>
              <w:kinsoku/>
              <w:wordWrap/>
              <w:topLinePunct w:val="0"/>
              <w:bidi w:val="0"/>
              <w:adjustRightInd/>
              <w:snapToGrid/>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新建管道中心线两侧各300m</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范围。</w:t>
            </w:r>
          </w:p>
        </w:tc>
      </w:tr>
      <w:tr w14:paraId="4F512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1916" w:type="dxa"/>
            <w:tcBorders>
              <w:tl2br w:val="nil"/>
              <w:tr2bl w:val="nil"/>
            </w:tcBorders>
            <w:vAlign w:val="center"/>
          </w:tcPr>
          <w:p w14:paraId="7E43245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环境风险</w:t>
            </w:r>
          </w:p>
        </w:tc>
        <w:tc>
          <w:tcPr>
            <w:tcW w:w="1083" w:type="dxa"/>
            <w:tcBorders>
              <w:tl2br w:val="nil"/>
              <w:tr2bl w:val="nil"/>
            </w:tcBorders>
            <w:vAlign w:val="center"/>
          </w:tcPr>
          <w:p w14:paraId="38F48A9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简单分析</w:t>
            </w:r>
          </w:p>
        </w:tc>
        <w:tc>
          <w:tcPr>
            <w:tcW w:w="6289" w:type="dxa"/>
            <w:tcBorders>
              <w:tl2br w:val="nil"/>
              <w:tr2bl w:val="nil"/>
            </w:tcBorders>
            <w:vAlign w:val="center"/>
          </w:tcPr>
          <w:p w14:paraId="73536EC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en-US" w:bidi="ar-SA"/>
                <w14:textFill>
                  <w14:solidFill>
                    <w14:schemeClr w14:val="tx1"/>
                  </w14:solidFill>
                </w14:textFill>
              </w:rPr>
              <w:t>/</w:t>
            </w:r>
          </w:p>
        </w:tc>
      </w:tr>
    </w:tbl>
    <w:p w14:paraId="28ACB7C0">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53" w:name="_Toc8014"/>
      <w:r>
        <w:rPr>
          <w:rFonts w:hint="default" w:ascii="Times New Roman" w:hAnsi="Times New Roman" w:eastAsia="宋体" w:cs="Times New Roman"/>
          <w:b/>
          <w:color w:val="000000" w:themeColor="text1"/>
          <w:sz w:val="28"/>
          <w:szCs w:val="28"/>
          <w:highlight w:val="none"/>
          <w14:textFill>
            <w14:solidFill>
              <w14:schemeClr w14:val="tx1"/>
            </w14:solidFill>
          </w14:textFill>
        </w:rPr>
        <w:t>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8"/>
          <w:szCs w:val="28"/>
          <w:highlight w:val="none"/>
          <w14:textFill>
            <w14:solidFill>
              <w14:schemeClr w14:val="tx1"/>
            </w14:solidFill>
          </w14:textFill>
        </w:rPr>
        <w:t>主要环境保护目标</w:t>
      </w:r>
      <w:bookmarkEnd w:id="52"/>
      <w:bookmarkEnd w:id="53"/>
    </w:p>
    <w:p w14:paraId="6BD44DBF">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不涉及国家公园、自然保护区、风景名胜区、世界文化和自然遗产地、海洋特别保护区、饮用水水源保护区；也不涉及除上述敏感区外的生态保护红线管控范围，基本草原、自然公园（森林公园、地质公园、海洋公园等）、重要湿地、天然林，重点保护野生动物栖息地，重点保护野生植物生长繁殖地，重要水生生物的自然产卵场、索饵场、</w:t>
      </w:r>
      <w:r>
        <w:rPr>
          <w:rFonts w:hint="default" w:ascii="Times New Roman" w:hAnsi="Times New Roman" w:eastAsia="宋体" w:cs="Times New Roman"/>
          <w:color w:val="000000" w:themeColor="text1"/>
          <w:sz w:val="24"/>
          <w:szCs w:val="24"/>
          <w:highlight w:val="none"/>
          <w14:textFill>
            <w14:solidFill>
              <w14:schemeClr w14:val="tx1"/>
            </w14:solidFill>
          </w14:textFill>
        </w:rPr>
        <w:t>越冬场和洄游通道，天然渔场，水土流失重点预防区、沙化土地封禁保护区以及文物保护单位</w:t>
      </w:r>
      <w:r>
        <w:rPr>
          <w:rFonts w:hint="default" w:ascii="Times New Roman" w:hAnsi="Times New Roman" w:cs="Times New Roman"/>
          <w:color w:val="000000" w:themeColor="text1"/>
          <w:highlight w:val="none"/>
          <w14:textFill>
            <w14:solidFill>
              <w14:schemeClr w14:val="tx1"/>
            </w14:solidFill>
          </w14:textFill>
        </w:rPr>
        <w:t>。</w:t>
      </w:r>
    </w:p>
    <w:p w14:paraId="3BE54ACE">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大气环境保护目标见表2.</w:t>
      </w:r>
      <w:r>
        <w:rPr>
          <w:rFonts w:hint="eastAsia" w:ascii="Times New Roman" w:hAnsi="Times New Roman" w:cs="Times New Roman"/>
          <w:color w:val="000000" w:themeColor="text1"/>
          <w:sz w:val="24"/>
          <w:szCs w:val="28"/>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，地下水</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环境保护目标见表2.</w:t>
      </w:r>
      <w:r>
        <w:rPr>
          <w:rFonts w:hint="eastAsia" w:ascii="Times New Roman" w:hAnsi="Times New Roman" w:cs="Times New Roman"/>
          <w:color w:val="000000" w:themeColor="text1"/>
          <w:sz w:val="24"/>
          <w:szCs w:val="28"/>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-2，声环境保护目标见表2.</w:t>
      </w:r>
      <w:r>
        <w:rPr>
          <w:rFonts w:hint="eastAsia" w:ascii="Times New Roman" w:hAnsi="Times New Roman" w:cs="Times New Roman"/>
          <w:color w:val="000000" w:themeColor="text1"/>
          <w:sz w:val="24"/>
          <w:szCs w:val="28"/>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-3，其他环境要素保护目标见表2.</w:t>
      </w:r>
      <w:r>
        <w:rPr>
          <w:rFonts w:hint="eastAsia" w:ascii="Times New Roman" w:hAnsi="Times New Roman" w:cs="Times New Roman"/>
          <w:color w:val="000000" w:themeColor="text1"/>
          <w:sz w:val="24"/>
          <w:szCs w:val="28"/>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-4，本项目环境风险为简单分析，不设置环境风险评价范围。主要环境保护目标分布图见附图2-</w:t>
      </w:r>
      <w:r>
        <w:rPr>
          <w:rFonts w:hint="eastAsia" w:ascii="Times New Roman" w:hAnsi="Times New Roman" w:cs="Times New Roman"/>
          <w:color w:val="000000" w:themeColor="text1"/>
          <w:sz w:val="24"/>
          <w:szCs w:val="28"/>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p>
    <w:p w14:paraId="77225C5E">
      <w:pPr>
        <w:pStyle w:val="38"/>
        <w:keepNext w:val="0"/>
        <w:keepLines w:val="0"/>
        <w:pageBreakBefore w:val="0"/>
        <w:widowControl w:val="0"/>
        <w:kinsoku/>
        <w:wordWrap/>
        <w:topLinePunct w:val="0"/>
        <w:bidi w:val="0"/>
        <w:ind w:left="0" w:leftChars="0" w:firstLine="0" w:firstLineChars="0"/>
        <w:jc w:val="center"/>
        <w:rPr>
          <w:rStyle w:val="43"/>
          <w:rFonts w:hint="default" w:ascii="Times New Roman" w:hAnsi="Times New Roman" w:cs="Times New Roman"/>
          <w:b/>
          <w:color w:val="000000" w:themeColor="text1"/>
          <w:highlight w:val="none"/>
          <w14:textFill>
            <w14:solidFill>
              <w14:schemeClr w14:val="tx1"/>
            </w14:solidFill>
          </w14:textFill>
        </w:rPr>
        <w:sectPr>
          <w:headerReference r:id="rId10" w:type="default"/>
          <w:footerReference r:id="rId11" w:type="default"/>
          <w:pgSz w:w="11906" w:h="16838"/>
          <w:pgMar w:top="1417" w:right="1417" w:bottom="1417" w:left="1417" w:header="850" w:footer="1020" w:gutter="0"/>
          <w:pgBorders>
            <w:top w:val="none" w:sz="0" w:space="0"/>
            <w:left w:val="none" w:sz="0" w:space="0"/>
            <w:bottom w:val="none" w:sz="0" w:space="0"/>
            <w:right w:val="none" w:sz="0" w:space="0"/>
          </w:pgBorders>
          <w:pgNumType w:fmt="decimal"/>
          <w:cols w:space="708" w:num="1"/>
          <w:docGrid w:linePitch="360" w:charSpace="0"/>
        </w:sectPr>
      </w:pPr>
    </w:p>
    <w:p w14:paraId="4F615966">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Style w:val="43"/>
          <w:rFonts w:hint="default" w:ascii="Times New Roman" w:hAnsi="Times New Roman" w:cs="Times New Roman"/>
          <w:b/>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8</w:t>
      </w:r>
      <w:r>
        <w:rPr>
          <w:rStyle w:val="43"/>
          <w:rFonts w:hint="default" w:ascii="Times New Roman" w:hAnsi="Times New Roman" w:cs="Times New Roman"/>
          <w:b/>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大气环境保护目标统计表</w:t>
      </w:r>
    </w:p>
    <w:p w14:paraId="77CCCD8D">
      <w:pPr>
        <w:keepNext w:val="0"/>
        <w:keepLines w:val="0"/>
        <w:pageBreakBefore w:val="0"/>
        <w:widowControl w:val="0"/>
        <w:kinsoku/>
        <w:wordWrap/>
        <w:topLinePunct w:val="0"/>
        <w:bidi w:val="0"/>
        <w:spacing w:after="0" w:line="30" w:lineRule="exact"/>
        <w:rPr>
          <w:rFonts w:hint="default" w:ascii="Times New Roman" w:hAnsi="Times New Roman" w:eastAsia="宋体" w:cs="Times New Roman"/>
          <w:color w:val="000000" w:themeColor="text1"/>
          <w:sz w:val="4"/>
          <w:szCs w:val="4"/>
          <w:highlight w:val="none"/>
          <w14:textFill>
            <w14:solidFill>
              <w14:schemeClr w14:val="tx1"/>
            </w14:solidFill>
          </w14:textFill>
        </w:rPr>
      </w:pPr>
    </w:p>
    <w:tbl>
      <w:tblPr>
        <w:tblStyle w:val="57"/>
        <w:tblW w:w="498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14"/>
        <w:gridCol w:w="1577"/>
        <w:gridCol w:w="1275"/>
        <w:gridCol w:w="1200"/>
        <w:gridCol w:w="1860"/>
        <w:gridCol w:w="967"/>
        <w:gridCol w:w="1450"/>
        <w:gridCol w:w="4633"/>
        <w:gridCol w:w="810"/>
      </w:tblGrid>
      <w:tr w14:paraId="402813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5" w:type="pct"/>
            <w:vMerge w:val="restart"/>
            <w:vAlign w:val="center"/>
          </w:tcPr>
          <w:p w14:paraId="6061EA78">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序号</w:t>
            </w:r>
          </w:p>
        </w:tc>
        <w:tc>
          <w:tcPr>
            <w:tcW w:w="555" w:type="pct"/>
            <w:vMerge w:val="restart"/>
            <w:vAlign w:val="center"/>
          </w:tcPr>
          <w:p w14:paraId="3DB37B2D">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名称</w:t>
            </w:r>
          </w:p>
        </w:tc>
        <w:tc>
          <w:tcPr>
            <w:tcW w:w="872" w:type="pct"/>
            <w:gridSpan w:val="2"/>
            <w:vAlign w:val="center"/>
          </w:tcPr>
          <w:p w14:paraId="144E40C5">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坐标</w:t>
            </w:r>
          </w:p>
        </w:tc>
        <w:tc>
          <w:tcPr>
            <w:tcW w:w="655" w:type="pct"/>
            <w:vMerge w:val="restart"/>
            <w:vAlign w:val="center"/>
          </w:tcPr>
          <w:p w14:paraId="748536E8">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保护对象</w:t>
            </w:r>
          </w:p>
        </w:tc>
        <w:tc>
          <w:tcPr>
            <w:tcW w:w="340" w:type="pct"/>
            <w:vMerge w:val="restart"/>
            <w:vAlign w:val="center"/>
          </w:tcPr>
          <w:p w14:paraId="351ECD6E">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保护</w:t>
            </w:r>
          </w:p>
          <w:p w14:paraId="16505695">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内容</w:t>
            </w:r>
          </w:p>
        </w:tc>
        <w:tc>
          <w:tcPr>
            <w:tcW w:w="511" w:type="pct"/>
            <w:vMerge w:val="restart"/>
            <w:vAlign w:val="center"/>
          </w:tcPr>
          <w:p w14:paraId="6D24CA96">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环境功能</w:t>
            </w: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区</w:t>
            </w:r>
          </w:p>
        </w:tc>
        <w:tc>
          <w:tcPr>
            <w:tcW w:w="1632" w:type="pct"/>
            <w:vMerge w:val="restart"/>
            <w:vAlign w:val="center"/>
          </w:tcPr>
          <w:p w14:paraId="43F03A1F">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相对方位</w:t>
            </w:r>
          </w:p>
        </w:tc>
        <w:tc>
          <w:tcPr>
            <w:tcW w:w="285" w:type="pct"/>
            <w:vMerge w:val="restart"/>
            <w:vAlign w:val="center"/>
          </w:tcPr>
          <w:p w14:paraId="11F2D0F9">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相对距离</w:t>
            </w:r>
          </w:p>
        </w:tc>
      </w:tr>
      <w:tr w14:paraId="3FF9CA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45" w:type="pct"/>
            <w:vMerge w:val="continue"/>
            <w:vAlign w:val="center"/>
          </w:tcPr>
          <w:p w14:paraId="13FE89B1">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555" w:type="pct"/>
            <w:vMerge w:val="continue"/>
            <w:vAlign w:val="center"/>
          </w:tcPr>
          <w:p w14:paraId="5AAA175B">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449" w:type="pct"/>
            <w:vAlign w:val="center"/>
          </w:tcPr>
          <w:p w14:paraId="46B2C76A">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经度</w:t>
            </w:r>
          </w:p>
        </w:tc>
        <w:tc>
          <w:tcPr>
            <w:tcW w:w="422" w:type="pct"/>
            <w:vAlign w:val="center"/>
          </w:tcPr>
          <w:p w14:paraId="730BC739">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纬度</w:t>
            </w:r>
          </w:p>
        </w:tc>
        <w:tc>
          <w:tcPr>
            <w:tcW w:w="655" w:type="pct"/>
            <w:vMerge w:val="continue"/>
            <w:vAlign w:val="center"/>
          </w:tcPr>
          <w:p w14:paraId="20F24FB9">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340" w:type="pct"/>
            <w:vMerge w:val="continue"/>
            <w:vAlign w:val="center"/>
          </w:tcPr>
          <w:p w14:paraId="11828539">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511" w:type="pct"/>
            <w:vMerge w:val="continue"/>
            <w:vAlign w:val="center"/>
          </w:tcPr>
          <w:p w14:paraId="4CDE843E">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1632" w:type="pct"/>
            <w:vMerge w:val="continue"/>
            <w:vAlign w:val="center"/>
          </w:tcPr>
          <w:p w14:paraId="03C1C21F">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285" w:type="pct"/>
            <w:vMerge w:val="continue"/>
            <w:vAlign w:val="center"/>
          </w:tcPr>
          <w:p w14:paraId="46B37FC1">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r>
      <w:tr w14:paraId="1A0BE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5" w:type="pct"/>
            <w:vAlign w:val="center"/>
          </w:tcPr>
          <w:p w14:paraId="4B5EFD6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555" w:type="pct"/>
            <w:vAlign w:val="center"/>
          </w:tcPr>
          <w:p w14:paraId="6303223C">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盛广和屯</w:t>
            </w:r>
          </w:p>
        </w:tc>
        <w:tc>
          <w:tcPr>
            <w:tcW w:w="449" w:type="pct"/>
            <w:vAlign w:val="center"/>
          </w:tcPr>
          <w:p w14:paraId="31D27EBE">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en-US" w:bidi="ar-SA"/>
                <w14:textFill>
                  <w14:solidFill>
                    <w14:schemeClr w14:val="tx1"/>
                  </w14:solidFill>
                </w14:textFill>
              </w:rPr>
              <w:t>125.040797</w:t>
            </w:r>
          </w:p>
        </w:tc>
        <w:tc>
          <w:tcPr>
            <w:tcW w:w="422" w:type="pct"/>
            <w:vAlign w:val="center"/>
          </w:tcPr>
          <w:p w14:paraId="29B29570">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45.987077</w:t>
            </w:r>
          </w:p>
        </w:tc>
        <w:tc>
          <w:tcPr>
            <w:tcW w:w="655" w:type="pct"/>
            <w:vAlign w:val="center"/>
          </w:tcPr>
          <w:p w14:paraId="4A3786D9">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约</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90</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户，</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270</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人</w:t>
            </w:r>
          </w:p>
        </w:tc>
        <w:tc>
          <w:tcPr>
            <w:tcW w:w="340" w:type="pct"/>
            <w:vMerge w:val="restart"/>
            <w:vAlign w:val="center"/>
          </w:tcPr>
          <w:p w14:paraId="06E602A7">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居住区空气质量</w:t>
            </w:r>
          </w:p>
        </w:tc>
        <w:tc>
          <w:tcPr>
            <w:tcW w:w="511" w:type="pct"/>
            <w:vMerge w:val="restart"/>
            <w:vAlign w:val="center"/>
          </w:tcPr>
          <w:p w14:paraId="3A371954">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二类区</w:t>
            </w:r>
          </w:p>
        </w:tc>
        <w:tc>
          <w:tcPr>
            <w:tcW w:w="1632" w:type="pct"/>
            <w:vAlign w:val="center"/>
          </w:tcPr>
          <w:p w14:paraId="3E829E41">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p>
        </w:tc>
        <w:tc>
          <w:tcPr>
            <w:tcW w:w="285" w:type="pct"/>
            <w:vAlign w:val="center"/>
          </w:tcPr>
          <w:p w14:paraId="7E5AEA2D">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85</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m</w:t>
            </w:r>
          </w:p>
        </w:tc>
      </w:tr>
      <w:tr w14:paraId="056A81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5" w:type="pct"/>
            <w:vAlign w:val="center"/>
          </w:tcPr>
          <w:p w14:paraId="2D02388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555" w:type="pct"/>
            <w:vAlign w:val="center"/>
          </w:tcPr>
          <w:p w14:paraId="16281A9F">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宋芳屯居住区</w:t>
            </w:r>
          </w:p>
        </w:tc>
        <w:tc>
          <w:tcPr>
            <w:tcW w:w="449" w:type="pct"/>
            <w:vAlign w:val="center"/>
          </w:tcPr>
          <w:p w14:paraId="5F5F4B88">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125.070537</w:t>
            </w:r>
          </w:p>
        </w:tc>
        <w:tc>
          <w:tcPr>
            <w:tcW w:w="422" w:type="pct"/>
            <w:vAlign w:val="center"/>
          </w:tcPr>
          <w:p w14:paraId="5566B47A">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45.987961</w:t>
            </w:r>
          </w:p>
        </w:tc>
        <w:tc>
          <w:tcPr>
            <w:tcW w:w="655" w:type="pct"/>
            <w:vAlign w:val="center"/>
          </w:tcPr>
          <w:p w14:paraId="23A2EA31">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约</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户，</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人</w:t>
            </w:r>
          </w:p>
        </w:tc>
        <w:tc>
          <w:tcPr>
            <w:tcW w:w="340" w:type="pct"/>
            <w:vMerge w:val="continue"/>
            <w:vAlign w:val="center"/>
          </w:tcPr>
          <w:p w14:paraId="78D7C821">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511" w:type="pct"/>
            <w:vMerge w:val="continue"/>
            <w:vAlign w:val="center"/>
          </w:tcPr>
          <w:p w14:paraId="301E1D4A">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1632" w:type="pct"/>
            <w:vAlign w:val="center"/>
          </w:tcPr>
          <w:p w14:paraId="67174DA0">
            <w:pPr>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p>
        </w:tc>
        <w:tc>
          <w:tcPr>
            <w:tcW w:w="285" w:type="pct"/>
            <w:vAlign w:val="center"/>
          </w:tcPr>
          <w:p w14:paraId="11A45057">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120</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m</w:t>
            </w:r>
          </w:p>
        </w:tc>
      </w:tr>
      <w:tr w14:paraId="3A538E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5" w:type="pct"/>
            <w:vAlign w:val="center"/>
          </w:tcPr>
          <w:p w14:paraId="5E82D0A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555" w:type="pct"/>
            <w:vAlign w:val="center"/>
          </w:tcPr>
          <w:p w14:paraId="602252F7">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散户1</w:t>
            </w:r>
          </w:p>
        </w:tc>
        <w:tc>
          <w:tcPr>
            <w:tcW w:w="449" w:type="pct"/>
            <w:vAlign w:val="center"/>
          </w:tcPr>
          <w:p w14:paraId="03BD1A28">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124.950883</w:t>
            </w:r>
          </w:p>
        </w:tc>
        <w:tc>
          <w:tcPr>
            <w:tcW w:w="422" w:type="pct"/>
            <w:vAlign w:val="center"/>
          </w:tcPr>
          <w:p w14:paraId="66533916">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45.972457</w:t>
            </w:r>
          </w:p>
        </w:tc>
        <w:tc>
          <w:tcPr>
            <w:tcW w:w="655" w:type="pct"/>
            <w:vAlign w:val="center"/>
          </w:tcPr>
          <w:p w14:paraId="3E787B42">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户，</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人</w:t>
            </w:r>
          </w:p>
        </w:tc>
        <w:tc>
          <w:tcPr>
            <w:tcW w:w="340" w:type="pct"/>
            <w:vMerge w:val="continue"/>
            <w:vAlign w:val="center"/>
          </w:tcPr>
          <w:p w14:paraId="5841F758">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511" w:type="pct"/>
            <w:vMerge w:val="continue"/>
            <w:vAlign w:val="center"/>
          </w:tcPr>
          <w:p w14:paraId="5EF55493">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pPr>
          </w:p>
        </w:tc>
        <w:tc>
          <w:tcPr>
            <w:tcW w:w="1632" w:type="pct"/>
            <w:vAlign w:val="center"/>
          </w:tcPr>
          <w:p w14:paraId="3C61EB05">
            <w:pPr>
              <w:pStyle w:val="49"/>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东侧</w:t>
            </w:r>
          </w:p>
        </w:tc>
        <w:tc>
          <w:tcPr>
            <w:tcW w:w="285" w:type="pct"/>
            <w:vAlign w:val="center"/>
          </w:tcPr>
          <w:p w14:paraId="6D215B0A">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195m</w:t>
            </w:r>
          </w:p>
        </w:tc>
      </w:tr>
    </w:tbl>
    <w:p w14:paraId="322B80D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表2.</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-2地下水环境保护目标表</w:t>
      </w:r>
    </w:p>
    <w:p w14:paraId="30644C7D">
      <w:pPr>
        <w:keepNext w:val="0"/>
        <w:keepLines w:val="0"/>
        <w:pageBreakBefore w:val="0"/>
        <w:widowControl w:val="0"/>
        <w:kinsoku/>
        <w:wordWrap/>
        <w:topLinePunct w:val="0"/>
        <w:bidi w:val="0"/>
        <w:spacing w:after="0" w:line="30" w:lineRule="exact"/>
        <w:rPr>
          <w:rFonts w:hint="default" w:ascii="Times New Roman" w:hAnsi="Times New Roman" w:eastAsia="宋体" w:cs="Times New Roman"/>
          <w:color w:val="000000" w:themeColor="text1"/>
          <w:sz w:val="4"/>
          <w:szCs w:val="4"/>
          <w:highlight w:val="none"/>
          <w14:textFill>
            <w14:solidFill>
              <w14:schemeClr w14:val="tx1"/>
            </w14:solidFill>
          </w14:textFill>
        </w:rPr>
      </w:pPr>
    </w:p>
    <w:tbl>
      <w:tblPr>
        <w:tblStyle w:val="57"/>
        <w:tblW w:w="498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32"/>
        <w:gridCol w:w="3077"/>
        <w:gridCol w:w="6757"/>
        <w:gridCol w:w="2123"/>
      </w:tblGrid>
      <w:tr w14:paraId="2C89F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786" w:type="pct"/>
            <w:tcBorders>
              <w:tl2br w:val="nil"/>
              <w:tr2bl w:val="nil"/>
            </w:tcBorders>
            <w:vAlign w:val="center"/>
          </w:tcPr>
          <w:p w14:paraId="047E8102">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地下水井名称</w:t>
            </w:r>
          </w:p>
        </w:tc>
        <w:tc>
          <w:tcPr>
            <w:tcW w:w="1084" w:type="pct"/>
            <w:tcBorders>
              <w:tl2br w:val="nil"/>
              <w:tr2bl w:val="nil"/>
            </w:tcBorders>
            <w:vAlign w:val="center"/>
          </w:tcPr>
          <w:p w14:paraId="48DA3DFA">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与本项目相对方位及最近距离</w:t>
            </w:r>
          </w:p>
        </w:tc>
        <w:tc>
          <w:tcPr>
            <w:tcW w:w="2381" w:type="pct"/>
            <w:tcBorders>
              <w:tl2br w:val="nil"/>
              <w:tr2bl w:val="nil"/>
            </w:tcBorders>
            <w:vAlign w:val="center"/>
          </w:tcPr>
          <w:p w14:paraId="558E0AC0">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规模</w:t>
            </w:r>
          </w:p>
        </w:tc>
        <w:tc>
          <w:tcPr>
            <w:tcW w:w="748" w:type="pct"/>
            <w:tcBorders>
              <w:tl2br w:val="nil"/>
              <w:tr2bl w:val="nil"/>
            </w:tcBorders>
            <w:vAlign w:val="center"/>
          </w:tcPr>
          <w:p w14:paraId="4F758401">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en-US" w:bidi="ar-SA"/>
                <w14:textFill>
                  <w14:solidFill>
                    <w14:schemeClr w14:val="tx1"/>
                  </w14:solidFill>
                </w14:textFill>
              </w:rPr>
              <w:t>保护级别</w:t>
            </w:r>
          </w:p>
        </w:tc>
      </w:tr>
      <w:tr w14:paraId="19CD5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8" w:hRule="atLeast"/>
        </w:trPr>
        <w:tc>
          <w:tcPr>
            <w:tcW w:w="786" w:type="pct"/>
            <w:vAlign w:val="center"/>
          </w:tcPr>
          <w:p w14:paraId="3A09597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宋芳屯居住区水源井</w:t>
            </w:r>
          </w:p>
        </w:tc>
        <w:tc>
          <w:tcPr>
            <w:tcW w:w="1084" w:type="pct"/>
            <w:vAlign w:val="center"/>
          </w:tcPr>
          <w:p w14:paraId="7FD6C6D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芳3转油站外输油管道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南侧120m</w:t>
            </w:r>
          </w:p>
        </w:tc>
        <w:tc>
          <w:tcPr>
            <w:tcW w:w="2381" w:type="pct"/>
            <w:vAlign w:val="center"/>
          </w:tcPr>
          <w:p w14:paraId="7F7E2BD6">
            <w:pPr>
              <w:keepNext w:val="0"/>
              <w:keepLines w:val="0"/>
              <w:pageBreakBefore w:val="0"/>
              <w:widowControl w:val="0"/>
              <w:kinsoku/>
              <w:wordWrap/>
              <w:overflowPunct/>
              <w:topLinePunct w:val="0"/>
              <w:autoSpaceDE/>
              <w:autoSpaceDN/>
              <w:bidi w:val="0"/>
              <w:adjustRightInd/>
              <w:snapToGrid/>
              <w:spacing w:after="0"/>
              <w:ind w:left="0" w:leftChars="0" w:firstLine="420" w:firstLineChars="200"/>
              <w:contextualSpacing/>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居住区内每户有1口自建机井，</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井深约</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50—80</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m</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。自建机井多用于灌溉及喂养牲畜，小部分用于临时饮用水取水水源</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48" w:type="pct"/>
            <w:vAlign w:val="center"/>
          </w:tcPr>
          <w:p w14:paraId="45B1294E">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《地下水质量标准》（GB/T14848-2017）III类标准</w:t>
            </w:r>
          </w:p>
        </w:tc>
      </w:tr>
    </w:tbl>
    <w:p w14:paraId="6B9184F9">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表2.</w:t>
      </w:r>
      <w:r>
        <w:rPr>
          <w:rFonts w:hint="eastAsia"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-3工业企业声环境保护目标调查表</w:t>
      </w:r>
    </w:p>
    <w:tbl>
      <w:tblPr>
        <w:tblStyle w:val="57"/>
        <w:tblW w:w="142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09"/>
        <w:gridCol w:w="1084"/>
        <w:gridCol w:w="1075"/>
        <w:gridCol w:w="5301"/>
        <w:gridCol w:w="1292"/>
        <w:gridCol w:w="4959"/>
      </w:tblGrid>
      <w:tr w14:paraId="16F83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09" w:type="dxa"/>
            <w:vMerge w:val="restart"/>
            <w:tcBorders>
              <w:tl2br w:val="nil"/>
              <w:tr2bl w:val="nil"/>
            </w:tcBorders>
            <w:vAlign w:val="center"/>
          </w:tcPr>
          <w:p w14:paraId="06F8FFA3">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en-US" w:bidi="ar-SA"/>
                <w14:textFill>
                  <w14:solidFill>
                    <w14:schemeClr w14:val="tx1"/>
                  </w14:solidFill>
                </w14:textFill>
              </w:rPr>
              <w:t>序号</w:t>
            </w:r>
          </w:p>
        </w:tc>
        <w:tc>
          <w:tcPr>
            <w:tcW w:w="1084" w:type="dxa"/>
            <w:vMerge w:val="restart"/>
            <w:tcBorders>
              <w:tl2br w:val="nil"/>
              <w:tr2bl w:val="nil"/>
            </w:tcBorders>
            <w:vAlign w:val="center"/>
          </w:tcPr>
          <w:p w14:paraId="41F07B0B">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声环境保护目标名称</w:t>
            </w:r>
          </w:p>
        </w:tc>
        <w:tc>
          <w:tcPr>
            <w:tcW w:w="1075" w:type="dxa"/>
            <w:vMerge w:val="restart"/>
            <w:tcBorders>
              <w:tl2br w:val="nil"/>
              <w:tr2bl w:val="nil"/>
            </w:tcBorders>
            <w:vAlign w:val="center"/>
          </w:tcPr>
          <w:p w14:paraId="390F4AE4">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距厂界最近距离/m</w:t>
            </w:r>
          </w:p>
        </w:tc>
        <w:tc>
          <w:tcPr>
            <w:tcW w:w="5301" w:type="dxa"/>
            <w:vMerge w:val="restart"/>
            <w:tcBorders>
              <w:tl2br w:val="nil"/>
              <w:tr2bl w:val="nil"/>
            </w:tcBorders>
            <w:vAlign w:val="center"/>
          </w:tcPr>
          <w:p w14:paraId="449BFBCC">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方位</w:t>
            </w:r>
          </w:p>
        </w:tc>
        <w:tc>
          <w:tcPr>
            <w:tcW w:w="1292" w:type="dxa"/>
            <w:vMerge w:val="restart"/>
            <w:tcBorders>
              <w:tl2br w:val="nil"/>
              <w:tr2bl w:val="nil"/>
            </w:tcBorders>
            <w:vAlign w:val="center"/>
          </w:tcPr>
          <w:p w14:paraId="08397E46">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执行标准/功能区类别</w:t>
            </w:r>
          </w:p>
        </w:tc>
        <w:tc>
          <w:tcPr>
            <w:tcW w:w="4959" w:type="dxa"/>
            <w:vMerge w:val="restart"/>
            <w:tcBorders>
              <w:tl2br w:val="nil"/>
              <w:tr2bl w:val="nil"/>
            </w:tcBorders>
            <w:vAlign w:val="center"/>
          </w:tcPr>
          <w:p w14:paraId="4F086D8D">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zh-CN" w:bidi="ar-SA"/>
                <w14:textFill>
                  <w14:solidFill>
                    <w14:schemeClr w14:val="tx1"/>
                  </w14:solidFill>
                </w14:textFill>
              </w:rPr>
              <w:t>声环境保护目标情况说明（介绍声环境保护目标建筑结构、朝向、楼层、周围环境情况）</w:t>
            </w:r>
          </w:p>
        </w:tc>
      </w:tr>
      <w:tr w14:paraId="1458B0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09" w:type="dxa"/>
            <w:vMerge w:val="continue"/>
            <w:tcBorders>
              <w:tl2br w:val="nil"/>
              <w:tr2bl w:val="nil"/>
            </w:tcBorders>
            <w:vAlign w:val="center"/>
          </w:tcPr>
          <w:p w14:paraId="6E82E27C">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p>
        </w:tc>
        <w:tc>
          <w:tcPr>
            <w:tcW w:w="1084" w:type="dxa"/>
            <w:vMerge w:val="continue"/>
            <w:tcBorders>
              <w:tl2br w:val="nil"/>
              <w:tr2bl w:val="nil"/>
            </w:tcBorders>
            <w:vAlign w:val="center"/>
          </w:tcPr>
          <w:p w14:paraId="42A7D38A">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p>
        </w:tc>
        <w:tc>
          <w:tcPr>
            <w:tcW w:w="1075" w:type="dxa"/>
            <w:vMerge w:val="continue"/>
            <w:tcBorders>
              <w:tl2br w:val="nil"/>
              <w:tr2bl w:val="nil"/>
            </w:tcBorders>
            <w:vAlign w:val="center"/>
          </w:tcPr>
          <w:p w14:paraId="2E4E4AC3">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p>
        </w:tc>
        <w:tc>
          <w:tcPr>
            <w:tcW w:w="5301" w:type="dxa"/>
            <w:vMerge w:val="continue"/>
            <w:tcBorders>
              <w:tl2br w:val="nil"/>
              <w:tr2bl w:val="nil"/>
            </w:tcBorders>
            <w:vAlign w:val="center"/>
          </w:tcPr>
          <w:p w14:paraId="384347E0">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p>
        </w:tc>
        <w:tc>
          <w:tcPr>
            <w:tcW w:w="1292" w:type="dxa"/>
            <w:vMerge w:val="continue"/>
            <w:tcBorders>
              <w:tl2br w:val="nil"/>
              <w:tr2bl w:val="nil"/>
            </w:tcBorders>
            <w:vAlign w:val="center"/>
          </w:tcPr>
          <w:p w14:paraId="61986CE2">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p>
        </w:tc>
        <w:tc>
          <w:tcPr>
            <w:tcW w:w="4959" w:type="dxa"/>
            <w:vMerge w:val="continue"/>
            <w:tcBorders>
              <w:tl2br w:val="nil"/>
              <w:tr2bl w:val="nil"/>
            </w:tcBorders>
            <w:vAlign w:val="center"/>
          </w:tcPr>
          <w:p w14:paraId="48A41E16">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p>
        </w:tc>
      </w:tr>
      <w:tr w14:paraId="75781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09" w:type="dxa"/>
            <w:tcBorders>
              <w:tl2br w:val="nil"/>
              <w:tr2bl w:val="nil"/>
            </w:tcBorders>
            <w:vAlign w:val="center"/>
          </w:tcPr>
          <w:p w14:paraId="22145B8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en-US" w:bidi="ar-SA"/>
                <w14:textFill>
                  <w14:solidFill>
                    <w14:schemeClr w14:val="tx1"/>
                  </w14:solidFill>
                </w14:textFill>
              </w:rPr>
              <w:t>1</w:t>
            </w:r>
          </w:p>
        </w:tc>
        <w:tc>
          <w:tcPr>
            <w:tcW w:w="1084" w:type="dxa"/>
            <w:tcBorders>
              <w:tl2br w:val="nil"/>
              <w:tr2bl w:val="nil"/>
            </w:tcBorders>
            <w:vAlign w:val="center"/>
          </w:tcPr>
          <w:p w14:paraId="09B133FE">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盛广和屯</w:t>
            </w:r>
          </w:p>
        </w:tc>
        <w:tc>
          <w:tcPr>
            <w:tcW w:w="1075" w:type="dxa"/>
            <w:tcBorders>
              <w:tl2br w:val="nil"/>
              <w:tr2bl w:val="nil"/>
            </w:tcBorders>
            <w:vAlign w:val="center"/>
          </w:tcPr>
          <w:p w14:paraId="18170782">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85</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m</w:t>
            </w:r>
          </w:p>
        </w:tc>
        <w:tc>
          <w:tcPr>
            <w:tcW w:w="5301" w:type="dxa"/>
            <w:tcBorders>
              <w:tl2br w:val="nil"/>
              <w:tr2bl w:val="nil"/>
            </w:tcBorders>
            <w:vAlign w:val="center"/>
          </w:tcPr>
          <w:p w14:paraId="47C52328">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p>
        </w:tc>
        <w:tc>
          <w:tcPr>
            <w:tcW w:w="1292" w:type="dxa"/>
            <w:vMerge w:val="restart"/>
            <w:tcBorders>
              <w:tl2br w:val="nil"/>
              <w:tr2bl w:val="nil"/>
            </w:tcBorders>
            <w:vAlign w:val="center"/>
          </w:tcPr>
          <w:p w14:paraId="3D90D0E5">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《声环境质量标准》（GB3096-2008）中1类标准</w:t>
            </w:r>
          </w:p>
        </w:tc>
        <w:tc>
          <w:tcPr>
            <w:tcW w:w="4959" w:type="dxa"/>
            <w:tcBorders>
              <w:tl2br w:val="nil"/>
              <w:tr2bl w:val="nil"/>
            </w:tcBorders>
            <w:vAlign w:val="center"/>
          </w:tcPr>
          <w:p w14:paraId="0AA55B4B">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民房，房屋均为砖混结构，住户约</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90户，</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南北朝向，为单层结构，周围主要为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耕地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、民房</w:t>
            </w:r>
          </w:p>
        </w:tc>
      </w:tr>
      <w:tr w14:paraId="0650B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09" w:type="dxa"/>
            <w:tcBorders>
              <w:tl2br w:val="nil"/>
              <w:tr2bl w:val="nil"/>
            </w:tcBorders>
            <w:vAlign w:val="center"/>
          </w:tcPr>
          <w:p w14:paraId="54EE964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1084" w:type="dxa"/>
            <w:tcBorders>
              <w:tl2br w:val="nil"/>
              <w:tr2bl w:val="nil"/>
            </w:tcBorders>
            <w:vAlign w:val="center"/>
          </w:tcPr>
          <w:p w14:paraId="600EA18F">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宋芳屯居住区</w:t>
            </w:r>
          </w:p>
        </w:tc>
        <w:tc>
          <w:tcPr>
            <w:tcW w:w="1075" w:type="dxa"/>
            <w:tcBorders>
              <w:tl2br w:val="nil"/>
              <w:tr2bl w:val="nil"/>
            </w:tcBorders>
            <w:vAlign w:val="center"/>
          </w:tcPr>
          <w:p w14:paraId="10508161">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120</w:t>
            </w: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m</w:t>
            </w:r>
          </w:p>
        </w:tc>
        <w:tc>
          <w:tcPr>
            <w:tcW w:w="5301" w:type="dxa"/>
            <w:tcBorders>
              <w:tl2br w:val="nil"/>
              <w:tr2bl w:val="nil"/>
            </w:tcBorders>
            <w:vAlign w:val="center"/>
          </w:tcPr>
          <w:p w14:paraId="73EEA1C4">
            <w:pPr>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p>
        </w:tc>
        <w:tc>
          <w:tcPr>
            <w:tcW w:w="1292" w:type="dxa"/>
            <w:vMerge w:val="continue"/>
            <w:tcBorders>
              <w:tl2br w:val="nil"/>
              <w:tr2bl w:val="nil"/>
            </w:tcBorders>
            <w:vAlign w:val="center"/>
          </w:tcPr>
          <w:p w14:paraId="38DB6CCC">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959" w:type="dxa"/>
            <w:tcBorders>
              <w:tl2br w:val="nil"/>
              <w:tr2bl w:val="nil"/>
            </w:tcBorders>
            <w:vAlign w:val="center"/>
          </w:tcPr>
          <w:p w14:paraId="696256A7">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民房，房屋均为砖混结构，住户约</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户，南北朝向，为单层结构，周围主要为草地、民房</w:t>
            </w:r>
          </w:p>
        </w:tc>
      </w:tr>
      <w:tr w14:paraId="6F0AC7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9" w:hRule="atLeast"/>
        </w:trPr>
        <w:tc>
          <w:tcPr>
            <w:tcW w:w="509" w:type="dxa"/>
            <w:tcBorders>
              <w:tl2br w:val="nil"/>
              <w:tr2bl w:val="nil"/>
            </w:tcBorders>
            <w:vAlign w:val="center"/>
          </w:tcPr>
          <w:p w14:paraId="1ED4E48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1084" w:type="dxa"/>
            <w:tcBorders>
              <w:tl2br w:val="nil"/>
              <w:tr2bl w:val="nil"/>
            </w:tcBorders>
            <w:vAlign w:val="center"/>
          </w:tcPr>
          <w:p w14:paraId="1E2CACEE">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散户1</w:t>
            </w:r>
          </w:p>
        </w:tc>
        <w:tc>
          <w:tcPr>
            <w:tcW w:w="1075" w:type="dxa"/>
            <w:tcBorders>
              <w:tl2br w:val="nil"/>
              <w:tr2bl w:val="nil"/>
            </w:tcBorders>
            <w:vAlign w:val="center"/>
          </w:tcPr>
          <w:p w14:paraId="00C5CAB9">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195m</w:t>
            </w:r>
          </w:p>
        </w:tc>
        <w:tc>
          <w:tcPr>
            <w:tcW w:w="5301" w:type="dxa"/>
            <w:tcBorders>
              <w:tl2br w:val="nil"/>
              <w:tr2bl w:val="nil"/>
            </w:tcBorders>
            <w:vAlign w:val="center"/>
          </w:tcPr>
          <w:p w14:paraId="55ED8B63">
            <w:pPr>
              <w:pStyle w:val="49"/>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东侧</w:t>
            </w:r>
          </w:p>
        </w:tc>
        <w:tc>
          <w:tcPr>
            <w:tcW w:w="1292" w:type="dxa"/>
            <w:vMerge w:val="continue"/>
            <w:tcBorders>
              <w:tl2br w:val="nil"/>
              <w:tr2bl w:val="nil"/>
            </w:tcBorders>
            <w:vAlign w:val="center"/>
          </w:tcPr>
          <w:p w14:paraId="363D91F2">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4959" w:type="dxa"/>
            <w:tcBorders>
              <w:tl2br w:val="nil"/>
              <w:tr2bl w:val="nil"/>
            </w:tcBorders>
            <w:vAlign w:val="center"/>
          </w:tcPr>
          <w:p w14:paraId="58BD02E1">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民房，房屋均为砖混结构，住户约</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户，南北朝向，为单层结构，周围主要为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耕地</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、民房</w:t>
            </w:r>
          </w:p>
        </w:tc>
      </w:tr>
    </w:tbl>
    <w:p w14:paraId="712BE006">
      <w:pPr>
        <w:keepNext w:val="0"/>
        <w:keepLines w:val="0"/>
        <w:pageBreakBefore w:val="0"/>
        <w:widowControl w:val="0"/>
        <w:kinsoku/>
        <w:wordWrap/>
        <w:topLinePunct w:val="0"/>
        <w:bidi w:val="0"/>
        <w:spacing w:after="0"/>
        <w:jc w:val="cente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表2</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highlight w:val="none"/>
          <w:lang w:eastAsia="zh-CN"/>
          <w14:textFill>
            <w14:solidFill>
              <w14:schemeClr w14:val="tx1"/>
            </w14:solidFill>
          </w14:textFill>
        </w:rPr>
        <w:t>其他环境因素保护目标表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107"/>
        <w:gridCol w:w="952"/>
        <w:gridCol w:w="4489"/>
        <w:gridCol w:w="1774"/>
        <w:gridCol w:w="5796"/>
      </w:tblGrid>
      <w:tr w14:paraId="5DC5C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tcBorders>
              <w:tl2br w:val="nil"/>
              <w:tr2bl w:val="nil"/>
            </w:tcBorders>
            <w:vAlign w:val="center"/>
          </w:tcPr>
          <w:p w14:paraId="07E1F15B">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bookmarkStart w:id="54" w:name="_Toc6347"/>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环境要素</w:t>
            </w:r>
          </w:p>
        </w:tc>
        <w:tc>
          <w:tcPr>
            <w:tcW w:w="337" w:type="pct"/>
            <w:tcBorders>
              <w:tl2br w:val="nil"/>
              <w:tr2bl w:val="nil"/>
            </w:tcBorders>
            <w:vAlign w:val="center"/>
          </w:tcPr>
          <w:p w14:paraId="33231239">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保护目标</w:t>
            </w:r>
          </w:p>
        </w:tc>
        <w:tc>
          <w:tcPr>
            <w:tcW w:w="1589" w:type="pct"/>
            <w:tcBorders>
              <w:tl2br w:val="nil"/>
              <w:tr2bl w:val="nil"/>
            </w:tcBorders>
            <w:vAlign w:val="center"/>
          </w:tcPr>
          <w:p w14:paraId="3C3CCA8D">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最近方位及距离</w:t>
            </w:r>
          </w:p>
        </w:tc>
        <w:tc>
          <w:tcPr>
            <w:tcW w:w="628" w:type="pct"/>
            <w:tcBorders>
              <w:tl2br w:val="nil"/>
              <w:tr2bl w:val="nil"/>
            </w:tcBorders>
            <w:vAlign w:val="center"/>
          </w:tcPr>
          <w:p w14:paraId="0E224A00">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规模</w:t>
            </w:r>
          </w:p>
        </w:tc>
        <w:tc>
          <w:tcPr>
            <w:tcW w:w="2052" w:type="pct"/>
            <w:tcBorders>
              <w:tl2br w:val="nil"/>
              <w:tr2bl w:val="nil"/>
            </w:tcBorders>
            <w:vAlign w:val="center"/>
          </w:tcPr>
          <w:p w14:paraId="4DE4BED6">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保护标准及保护级别</w:t>
            </w:r>
          </w:p>
        </w:tc>
      </w:tr>
      <w:tr w14:paraId="485F8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tcBorders>
              <w:tl2br w:val="nil"/>
              <w:tr2bl w:val="nil"/>
            </w:tcBorders>
            <w:vAlign w:val="center"/>
          </w:tcPr>
          <w:p w14:paraId="2A7F7CFC">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地表水</w:t>
            </w:r>
          </w:p>
        </w:tc>
        <w:tc>
          <w:tcPr>
            <w:tcW w:w="337" w:type="pct"/>
            <w:tcBorders>
              <w:tl2br w:val="nil"/>
              <w:tr2bl w:val="nil"/>
            </w:tcBorders>
            <w:vAlign w:val="center"/>
          </w:tcPr>
          <w:p w14:paraId="26540B97">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宋芳屯排水沟</w:t>
            </w:r>
          </w:p>
        </w:tc>
        <w:tc>
          <w:tcPr>
            <w:tcW w:w="1589" w:type="pct"/>
            <w:tcBorders>
              <w:tl2br w:val="nil"/>
              <w:tr2bl w:val="nil"/>
            </w:tcBorders>
            <w:vAlign w:val="center"/>
          </w:tcPr>
          <w:p w14:paraId="1085D133">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芳3转油站外输油管线穿越</w:t>
            </w:r>
          </w:p>
        </w:tc>
        <w:tc>
          <w:tcPr>
            <w:tcW w:w="628" w:type="pct"/>
            <w:tcBorders>
              <w:tl2br w:val="nil"/>
              <w:tr2bl w:val="nil"/>
            </w:tcBorders>
            <w:vAlign w:val="center"/>
          </w:tcPr>
          <w:p w14:paraId="56BE6923">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长度</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约</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7.9k</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bidi="ar-SA"/>
                <w14:textFill>
                  <w14:solidFill>
                    <w14:schemeClr w14:val="tx1"/>
                  </w14:solidFill>
                </w14:textFill>
              </w:rPr>
              <w:t>2</w:t>
            </w:r>
          </w:p>
        </w:tc>
        <w:tc>
          <w:tcPr>
            <w:tcW w:w="2052" w:type="pct"/>
            <w:tcBorders>
              <w:tl2br w:val="nil"/>
              <w:tr2bl w:val="nil"/>
            </w:tcBorders>
            <w:vAlign w:val="center"/>
          </w:tcPr>
          <w:p w14:paraId="0609754C">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p>
        </w:tc>
      </w:tr>
      <w:tr w14:paraId="1FA4F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restart"/>
            <w:tcBorders>
              <w:tl2br w:val="nil"/>
              <w:tr2bl w:val="nil"/>
            </w:tcBorders>
            <w:vAlign w:val="center"/>
          </w:tcPr>
          <w:p w14:paraId="54073AA0">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土壤环境</w:t>
            </w:r>
          </w:p>
        </w:tc>
        <w:tc>
          <w:tcPr>
            <w:tcW w:w="1926" w:type="pct"/>
            <w:gridSpan w:val="2"/>
            <w:tcBorders>
              <w:tl2br w:val="nil"/>
              <w:tr2bl w:val="nil"/>
            </w:tcBorders>
            <w:vAlign w:val="center"/>
          </w:tcPr>
          <w:p w14:paraId="43201F65">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已建场站内土壤</w:t>
            </w:r>
          </w:p>
        </w:tc>
        <w:tc>
          <w:tcPr>
            <w:tcW w:w="628" w:type="pct"/>
            <w:vMerge w:val="restart"/>
            <w:tcBorders>
              <w:tl2br w:val="nil"/>
              <w:tr2bl w:val="nil"/>
            </w:tcBorders>
            <w:vAlign w:val="center"/>
          </w:tcPr>
          <w:p w14:paraId="5D394BCD">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中心线两侧各200m</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内的土壤环境</w:t>
            </w:r>
          </w:p>
        </w:tc>
        <w:tc>
          <w:tcPr>
            <w:tcW w:w="2052" w:type="pct"/>
            <w:tcBorders>
              <w:tl2br w:val="nil"/>
              <w:tr2bl w:val="nil"/>
            </w:tcBorders>
            <w:vAlign w:val="center"/>
          </w:tcPr>
          <w:p w14:paraId="694C7D62">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《土壤环境质量 建设用地土壤污染风险管控标准（试行）》（GB36600-2018）第二类用地筛选值</w:t>
            </w:r>
          </w:p>
        </w:tc>
      </w:tr>
      <w:tr w14:paraId="272C8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continue"/>
            <w:tcBorders>
              <w:tl2br w:val="nil"/>
              <w:tr2bl w:val="nil"/>
            </w:tcBorders>
            <w:vAlign w:val="center"/>
          </w:tcPr>
          <w:p w14:paraId="6C3A1131">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926" w:type="pct"/>
            <w:gridSpan w:val="2"/>
            <w:tcBorders>
              <w:tl2br w:val="nil"/>
              <w:tr2bl w:val="nil"/>
            </w:tcBorders>
            <w:vAlign w:val="center"/>
          </w:tcPr>
          <w:p w14:paraId="6F09EA60">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盛广和屯</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宋芳屯居住区</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、散户1</w:t>
            </w:r>
          </w:p>
        </w:tc>
        <w:tc>
          <w:tcPr>
            <w:tcW w:w="628" w:type="pct"/>
            <w:vMerge w:val="continue"/>
            <w:tcBorders>
              <w:tl2br w:val="nil"/>
              <w:tr2bl w:val="nil"/>
            </w:tcBorders>
            <w:vAlign w:val="center"/>
          </w:tcPr>
          <w:p w14:paraId="55EB8330">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052" w:type="pct"/>
            <w:tcBorders>
              <w:tl2br w:val="nil"/>
              <w:tr2bl w:val="nil"/>
            </w:tcBorders>
            <w:vAlign w:val="center"/>
          </w:tcPr>
          <w:p w14:paraId="5FEC369E">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《土壤环境质量 建设用地土壤污染风险管控标准（试行）》（GB36600-2018）第一类用地筛选值</w:t>
            </w:r>
          </w:p>
        </w:tc>
      </w:tr>
      <w:tr w14:paraId="518E6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continue"/>
            <w:tcBorders>
              <w:tl2br w:val="nil"/>
              <w:tr2bl w:val="nil"/>
            </w:tcBorders>
            <w:vAlign w:val="center"/>
          </w:tcPr>
          <w:p w14:paraId="42CDD186">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926" w:type="pct"/>
            <w:gridSpan w:val="2"/>
            <w:tcBorders>
              <w:tl2br w:val="nil"/>
              <w:tr2bl w:val="nil"/>
            </w:tcBorders>
            <w:vAlign w:val="center"/>
          </w:tcPr>
          <w:p w14:paraId="375D95D2">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评价范围内的草地、耕地、林地，土壤类型为</w:t>
            </w: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草甸土</w:t>
            </w:r>
          </w:p>
        </w:tc>
        <w:tc>
          <w:tcPr>
            <w:tcW w:w="628" w:type="pct"/>
            <w:vMerge w:val="continue"/>
            <w:tcBorders>
              <w:tl2br w:val="nil"/>
              <w:tr2bl w:val="nil"/>
            </w:tcBorders>
            <w:vAlign w:val="center"/>
          </w:tcPr>
          <w:p w14:paraId="14B6ED9E">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052" w:type="pct"/>
            <w:tcBorders>
              <w:tl2br w:val="nil"/>
              <w:tr2bl w:val="nil"/>
            </w:tcBorders>
            <w:vAlign w:val="center"/>
          </w:tcPr>
          <w:p w14:paraId="2D29E024">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《土壤环境质量 农用地土壤污染风险管控标准（试行）》（GB15618-2018）表1中农用地土壤污染风险筛选值</w:t>
            </w:r>
          </w:p>
        </w:tc>
      </w:tr>
      <w:tr w14:paraId="4E3DF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restart"/>
            <w:tcBorders>
              <w:tl2br w:val="nil"/>
              <w:tr2bl w:val="nil"/>
            </w:tcBorders>
            <w:vAlign w:val="center"/>
          </w:tcPr>
          <w:p w14:paraId="1D93D5FB">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生态环境</w:t>
            </w:r>
          </w:p>
        </w:tc>
        <w:tc>
          <w:tcPr>
            <w:tcW w:w="1926" w:type="pct"/>
            <w:gridSpan w:val="2"/>
            <w:tcBorders>
              <w:tl2br w:val="nil"/>
              <w:tr2bl w:val="nil"/>
            </w:tcBorders>
            <w:vAlign w:val="center"/>
          </w:tcPr>
          <w:p w14:paraId="311F6B63">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草地（非基本草原）、</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耕地（基本农田）、林地、建设用地</w:t>
            </w:r>
          </w:p>
        </w:tc>
        <w:tc>
          <w:tcPr>
            <w:tcW w:w="628" w:type="pct"/>
            <w:vMerge w:val="restart"/>
            <w:tcBorders>
              <w:tl2br w:val="nil"/>
              <w:tr2bl w:val="nil"/>
            </w:tcBorders>
            <w:vAlign w:val="center"/>
          </w:tcPr>
          <w:p w14:paraId="42D17A32">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临时占用</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12.56hm</w:t>
            </w:r>
            <w:r>
              <w:rPr>
                <w:rFonts w:hint="eastAsia"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草地（非基本草原）、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12.12hm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耕地（基本农田）</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0.1hm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林地</w:t>
            </w:r>
          </w:p>
        </w:tc>
        <w:tc>
          <w:tcPr>
            <w:tcW w:w="2052" w:type="pct"/>
            <w:tcBorders>
              <w:tl2br w:val="nil"/>
              <w:tr2bl w:val="nil"/>
            </w:tcBorders>
            <w:vAlign w:val="center"/>
          </w:tcPr>
          <w:p w14:paraId="6B771262">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临时占用的草地</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应及时平整进行人工植被恢复，播撒适应当地环境生长的草籽</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保持植被覆盖率能够达到现有覆盖度要求</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。施工结束后对临时占用耕地复垦、林地平整后对移栽的林木进行恢复、建设用地进行平整。占地范围内表土剥离，施工结束后表土全部回填临时占地内。</w:t>
            </w:r>
          </w:p>
        </w:tc>
      </w:tr>
      <w:tr w14:paraId="633F6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continue"/>
            <w:tcBorders>
              <w:tl2br w:val="nil"/>
              <w:tr2bl w:val="nil"/>
            </w:tcBorders>
            <w:vAlign w:val="center"/>
          </w:tcPr>
          <w:p w14:paraId="0A2999D7">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926" w:type="pct"/>
            <w:gridSpan w:val="2"/>
            <w:tcBorders>
              <w:tl2br w:val="nil"/>
              <w:tr2bl w:val="nil"/>
            </w:tcBorders>
            <w:vAlign w:val="center"/>
          </w:tcPr>
          <w:p w14:paraId="2B3090E7">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草原生态系统、农田生态系统、森林生态系统</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周边土壤、自然植被、农作物、野生动物</w:t>
            </w:r>
          </w:p>
        </w:tc>
        <w:tc>
          <w:tcPr>
            <w:tcW w:w="628" w:type="pct"/>
            <w:vMerge w:val="continue"/>
            <w:tcBorders>
              <w:tl2br w:val="nil"/>
              <w:tr2bl w:val="nil"/>
            </w:tcBorders>
            <w:vAlign w:val="center"/>
          </w:tcPr>
          <w:p w14:paraId="4FCDA613">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052" w:type="pct"/>
            <w:tcBorders>
              <w:tl2br w:val="nil"/>
              <w:tr2bl w:val="nil"/>
            </w:tcBorders>
            <w:vAlign w:val="center"/>
          </w:tcPr>
          <w:p w14:paraId="133CC34E">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0E1A2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continue"/>
            <w:tcBorders>
              <w:tl2br w:val="nil"/>
              <w:tr2bl w:val="nil"/>
            </w:tcBorders>
            <w:vAlign w:val="center"/>
          </w:tcPr>
          <w:p w14:paraId="5F62B608">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926" w:type="pct"/>
            <w:gridSpan w:val="2"/>
            <w:tcBorders>
              <w:tl2br w:val="nil"/>
              <w:tr2bl w:val="nil"/>
            </w:tcBorders>
            <w:vAlign w:val="center"/>
          </w:tcPr>
          <w:p w14:paraId="09A6EF33">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水土流失重点治理区</w:t>
            </w:r>
          </w:p>
        </w:tc>
        <w:tc>
          <w:tcPr>
            <w:tcW w:w="628" w:type="pct"/>
            <w:vMerge w:val="continue"/>
            <w:tcBorders>
              <w:tl2br w:val="nil"/>
              <w:tr2bl w:val="nil"/>
            </w:tcBorders>
            <w:vAlign w:val="center"/>
          </w:tcPr>
          <w:p w14:paraId="31E322CD">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052" w:type="pct"/>
            <w:vMerge w:val="restart"/>
            <w:tcBorders>
              <w:tl2br w:val="nil"/>
              <w:tr2bl w:val="nil"/>
            </w:tcBorders>
            <w:vAlign w:val="center"/>
          </w:tcPr>
          <w:p w14:paraId="044F0E11">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不加重水土流失及土地沙化。</w:t>
            </w:r>
          </w:p>
        </w:tc>
      </w:tr>
      <w:tr w14:paraId="6EF43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92" w:type="pct"/>
            <w:vMerge w:val="continue"/>
            <w:tcBorders>
              <w:tl2br w:val="nil"/>
              <w:tr2bl w:val="nil"/>
            </w:tcBorders>
            <w:vAlign w:val="center"/>
          </w:tcPr>
          <w:p w14:paraId="5B47FFC8">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926" w:type="pct"/>
            <w:gridSpan w:val="2"/>
            <w:tcBorders>
              <w:tl2br w:val="nil"/>
              <w:tr2bl w:val="nil"/>
            </w:tcBorders>
            <w:vAlign w:val="center"/>
          </w:tcPr>
          <w:p w14:paraId="78528B68">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防沙治沙区</w:t>
            </w:r>
          </w:p>
        </w:tc>
        <w:tc>
          <w:tcPr>
            <w:tcW w:w="628" w:type="pct"/>
            <w:vMerge w:val="continue"/>
            <w:tcBorders>
              <w:tl2br w:val="nil"/>
              <w:tr2bl w:val="nil"/>
            </w:tcBorders>
            <w:vAlign w:val="center"/>
          </w:tcPr>
          <w:p w14:paraId="3ABC3019">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052" w:type="pct"/>
            <w:vMerge w:val="continue"/>
            <w:tcBorders>
              <w:tl2br w:val="nil"/>
              <w:tr2bl w:val="nil"/>
            </w:tcBorders>
            <w:vAlign w:val="center"/>
          </w:tcPr>
          <w:p w14:paraId="6210A273">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bl>
    <w:p w14:paraId="7C28FDA2">
      <w:pPr>
        <w:keepNext w:val="0"/>
        <w:keepLines w:val="0"/>
        <w:pageBreakBefore w:val="0"/>
        <w:widowControl w:val="0"/>
        <w:kinsoku/>
        <w:wordWrap/>
        <w:overflowPunct/>
        <w:topLinePunct w:val="0"/>
        <w:autoSpaceDE/>
        <w:autoSpaceDN/>
        <w:bidi w:val="0"/>
        <w:adjustRightInd w:val="0"/>
        <w:snapToGrid w:val="0"/>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sectPr>
          <w:pgSz w:w="16838" w:h="11906" w:orient="landscape"/>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66645D3F">
      <w:pPr>
        <w:keepNext w:val="0"/>
        <w:keepLines w:val="0"/>
        <w:pageBreakBefore w:val="0"/>
        <w:widowControl w:val="0"/>
        <w:kinsoku/>
        <w:wordWrap/>
        <w:overflowPunct/>
        <w:topLinePunct w:val="0"/>
        <w:autoSpaceDE/>
        <w:autoSpaceDN/>
        <w:bidi w:val="0"/>
        <w:adjustRightInd w:val="0"/>
        <w:snapToGrid w:val="0"/>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评价工作内容及重点</w:t>
      </w:r>
      <w:bookmarkEnd w:id="54"/>
    </w:p>
    <w:p w14:paraId="1DF1EB55">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根据评价区域的环境特征及油田开发建设项目的具体特点，在工程分析的基础上，以生态影响评价、土壤环境影响评价、</w:t>
      </w:r>
      <w:r>
        <w:rPr>
          <w:rFonts w:hint="default" w:ascii="Times New Roman" w:hAnsi="Times New Roman" w:cs="Times New Roman"/>
          <w:color w:val="000000" w:themeColor="text1"/>
          <w:highlight w:val="none"/>
          <w:lang w:val="en-US" w:eastAsia="zh-CN"/>
          <w14:textFill>
            <w14:solidFill>
              <w14:schemeClr w14:val="tx1"/>
            </w14:solidFill>
          </w14:textFill>
        </w:rPr>
        <w:t>地表水环境影响评价、</w:t>
      </w:r>
      <w:r>
        <w:rPr>
          <w:rFonts w:hint="default" w:ascii="Times New Roman" w:hAnsi="Times New Roman" w:cs="Times New Roman"/>
          <w:color w:val="000000" w:themeColor="text1"/>
          <w:highlight w:val="none"/>
          <w14:textFill>
            <w14:solidFill>
              <w14:schemeClr w14:val="tx1"/>
            </w14:solidFill>
          </w14:textFill>
        </w:rPr>
        <w:t>地下水环境影响评价、环境风险评价及工程污染防治措施评价为重点，同时进行项目大气环境影响评价、声环境影响评价，环境影响经济损益分析、环境管理及监测计划等项目的评价与分析，在评价过程中力求工业污染防治与生态保护并重，提出相应的污染防治措施和生态保护措施及建议</w:t>
      </w:r>
      <w:r>
        <w:rPr>
          <w:rFonts w:hint="default" w:ascii="Times New Roman" w:hAnsi="Times New Roman" w:cs="Times New Roman"/>
          <w:color w:val="000000" w:themeColor="text1"/>
          <w:highlight w:val="none"/>
          <w:lang w:eastAsia="zh-CN"/>
          <w14:textFill>
            <w14:solidFill>
              <w14:schemeClr w14:val="tx1"/>
            </w14:solidFill>
          </w14:textFill>
        </w:rPr>
        <w:t>。</w:t>
      </w:r>
    </w:p>
    <w:p w14:paraId="2477A5FC">
      <w:pPr>
        <w:pStyle w:val="38"/>
        <w:keepNext w:val="0"/>
        <w:keepLines w:val="0"/>
        <w:pageBreakBefore w:val="0"/>
        <w:widowControl w:val="0"/>
        <w:kinsoku/>
        <w:wordWrap/>
        <w:topLinePunct w:val="0"/>
        <w:bidi w:val="0"/>
        <w:ind w:left="0" w:leftChars="0" w:firstLine="0" w:firstLineChars="0"/>
        <w:jc w:val="center"/>
        <w:rPr>
          <w:rStyle w:val="43"/>
          <w:rFonts w:hint="default" w:ascii="Times New Roman" w:hAnsi="Times New Roman" w:cs="Times New Roman"/>
          <w:b/>
          <w:color w:val="000000" w:themeColor="text1"/>
          <w:highlight w:val="none"/>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2F02AED9">
      <w:pPr>
        <w:keepNext w:val="0"/>
        <w:keepLines w:val="0"/>
        <w:pageBreakBefore w:val="0"/>
        <w:widowControl w:val="0"/>
        <w:tabs>
          <w:tab w:val="center" w:pos="4394"/>
          <w:tab w:val="left" w:pos="5484"/>
        </w:tabs>
        <w:kinsoku/>
        <w:wordWrap/>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55" w:name="_Toc11094"/>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三</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建设项目概况与工程分析</w:t>
      </w:r>
      <w:bookmarkEnd w:id="55"/>
    </w:p>
    <w:p w14:paraId="6B30DA7F">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bookmarkStart w:id="56" w:name="_Toc13726"/>
      <w:bookmarkStart w:id="57" w:name="_Toc17920"/>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3.</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现有</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工程回顾性分析</w:t>
      </w:r>
      <w:bookmarkEnd w:id="56"/>
      <w:bookmarkEnd w:id="57"/>
    </w:p>
    <w:p w14:paraId="505F4953">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.1现有区块</w:t>
      </w:r>
      <w:r>
        <w:rPr>
          <w:rFonts w:hint="eastAsia" w:ascii="Times New Roman" w:hAnsi="Times New Roman" w:eastAsia="宋体" w:cs="Times New Roman"/>
          <w:b/>
          <w:color w:val="000000" w:themeColor="text1"/>
          <w:kern w:val="2"/>
          <w:sz w:val="28"/>
          <w:szCs w:val="32"/>
          <w:highlight w:val="none"/>
          <w:lang w:eastAsia="zh-CN"/>
          <w14:textFill>
            <w14:solidFill>
              <w14:schemeClr w14:val="tx1"/>
            </w14:solidFill>
          </w14:textFill>
        </w:rPr>
        <w:t>开发</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建设</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情况</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及环评验收情况</w:t>
      </w:r>
    </w:p>
    <w:p w14:paraId="5693884D">
      <w:pPr>
        <w:keepNext w:val="0"/>
        <w:keepLines w:val="0"/>
        <w:pageBreakBefore w:val="0"/>
        <w:widowControl w:val="0"/>
        <w:kinsoku/>
        <w:wordWrap/>
        <w:topLinePunct w:val="0"/>
        <w:bidi w:val="0"/>
        <w:adjustRightInd/>
        <w:snapToGrid/>
        <w:spacing w:after="0" w:line="360" w:lineRule="auto"/>
        <w:ind w:left="0" w:leftChars="0" w:firstLine="0" w:firstLineChars="0"/>
        <w:jc w:val="both"/>
        <w:outlineLvl w:val="3"/>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3.1.1.1</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开发情况</w:t>
      </w:r>
    </w:p>
    <w:p w14:paraId="191D2B6B">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本项目建设地点位于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黑龙江省绥化市安达市昌德镇、升平镇，大庆市大同区祝三乡境内</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，拟更换的</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分布于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已开发区块</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宋芳屯油田和升平油田</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70A054E4">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宋芳屯油田勘探工作始于1975年，在重磁工作的基础上曾开展多次地震勘探工作。1975年以小幅度构造钻探，扶余油层为目的层部署肇3井。在1984年5月、1986年9月分别开辟宋芳屯生产试验区和祝三试验区这两个实验区块的基础上，1990年11月至93年，坚持滚动开发原则，陆续投产了宋芳屯油田北部，即宋芳屯地区的芳707、芳17、芳6井区、1994年至1996年又陆续投产了宋芳屯油田南部，即模范屯地区的芳907井区、油田北部的芳507井区和以上井区的后续生产井，到1996年底，宋芳屯油田包括两个试验区共投产油水井1109口，经过合理加强注水、注水受效及采取压裂等综合措施，油田核实日产油水平达2100t以上。截至</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目前</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，宋芳屯油田</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现有油井2426口、水井1107口，年产油47.34</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cs="Times New Roman" w:eastAsiaTheme="minorEastAsia"/>
          <w:snapToGrid/>
          <w:color w:val="000000" w:themeColor="text1"/>
          <w:kern w:val="2"/>
          <w:sz w:val="24"/>
          <w:szCs w:val="24"/>
          <w:highlight w:val="none"/>
          <w:vertAlign w:val="superscript"/>
          <w:lang w:val="en-US" w:eastAsia="zh-CN" w:bidi="ar-SA"/>
          <w14:textFill>
            <w14:solidFill>
              <w14:schemeClr w14:val="tx1"/>
            </w14:solidFill>
          </w14:textFill>
        </w:rPr>
        <w:t>4</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t</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，累计产油2199.1</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cs="Times New Roman" w:eastAsiaTheme="minorEastAsia"/>
          <w:snapToGrid/>
          <w:color w:val="000000" w:themeColor="text1"/>
          <w:kern w:val="2"/>
          <w:sz w:val="24"/>
          <w:szCs w:val="24"/>
          <w:highlight w:val="none"/>
          <w:vertAlign w:val="superscript"/>
          <w:lang w:val="en-US" w:eastAsia="zh-CN" w:bidi="ar-SA"/>
          <w14:textFill>
            <w14:solidFill>
              <w14:schemeClr w14:val="tx1"/>
            </w14:solidFill>
          </w14:textFill>
        </w:rPr>
        <w:t>4</w:t>
      </w:r>
      <w:r>
        <w:rPr>
          <w:rFonts w:hint="default"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t</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宋芳屯油田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已建集油管道共计约2678km，注水管道1985km。</w:t>
      </w:r>
      <w:r>
        <w:rPr>
          <w:rFonts w:hint="eastAsia" w:ascii="Times New Roman" w:hAnsi="Times New Roman" w:cs="Times New Roman" w:eastAsiaTheme="minorEastAsia"/>
          <w:snapToGrid/>
          <w:color w:val="000000" w:themeColor="text1"/>
          <w:kern w:val="2"/>
          <w:sz w:val="24"/>
          <w:szCs w:val="24"/>
          <w:highlight w:val="none"/>
          <w:lang w:val="en-US" w:eastAsia="zh-CN" w:bidi="ar-SA"/>
          <w14:textFill>
            <w14:solidFill>
              <w14:schemeClr w14:val="tx1"/>
            </w14:solidFill>
          </w14:textFill>
        </w:rPr>
        <w:t>升平油田位于黑龙江省安达市境内，共开发建设718口井，葡萄花油层未探明储量空白区部署评价控制井16口，葡萄花油层新区部署开发井204口，葡萄花油层老区部署加密井288口；扶余油层新区部署开发井210口。</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截至目前，</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升平油田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已建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集油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管道共计约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780.1km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注水管道</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324.8km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2091F26">
      <w:pPr>
        <w:pStyle w:val="28"/>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leftChars="0" w:firstLine="480" w:firstLineChars="200"/>
        <w:jc w:val="both"/>
        <w:textAlignment w:val="baseline"/>
        <w:rPr>
          <w:rFonts w:hint="default"/>
          <w:b w:val="0"/>
          <w:bCs/>
          <w:color w:val="000000" w:themeColor="text1"/>
          <w:highlight w:val="none"/>
          <w:lang w:val="en-US" w:eastAsia="zh-CN"/>
          <w14:textFill>
            <w14:solidFill>
              <w14:schemeClr w14:val="tx1"/>
            </w14:solidFill>
          </w14:textFill>
        </w:rPr>
      </w:pPr>
      <w:r>
        <w:rPr>
          <w:rFonts w:hint="eastAsia" w:ascii="Times New Roman" w:cs="Times New Roman"/>
          <w:b w:val="0"/>
          <w:bCs/>
          <w:color w:val="000000" w:themeColor="text1"/>
          <w:sz w:val="24"/>
          <w:szCs w:val="24"/>
          <w:highlight w:val="none"/>
          <w:lang w:val="en-US" w:eastAsia="zh-CN"/>
          <w14:textFill>
            <w14:solidFill>
              <w14:schemeClr w14:val="tx1"/>
            </w14:solidFill>
          </w14:textFill>
        </w:rPr>
        <w:t>区块内芳3转油站、芳407转油站、宋一联合站，升一联合站</w:t>
      </w:r>
      <w:r>
        <w:rPr>
          <w:rFonts w:hint="default" w:ascii="Times New Roman" w:hAnsi="Times New Roman" w:eastAsia="宋体" w:cs="Times New Roman"/>
          <w:b w:val="0"/>
          <w:bCs/>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4"/>
          <w:szCs w:val="28"/>
          <w:highlight w:val="none"/>
          <w:lang w:val="en-US" w:eastAsia="zh-CN" w:bidi="ar-SA"/>
          <w14:textFill>
            <w14:solidFill>
              <w14:schemeClr w14:val="tx1"/>
            </w14:solidFill>
          </w14:textFill>
        </w:rPr>
        <w:t>建有较为完善的油、气、水、电、道路等工程。</w:t>
      </w:r>
      <w:r>
        <w:rPr>
          <w:rFonts w:hint="eastAsia" w:ascii="Times New Roman" w:hAnsi="Times New Roman" w:eastAsia="宋体" w:cs="Times New Roman"/>
          <w:b w:val="0"/>
          <w:bCs/>
          <w:snapToGrid w:val="0"/>
          <w:color w:val="000000" w:themeColor="text1"/>
          <w:kern w:val="0"/>
          <w:sz w:val="24"/>
          <w:szCs w:val="28"/>
          <w:highlight w:val="none"/>
          <w:lang w:val="en-US" w:eastAsia="zh-CN" w:bidi="ar-SA"/>
          <w14:textFill>
            <w14:solidFill>
              <w14:schemeClr w14:val="tx1"/>
            </w14:solidFill>
          </w14:textFill>
        </w:rPr>
        <w:t>本项目区块位置</w:t>
      </w:r>
      <w:r>
        <w:rPr>
          <w:rFonts w:hint="eastAsia" w:ascii="Times New Roman" w:hAnsi="Times New Roman" w:cs="Times New Roman"/>
          <w:b w:val="0"/>
          <w:bCs/>
          <w:snapToGrid w:val="0"/>
          <w:color w:val="000000" w:themeColor="text1"/>
          <w:kern w:val="0"/>
          <w:sz w:val="24"/>
          <w:szCs w:val="28"/>
          <w:highlight w:val="none"/>
          <w:lang w:val="en-US" w:eastAsia="zh-CN" w:bidi="ar-SA"/>
          <w14:textFill>
            <w14:solidFill>
              <w14:schemeClr w14:val="tx1"/>
            </w14:solidFill>
          </w14:textFill>
        </w:rPr>
        <w:t>关系</w:t>
      </w:r>
      <w:r>
        <w:rPr>
          <w:rFonts w:hint="eastAsia" w:ascii="Times New Roman" w:hAnsi="Times New Roman" w:eastAsia="宋体" w:cs="Times New Roman"/>
          <w:b w:val="0"/>
          <w:bCs/>
          <w:snapToGrid w:val="0"/>
          <w:color w:val="000000" w:themeColor="text1"/>
          <w:kern w:val="0"/>
          <w:sz w:val="24"/>
          <w:szCs w:val="28"/>
          <w:highlight w:val="none"/>
          <w:lang w:val="en-US" w:eastAsia="zh-CN" w:bidi="ar-SA"/>
          <w14:textFill>
            <w14:solidFill>
              <w14:schemeClr w14:val="tx1"/>
            </w14:solidFill>
          </w14:textFill>
        </w:rPr>
        <w:t>图见</w:t>
      </w:r>
      <w:r>
        <w:rPr>
          <w:rFonts w:hint="eastAsia" w:ascii="Times New Roman" w:hAnsi="Times New Roman" w:cs="Times New Roman"/>
          <w:b w:val="0"/>
          <w:bCs/>
          <w:snapToGrid w:val="0"/>
          <w:color w:val="000000" w:themeColor="text1"/>
          <w:kern w:val="0"/>
          <w:sz w:val="24"/>
          <w:szCs w:val="28"/>
          <w:highlight w:val="none"/>
          <w:lang w:val="en-US" w:eastAsia="zh-CN" w:bidi="ar-SA"/>
          <w14:textFill>
            <w14:solidFill>
              <w14:schemeClr w14:val="tx1"/>
            </w14:solidFill>
          </w14:textFill>
        </w:rPr>
        <w:t>附图1-1</w:t>
      </w:r>
      <w:r>
        <w:rPr>
          <w:rFonts w:hint="eastAsia" w:ascii="Times New Roman" w:hAnsi="Times New Roman" w:eastAsia="宋体" w:cs="Times New Roman"/>
          <w:b w:val="0"/>
          <w:bCs/>
          <w:snapToGrid w:val="0"/>
          <w:color w:val="000000" w:themeColor="text1"/>
          <w:kern w:val="0"/>
          <w:sz w:val="24"/>
          <w:szCs w:val="28"/>
          <w:highlight w:val="none"/>
          <w:lang w:val="en-US" w:eastAsia="zh-CN" w:bidi="ar-SA"/>
          <w14:textFill>
            <w14:solidFill>
              <w14:schemeClr w14:val="tx1"/>
            </w14:solidFill>
          </w14:textFill>
        </w:rPr>
        <w:t>。</w:t>
      </w:r>
    </w:p>
    <w:p w14:paraId="1401EDAB">
      <w:pPr>
        <w:keepNext w:val="0"/>
        <w:keepLines w:val="0"/>
        <w:pageBreakBefore w:val="0"/>
        <w:widowControl w:val="0"/>
        <w:kinsoku/>
        <w:wordWrap/>
        <w:topLinePunct w:val="0"/>
        <w:bidi w:val="0"/>
        <w:adjustRightInd/>
        <w:snapToGrid/>
        <w:spacing w:after="0" w:line="360" w:lineRule="auto"/>
        <w:ind w:left="0" w:leftChars="0" w:firstLine="0" w:firstLineChars="0"/>
        <w:jc w:val="both"/>
        <w:outlineLvl w:val="3"/>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3.1.1.2现有</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环保手续履行情况</w:t>
      </w:r>
    </w:p>
    <w:p w14:paraId="6CFB6221">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拟更换的</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分布于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已开发区块</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宋芳屯油田和升平油田</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环保手续见表3.1-1，环评及验收意见详见附件2。</w:t>
      </w:r>
    </w:p>
    <w:p w14:paraId="71E0C1A5">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0"/>
          <w:sz w:val="24"/>
          <w:szCs w:val="22"/>
          <w:highlight w:val="none"/>
          <w:lang w:val="en-US" w:eastAsia="zh-CN" w:bidi="ar-SA"/>
          <w14:textFill>
            <w14:solidFill>
              <w14:schemeClr w14:val="tx1"/>
            </w14:solidFill>
          </w14:textFill>
        </w:rPr>
        <w:t>表3.1-1现有工程环评及验收情况调查表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4442"/>
        <w:gridCol w:w="2072"/>
        <w:gridCol w:w="2085"/>
      </w:tblGrid>
      <w:tr w14:paraId="391DF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7" w:type="pct"/>
            <w:tcBorders>
              <w:tl2br w:val="nil"/>
              <w:tr2bl w:val="nil"/>
            </w:tcBorders>
            <w:vAlign w:val="center"/>
          </w:tcPr>
          <w:p w14:paraId="52D5B1E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序号</w:t>
            </w:r>
          </w:p>
        </w:tc>
        <w:tc>
          <w:tcPr>
            <w:tcW w:w="2392" w:type="pct"/>
            <w:tcBorders>
              <w:tl2br w:val="nil"/>
              <w:tr2bl w:val="nil"/>
            </w:tcBorders>
            <w:vAlign w:val="center"/>
          </w:tcPr>
          <w:p w14:paraId="34B51E9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项目名称</w:t>
            </w:r>
          </w:p>
        </w:tc>
        <w:tc>
          <w:tcPr>
            <w:tcW w:w="1116" w:type="pct"/>
            <w:tcBorders>
              <w:tl2br w:val="nil"/>
              <w:tr2bl w:val="nil"/>
            </w:tcBorders>
            <w:vAlign w:val="center"/>
          </w:tcPr>
          <w:p w14:paraId="1CB9AED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环评批复</w:t>
            </w:r>
          </w:p>
        </w:tc>
        <w:tc>
          <w:tcPr>
            <w:tcW w:w="1123" w:type="pct"/>
            <w:tcBorders>
              <w:tl2br w:val="nil"/>
              <w:tr2bl w:val="nil"/>
            </w:tcBorders>
            <w:vAlign w:val="center"/>
          </w:tcPr>
          <w:p w14:paraId="038FCDE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验收情况</w:t>
            </w:r>
          </w:p>
        </w:tc>
      </w:tr>
      <w:tr w14:paraId="26B35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7" w:type="pct"/>
            <w:tcBorders>
              <w:tl2br w:val="nil"/>
              <w:tr2bl w:val="nil"/>
            </w:tcBorders>
            <w:vAlign w:val="center"/>
          </w:tcPr>
          <w:p w14:paraId="6B32EF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w:t>
            </w:r>
          </w:p>
        </w:tc>
        <w:tc>
          <w:tcPr>
            <w:tcW w:w="2392" w:type="pct"/>
            <w:tcBorders>
              <w:tl2br w:val="nil"/>
              <w:tr2bl w:val="nil"/>
            </w:tcBorders>
            <w:vAlign w:val="center"/>
          </w:tcPr>
          <w:p w14:paraId="4D7A45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napToGrid w:val="0"/>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升平油田升134等区块葡萄花油层产能建设地面工程</w:t>
            </w:r>
          </w:p>
        </w:tc>
        <w:tc>
          <w:tcPr>
            <w:tcW w:w="1116" w:type="pct"/>
            <w:tcBorders>
              <w:tl2br w:val="nil"/>
              <w:tr2bl w:val="nil"/>
            </w:tcBorders>
            <w:vAlign w:val="center"/>
          </w:tcPr>
          <w:p w14:paraId="66DEAA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黑环审[2018]2号</w:t>
            </w:r>
          </w:p>
        </w:tc>
        <w:tc>
          <w:tcPr>
            <w:tcW w:w="1123" w:type="pct"/>
            <w:tcBorders>
              <w:tl2br w:val="nil"/>
              <w:tr2bl w:val="nil"/>
            </w:tcBorders>
            <w:vAlign w:val="center"/>
          </w:tcPr>
          <w:p w14:paraId="55C430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通过环评验收</w:t>
            </w:r>
          </w:p>
        </w:tc>
      </w:tr>
      <w:tr w14:paraId="7D1D5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7" w:type="pct"/>
            <w:tcBorders>
              <w:tl2br w:val="nil"/>
              <w:tr2bl w:val="nil"/>
            </w:tcBorders>
            <w:vAlign w:val="center"/>
          </w:tcPr>
          <w:p w14:paraId="4F1B3B2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w:t>
            </w:r>
          </w:p>
        </w:tc>
        <w:tc>
          <w:tcPr>
            <w:tcW w:w="2392" w:type="pct"/>
            <w:tcBorders>
              <w:tl2br w:val="nil"/>
              <w:tr2bl w:val="nil"/>
            </w:tcBorders>
            <w:shd w:val="clear" w:color="auto" w:fill="auto"/>
            <w:vAlign w:val="center"/>
          </w:tcPr>
          <w:p w14:paraId="0585373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宋芳屯油田芳407加密区块产能建设工程地面工程环境影响报告表</w:t>
            </w:r>
          </w:p>
        </w:tc>
        <w:tc>
          <w:tcPr>
            <w:tcW w:w="1116" w:type="pct"/>
            <w:tcBorders>
              <w:tl2br w:val="nil"/>
              <w:tr2bl w:val="nil"/>
            </w:tcBorders>
            <w:shd w:val="clear" w:color="auto" w:fill="auto"/>
            <w:vAlign w:val="center"/>
          </w:tcPr>
          <w:p w14:paraId="5E89E68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绥环函[2018]187号</w:t>
            </w:r>
          </w:p>
        </w:tc>
        <w:tc>
          <w:tcPr>
            <w:tcW w:w="1123" w:type="pct"/>
            <w:tcBorders>
              <w:tl2br w:val="nil"/>
              <w:tr2bl w:val="nil"/>
            </w:tcBorders>
            <w:shd w:val="clear" w:color="auto" w:fill="auto"/>
            <w:vAlign w:val="center"/>
          </w:tcPr>
          <w:p w14:paraId="38D7B7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2019年12月完成自主验收</w:t>
            </w:r>
          </w:p>
        </w:tc>
      </w:tr>
      <w:tr w14:paraId="62B18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7" w:type="pct"/>
            <w:tcBorders>
              <w:tl2br w:val="nil"/>
              <w:tr2bl w:val="nil"/>
            </w:tcBorders>
            <w:vAlign w:val="center"/>
          </w:tcPr>
          <w:p w14:paraId="19E2A9C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3</w:t>
            </w:r>
          </w:p>
        </w:tc>
        <w:tc>
          <w:tcPr>
            <w:tcW w:w="2392" w:type="pct"/>
            <w:tcBorders>
              <w:tl2br w:val="nil"/>
              <w:tr2bl w:val="nil"/>
            </w:tcBorders>
            <w:shd w:val="clear" w:color="auto" w:fill="auto"/>
            <w:vAlign w:val="center"/>
          </w:tcPr>
          <w:p w14:paraId="3CE25C2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宋芳屯油田芳扶136-38区块葡萄花油层产能建设地面工程</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环境影响报告表</w:t>
            </w:r>
          </w:p>
        </w:tc>
        <w:tc>
          <w:tcPr>
            <w:tcW w:w="1116" w:type="pct"/>
            <w:tcBorders>
              <w:tl2br w:val="nil"/>
              <w:tr2bl w:val="nil"/>
            </w:tcBorders>
            <w:shd w:val="clear" w:color="auto" w:fill="auto"/>
            <w:vAlign w:val="center"/>
          </w:tcPr>
          <w:p w14:paraId="2F28FF5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庆环审[2020]61号</w:t>
            </w:r>
          </w:p>
        </w:tc>
        <w:tc>
          <w:tcPr>
            <w:tcW w:w="1123" w:type="pct"/>
            <w:tcBorders>
              <w:tl2br w:val="nil"/>
              <w:tr2bl w:val="nil"/>
            </w:tcBorders>
            <w:shd w:val="clear" w:color="auto" w:fill="auto"/>
            <w:vAlign w:val="center"/>
          </w:tcPr>
          <w:p w14:paraId="4D94953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2021年5月通过验收</w:t>
            </w:r>
          </w:p>
        </w:tc>
      </w:tr>
    </w:tbl>
    <w:p w14:paraId="7111EE1D">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3.1.2现有区块排污许可制度执行情况</w:t>
      </w:r>
    </w:p>
    <w:p w14:paraId="2A74804C">
      <w:pPr>
        <w:widowControl w:val="0"/>
        <w:adjustRightInd/>
        <w:snapToGrid/>
        <w:spacing w:after="0"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大庆油田有限责任公司第八采油厂开发范围跨越大庆市和绥化市。</w:t>
      </w:r>
    </w:p>
    <w:p w14:paraId="2B399B9B">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对大庆区域油田区块，</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已</w:t>
      </w:r>
      <w:r>
        <w:rPr>
          <w:rFonts w:hint="eastAsia"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于2024年11月28日在大庆市重新申请排污许可证，行业类别为陆地石油开采，锅炉，工业窑炉，水处理通用工序，管理类别为简化管理。该许可证已经包含第八采油厂所辖的现有油田开发区域的各场站排放的相关污染物，许可证编号91230607716675409L011X</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有效期为</w:t>
      </w:r>
      <w:r>
        <w:rPr>
          <w:rFonts w:hint="eastAsia"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2024年11月28日至2029年11月27日</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，具体见附件4</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0EC53680">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baseline"/>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根据《排污许可管理条例》《排污许可管理办法》等相关要求，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建立了自行监测制度及监测方案</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目前已按照排污许可证要求定期开展了自行监测。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各污染物防治设施正常运行，设置了规范的排污口和环境标志。建立了环境管理台账记录制度，详细记录了污染物防治设施的基本情况、运行管理情况、监测信息等内容。</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定期将各场站污染源监测数据填报在全国排污许可证管理信息平台上，公开</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各场站污染源的污染物排放信息，包括污染物排放种类、排放浓度和排放量、排污许可证执行报告、自行监测数据等。根据调查，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已完成各年度的年报填报工作。符合《排污许可管理条例》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2021年3月1日起施行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、《排污许可管理办法》</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2024年7月1日起施行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中相关要求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7952A41">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大庆油田有限责任公司第八采油厂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对绥化区域油田区块，</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已于202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日在全国排污许可证管理信息平台进行排污许可</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登记变更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，排污许可</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登记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编号：91230607716675409L013Y，有效期限为2024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年12月5日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至2029</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2月4日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。符合《排污许可管理办法》（2024年7月1日起施行）中相关要求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32D7B568">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1.3现有工程环保措施落实和效果回顾调查</w:t>
      </w:r>
    </w:p>
    <w:p w14:paraId="5233EDA1">
      <w:pPr>
        <w:keepNext w:val="0"/>
        <w:keepLines w:val="0"/>
        <w:pageBreakBefore w:val="0"/>
        <w:widowControl w:val="0"/>
        <w:kinsoku/>
        <w:wordWrap/>
        <w:topLinePunct w:val="0"/>
        <w:bidi w:val="0"/>
        <w:adjustRightInd/>
        <w:snapToGrid/>
        <w:spacing w:after="0" w:line="360" w:lineRule="auto"/>
        <w:ind w:firstLine="0" w:firstLineChars="0"/>
        <w:jc w:val="both"/>
        <w:outlineLvl w:val="3"/>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3.1.3.1废气</w:t>
      </w:r>
    </w:p>
    <w:p w14:paraId="22949EE3">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（1）非甲烷总烃</w:t>
      </w:r>
    </w:p>
    <w:p w14:paraId="0D575B4F">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宋芳屯油田及升平油田</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采用密闭集输工艺输送油田采出液及原油，能够有效控制烃类</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气体挥发</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。根据项目所在区域环境控制量现状监测数据可知，项目所在区域非甲烷总烃浓度可以满足《大气污染物综合排放标准</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详解》中的2.0mg/m</w:t>
      </w:r>
      <w:r>
        <w:rPr>
          <w:rFonts w:hint="default"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标准要求。</w:t>
      </w:r>
    </w:p>
    <w:p w14:paraId="7EB53550">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陆上石油天然气开采工业大气污染物排放标准》（GB39728-2020）中5.7.2在需要采取原油稳定措施的油田或油田区块内，将油井采出的井产物进行汇集、处理、输送至原油稳定装置的全过程应采用密闭工艺流程。现有工程</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均埋地敷设、接口法兰均为密闭，在油气集输过程中采取了全密闭工艺流程，满足《陆上石油天然气开采工业大气污染物排放标准》（GB39728-2020）相关要求。</w:t>
      </w:r>
    </w:p>
    <w:p w14:paraId="04223F47">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含油污水采用密闭管道集输方式，满足《陆上石油天然气开采工业大气污染物排放标准》（GB39728-2020）中5.4.1油气田采出水、原油稳定</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装置污水、天然气凝液及其产品储罐排水、原油储罐排水应采用密闭管道集输，接入口和排出口采取与环境空气</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隔离</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措施的要求。</w:t>
      </w:r>
    </w:p>
    <w:p w14:paraId="15CFC53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现有</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废气污染防治措施合理。</w:t>
      </w:r>
    </w:p>
    <w:p w14:paraId="5EB3697F">
      <w:pPr>
        <w:keepNext w:val="0"/>
        <w:keepLines w:val="0"/>
        <w:pageBreakBefore w:val="0"/>
        <w:widowControl w:val="0"/>
        <w:kinsoku/>
        <w:wordWrap/>
        <w:topLinePunct w:val="0"/>
        <w:bidi w:val="0"/>
        <w:adjustRightInd/>
        <w:snapToGrid/>
        <w:spacing w:after="0" w:line="360" w:lineRule="auto"/>
        <w:ind w:firstLine="0" w:firstLineChars="0"/>
        <w:jc w:val="both"/>
        <w:outlineLvl w:val="3"/>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3.1.3.2废水</w:t>
      </w:r>
    </w:p>
    <w:p w14:paraId="7A85EFAE">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现有工程废水主要为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管道输送</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油田产液分离出的含油污水</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及注水管道输送的回注水</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15AD139E">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区块内油井产液脱出的含油污水分别管输至</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宋一联</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含油污水处理站</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和升一联含油污水处理站</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处理达标后回注现役油层。</w:t>
      </w:r>
    </w:p>
    <w:p w14:paraId="376266FD">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根据黑龙江省吉瑞达检测科技有限公司于202</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年</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12</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月</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日对</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宋一联</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含油污水处理站、</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升一联含油污水处理站</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的出水水质监测结果可知：</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宋一联</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含油污水处理站处理后废水中含油量</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1.14</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1.28</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mg/L、悬浮固体为</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mg/L，</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升一联含油污水处理站</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处理后废水中含油量</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1.18</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1.24</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mg/L、悬浮固体为</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mg/L，</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均</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满足《大庆油田地面工程建设设计规定》（Q/SYDQ0639-2015）限值要求：</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含油量≤10mg/L、悬浮固体含量≤5mg/L</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要求，同时满足《碎屑岩油藏注水水质指标技术要求及分析方法》（SY/T5329-2022）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现有区块内废水污染防治措施合理，根据调查，</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建立健全了各项生产制度，如《油田环境保护综合管理制度》和《油田质量安全健康环境（QHSE）管理规定》，截至目前未发生废水</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泄漏污染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事故。</w:t>
      </w:r>
    </w:p>
    <w:p w14:paraId="01BDF0DC">
      <w:pPr>
        <w:keepNext w:val="0"/>
        <w:keepLines w:val="0"/>
        <w:pageBreakBefore w:val="0"/>
        <w:widowControl w:val="0"/>
        <w:kinsoku/>
        <w:wordWrap/>
        <w:topLinePunct w:val="0"/>
        <w:bidi w:val="0"/>
        <w:adjustRightInd/>
        <w:snapToGrid/>
        <w:spacing w:after="0" w:line="360" w:lineRule="auto"/>
        <w:ind w:firstLine="0" w:firstLineChars="0"/>
        <w:jc w:val="both"/>
        <w:outlineLvl w:val="3"/>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3.1.3.3噪声</w:t>
      </w:r>
    </w:p>
    <w:p w14:paraId="0113152C">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根据调查，区块内</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集输管道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运行正常。</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运营期管道输送无噪声产生。</w:t>
      </w:r>
    </w:p>
    <w:p w14:paraId="3B31541F">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现有区块内噪声污染防治措施合理。</w:t>
      </w:r>
    </w:p>
    <w:p w14:paraId="69C175AA">
      <w:pPr>
        <w:keepNext w:val="0"/>
        <w:keepLines w:val="0"/>
        <w:pageBreakBefore w:val="0"/>
        <w:widowControl w:val="0"/>
        <w:kinsoku/>
        <w:wordWrap/>
        <w:topLinePunct w:val="0"/>
        <w:bidi w:val="0"/>
        <w:adjustRightInd/>
        <w:snapToGrid/>
        <w:spacing w:after="0" w:line="360" w:lineRule="auto"/>
        <w:ind w:firstLine="0" w:firstLineChars="0"/>
        <w:jc w:val="both"/>
        <w:outlineLvl w:val="3"/>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3.1.3.4固体废物</w:t>
      </w:r>
    </w:p>
    <w:p w14:paraId="50F22D7B">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区块</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管道维修或更换过程中，临时占地内管道下方铺设</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防渗布</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，并设置钢制污油回收槽。在采取上述措施后，</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截至</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目前，区块内未发生落地油污染环境的事件。含油防渗布统一暂存在第八采油厂三矿危废贮存库，定期</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委托</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资质单位处理</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p>
    <w:p w14:paraId="3EE6A54E">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现有区块内固体废物的污染防治措施合理。</w:t>
      </w:r>
    </w:p>
    <w:p w14:paraId="70B8E982">
      <w:pPr>
        <w:keepNext w:val="0"/>
        <w:keepLines w:val="0"/>
        <w:pageBreakBefore w:val="0"/>
        <w:widowControl w:val="0"/>
        <w:kinsoku/>
        <w:wordWrap/>
        <w:topLinePunct w:val="0"/>
        <w:bidi w:val="0"/>
        <w:adjustRightInd/>
        <w:snapToGrid/>
        <w:spacing w:after="0" w:line="360" w:lineRule="auto"/>
        <w:ind w:firstLine="0" w:firstLineChars="0"/>
        <w:jc w:val="both"/>
        <w:outlineLvl w:val="3"/>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3.1.3.5地下水及土壤污染防治措施</w:t>
      </w:r>
    </w:p>
    <w:p w14:paraId="59BCD23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区块内现有</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集油管道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、注水管道</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等均</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采用防腐钢管，</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集油管道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设计壁厚的腐蚀余量大于3mm，管道的连接方式采用焊接；</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管道更换</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期间占地范围内铺设2mm厚高密度聚乙烯膜（渗透系数为1.0×10</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13</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cm/s），防渗性能等效黏土防渗层Mb≥6.0m、K≤1.0×10</w:t>
      </w:r>
      <w:r>
        <w:rPr>
          <w:rFonts w:hint="default" w:ascii="Times New Roman" w:hAnsi="Times New Roman" w:eastAsia="宋体" w:cs="Times New Roman"/>
          <w:snapToGrid w:val="0"/>
          <w:color w:val="000000" w:themeColor="text1"/>
          <w:kern w:val="2"/>
          <w:sz w:val="24"/>
          <w:szCs w:val="24"/>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cm/s，满足《环境影响评价技术导则地下水环境》（HJ610-2016）表7中重点防渗区</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的防渗技术要求。</w:t>
      </w:r>
    </w:p>
    <w:p w14:paraId="5D2B143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根据本次评价对现有工程区域内水井的监测结果，区域内</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监测因子</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均能满足《地下水质量标准》（GB/T14848-2017）III类标准，</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石油类能够满足《地表水环境质量标准》（GB3838-2002）中II类标准</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5778AA6A">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该区域油田开发对区域地下水累积性影响较小。</w:t>
      </w:r>
    </w:p>
    <w:p w14:paraId="5240F163">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根据本次评价对现有工程内土壤的检测结果，占地内土壤质量满足</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《土壤环境质量建设用地土壤污染风险管控标准（试行）》（GB36600-2018）标准要求，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集输管道临时占地范围内、占地外</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农用地土壤各污染物满足《土壤环境质量农用地土壤污染风险管控标准（试行）》（GB</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15618</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-2018）</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。说明现有工程在运行阶段未对区域土壤产生明显影响。</w:t>
      </w:r>
    </w:p>
    <w:p w14:paraId="04E807E1">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同时采油八厂已在其管辖区域内布设60口地下水跟踪监测井，位于区块附近的为cy8-4、cy8-6、cy8-8、cy8-9、cy8-10、mft-07地下水跟踪检测井。</w:t>
      </w:r>
    </w:p>
    <w:p w14:paraId="5AD29663">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跟踪监测井结构包括井管、滤水管、填料、井台，跟踪监测井结构见图3.1-2。采油八厂区域跟踪监测井选用内径90mm的硬聚乙烯材质管件，井管</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连接</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选用螺纹连接，井深为20m，主要用于调查区域潜水层，井台地上部分井管长度应保留50cm，井口用与井管同材质的管帽封堵，地面上部分的井管应采用管套保护，管套与井管之间注混凝土浆固定，井台高度应不小于30cm，长宽一般50cm。目前跟踪监测井运行正常。</w:t>
      </w:r>
    </w:p>
    <w:p w14:paraId="4B98EC9F">
      <w:pPr>
        <w:keepNext w:val="0"/>
        <w:keepLines w:val="0"/>
        <w:pageBreakBefore w:val="0"/>
        <w:widowControl w:val="0"/>
        <w:kinsoku/>
        <w:wordWrap/>
        <w:topLinePunct w:val="0"/>
        <w:autoSpaceDE/>
        <w:autoSpaceDN/>
        <w:bidi w:val="0"/>
        <w:adjustRightInd/>
        <w:snapToGrid/>
        <w:spacing w:after="0" w:line="360" w:lineRule="auto"/>
        <w:ind w:firstLine="480" w:firstLineChars="200"/>
        <w:jc w:val="center"/>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drawing>
          <wp:inline distT="0" distB="0" distL="114300" distR="114300">
            <wp:extent cx="1579880" cy="3081655"/>
            <wp:effectExtent l="0" t="0" r="127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579880" cy="3081655"/>
                    </a:xfrm>
                    <a:prstGeom prst="rect">
                      <a:avLst/>
                    </a:prstGeom>
                    <a:noFill/>
                    <a:ln>
                      <a:noFill/>
                    </a:ln>
                  </pic:spPr>
                </pic:pic>
              </a:graphicData>
            </a:graphic>
          </wp:inline>
        </w:drawing>
      </w:r>
    </w:p>
    <w:p w14:paraId="0D7026C1">
      <w:pPr>
        <w:keepNext w:val="0"/>
        <w:keepLines w:val="0"/>
        <w:pageBreakBefore w:val="0"/>
        <w:widowControl w:val="0"/>
        <w:kinsoku/>
        <w:wordWrap/>
        <w:topLinePunct w:val="0"/>
        <w:autoSpaceDE/>
        <w:autoSpaceDN/>
        <w:bidi w:val="0"/>
        <w:adjustRightInd/>
        <w:snapToGrid/>
        <w:spacing w:after="0" w:line="360" w:lineRule="auto"/>
        <w:ind w:firstLine="480" w:firstLineChars="200"/>
        <w:jc w:val="center"/>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图3.1-2 跟踪监测井结构</w:t>
      </w:r>
    </w:p>
    <w:p w14:paraId="30FA155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结合本项目对采油八厂现有区域潜水跟踪监测井监测结果可知，均能满足《地下水质量标准》（GB/T14848-2017）III类标准；石油类满足《地表水环境质量标准》（GB3838-2002）中</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instrText xml:space="preserve"> = 2 \* ROMAN \* MERGEFORMAT </w:instrTex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II</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类标准限值（≤0.05mg/L）。说明该区域油田开发对区域地下水累积性影响较小。</w:t>
      </w:r>
    </w:p>
    <w:p w14:paraId="3D745DB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现有区块内地下水及土壤防治措施合理。</w:t>
      </w:r>
    </w:p>
    <w:p w14:paraId="39FEF20B">
      <w:pPr>
        <w:keepNext w:val="0"/>
        <w:keepLines w:val="0"/>
        <w:pageBreakBefore w:val="0"/>
        <w:widowControl w:val="0"/>
        <w:kinsoku/>
        <w:wordWrap/>
        <w:topLinePunct w:val="0"/>
        <w:bidi w:val="0"/>
        <w:adjustRightInd/>
        <w:snapToGrid/>
        <w:spacing w:after="0" w:line="360" w:lineRule="auto"/>
        <w:ind w:firstLine="0" w:firstLineChars="0"/>
        <w:jc w:val="both"/>
        <w:outlineLvl w:val="3"/>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3.1.3.6现有区块内生态环境恢复情况</w:t>
      </w:r>
    </w:p>
    <w:p w14:paraId="530ABAF1">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根据现场调查，现有区块生态环境主要为草原生态系统、</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森林生态系统、</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农田生态系统。</w:t>
      </w:r>
    </w:p>
    <w:p w14:paraId="4D932E8D">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区域内已建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集输管道临时</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占地已采用相应的生态保护和恢复措施，临时施工占地得到了较好的平整、清理，临时占地内植被已经基本恢复到油田开发前状态，没有改变项目区的生态</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系统结构与功能，项目区的生态组分及生物多样性未受影响，生态格局变化不大。</w:t>
      </w:r>
    </w:p>
    <w:p w14:paraId="05C57227">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区块内管道临时占地恢复现状见图3.1-1。</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96"/>
        <w:gridCol w:w="4792"/>
      </w:tblGrid>
      <w:tr w14:paraId="70BF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496" w:type="dxa"/>
            <w:tcBorders>
              <w:tl2br w:val="nil"/>
              <w:tr2bl w:val="nil"/>
            </w:tcBorders>
            <w:vAlign w:val="center"/>
          </w:tcPr>
          <w:p w14:paraId="5ABA94EA">
            <w:pPr>
              <w:keepNext w:val="0"/>
              <w:keepLines w:val="0"/>
              <w:pageBreakBefore w:val="0"/>
              <w:widowControl w:val="0"/>
              <w:kinsoku/>
              <w:wordWrap/>
              <w:topLinePunct w:val="0"/>
              <w:autoSpaceDE/>
              <w:autoSpaceDN/>
              <w:bidi w:val="0"/>
              <w:adjustRightInd/>
              <w:snapToGrid/>
              <w:spacing w:after="0" w:line="360" w:lineRule="auto"/>
              <w:jc w:val="center"/>
              <w:textAlignment w:val="auto"/>
              <w:rPr>
                <w:rFonts w:hint="eastAsia" w:ascii="Times New Roman" w:hAnsi="Times New Roman" w:eastAsia="微软雅黑" w:cs="Times New Roman"/>
                <w:snapToGrid w:val="0"/>
                <w:color w:val="000000" w:themeColor="text1"/>
                <w:kern w:val="0"/>
                <w:sz w:val="24"/>
                <w:szCs w:val="20"/>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226695</wp:posOffset>
                      </wp:positionH>
                      <wp:positionV relativeFrom="paragraph">
                        <wp:posOffset>615315</wp:posOffset>
                      </wp:positionV>
                      <wp:extent cx="933450" cy="287020"/>
                      <wp:effectExtent l="5080" t="4445" r="13970" b="470535"/>
                      <wp:wrapNone/>
                      <wp:docPr id="125" name="矩形标注 125"/>
                      <wp:cNvGraphicFramePr/>
                      <a:graphic xmlns:a="http://schemas.openxmlformats.org/drawingml/2006/main">
                        <a:graphicData uri="http://schemas.microsoft.com/office/word/2010/wordprocessingShape">
                          <wps:wsp>
                            <wps:cNvSpPr/>
                            <wps:spPr>
                              <a:xfrm>
                                <a:off x="0" y="0"/>
                                <a:ext cx="933450" cy="287020"/>
                              </a:xfrm>
                              <a:prstGeom prst="wedgeRectCallout">
                                <a:avLst>
                                  <a:gd name="adj1" fmla="val 10952"/>
                                  <a:gd name="adj2" fmla="val 201106"/>
                                </a:avLst>
                              </a:prstGeom>
                              <a:noFill/>
                              <a:ln w="3175" cap="flat" cmpd="sng" algn="ctr">
                                <a:solidFill>
                                  <a:sysClr val="window" lastClr="FFFFFF"/>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084DAB">
                                  <w:pPr>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集输管道</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17.85pt;margin-top:48.45pt;height:22.6pt;width:73.5pt;z-index:251664384;v-text-anchor:middle;mso-width-relative:page;mso-height-relative:page;" filled="f" stroked="t" coordsize="21600,21600" o:gfxdata="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NHKFrvWAAAACQEAAA8AAAAAAAAAAQAgAAAAIgAAAGRycy9kb3du&#10;cmV2LnhtbFBLAQIUABQAAAAIAIdO4kCQaDcwrAIAAEoFAAAOAAAAAAAAAAEAIAAAACUBAABkcnMv&#10;ZTJvRG9jLnhtbFBLBQYAAAAABgAGAFkBAABDBgAAAAA=&#10;" adj="13166,54239">
                      <v:fill on="f" focussize="0,0"/>
                      <v:stroke weight="0.25pt" color="#FFFFFF [3204]" miterlimit="8" joinstyle="miter"/>
                      <v:imagedata o:title=""/>
                      <o:lock v:ext="edit" aspectratio="f"/>
                      <v:textbox inset="0mm,0mm,0mm,0mm">
                        <w:txbxContent>
                          <w:p w14:paraId="4A084DAB">
                            <w:pPr>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集输管道</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1303020</wp:posOffset>
                      </wp:positionV>
                      <wp:extent cx="1369060" cy="194310"/>
                      <wp:effectExtent l="5715" t="0" r="15875" b="0"/>
                      <wp:wrapNone/>
                      <wp:docPr id="36" name="任意多边形 36"/>
                      <wp:cNvGraphicFramePr/>
                      <a:graphic xmlns:a="http://schemas.openxmlformats.org/drawingml/2006/main">
                        <a:graphicData uri="http://schemas.microsoft.com/office/word/2010/wordprocessingShape">
                          <wps:wsp>
                            <wps:cNvSpPr/>
                            <wps:spPr>
                              <a:xfrm rot="240000" flipV="1">
                                <a:off x="1325880" y="6959600"/>
                                <a:ext cx="1369060" cy="194310"/>
                              </a:xfrm>
                              <a:custGeom>
                                <a:avLst/>
                                <a:gdLst>
                                  <a:gd name="connisteX0" fmla="*/ 0 w 2314575"/>
                                  <a:gd name="connsiteY0" fmla="*/ 0 h 200025"/>
                                  <a:gd name="connisteX1" fmla="*/ 2314575 w 2314575"/>
                                  <a:gd name="connsiteY1" fmla="*/ 200025 h 200025"/>
                                </a:gdLst>
                                <a:ahLst/>
                                <a:cxnLst>
                                  <a:cxn ang="0">
                                    <a:pos x="connisteX0" y="connsiteY0"/>
                                  </a:cxn>
                                  <a:cxn ang="0">
                                    <a:pos x="connisteX1" y="connsiteY1"/>
                                  </a:cxn>
                                </a:cxnLst>
                                <a:rect l="l" t="t" r="r" b="b"/>
                                <a:pathLst>
                                  <a:path w="2314575" h="200025">
                                    <a:moveTo>
                                      <a:pt x="0" y="0"/>
                                    </a:moveTo>
                                    <a:lnTo>
                                      <a:pt x="2314575" y="200025"/>
                                    </a:lnTo>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flip:y;margin-left:3.25pt;margin-top:102.6pt;height:15.3pt;width:107.8pt;rotation:-262144f;z-index:251662336;mso-width-relative:page;mso-height-relative:page;" filled="f" stroked="t" coordsize="2314575,200025" o:gfxdata="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xo1Ub1gAAAAkBAAAPAAAAAAAA&#10;AAEAIAAAACIAAABkcnMvZG93bnJldi54bWxQSwECFAAUAAAACACHTuJA3ZPogr8CAAD4BQAADgAA&#10;AAAAAAABACAAAAAlAQAAZHJzL2Uyb0RvYy54bWxQSwUGAAAAAAYABgBZAQAAVgYAAAAA&#10;" path="m0,0l2314575,200025e">
                      <v:path o:connectlocs="0,0;1369060,194310" o:connectangles="0,0"/>
                      <v:fill on="f" focussize="0,0"/>
                      <v:stroke weight="1.5pt" color="#FF0000 [2404]" miterlimit="8" joinstyle="miter"/>
                      <v:imagedata o:title=""/>
                      <o:lock v:ext="edit" aspectratio="f"/>
                    </v:shape>
                  </w:pict>
                </mc:Fallback>
              </mc:AlternateContent>
            </w:r>
            <w:r>
              <w:rPr>
                <w:rFonts w:hint="eastAsia" w:ascii="Times New Roman" w:hAnsi="Times New Roman" w:eastAsia="微软雅黑" w:cs="Times New Roman"/>
                <w:snapToGrid w:val="0"/>
                <w:color w:val="000000" w:themeColor="text1"/>
                <w:kern w:val="0"/>
                <w:sz w:val="24"/>
                <w:szCs w:val="20"/>
                <w:highlight w:val="none"/>
                <w:vertAlign w:val="baseline"/>
                <w:lang w:val="en-US" w:eastAsia="zh-CN" w:bidi="ar-SA"/>
                <w14:textFill>
                  <w14:solidFill>
                    <w14:schemeClr w14:val="tx1"/>
                  </w14:solidFill>
                </w14:textFill>
              </w:rPr>
              <w:drawing>
                <wp:inline distT="0" distB="0" distL="114300" distR="114300">
                  <wp:extent cx="3277870" cy="1998345"/>
                  <wp:effectExtent l="0" t="0" r="17780" b="1905"/>
                  <wp:docPr id="1" name="图片 1" descr="最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北 (2)"/>
                          <pic:cNvPicPr>
                            <a:picLocks noChangeAspect="1"/>
                          </pic:cNvPicPr>
                        </pic:nvPicPr>
                        <pic:blipFill>
                          <a:blip r:embed="rId20"/>
                          <a:stretch>
                            <a:fillRect/>
                          </a:stretch>
                        </pic:blipFill>
                        <pic:spPr>
                          <a:xfrm>
                            <a:off x="0" y="0"/>
                            <a:ext cx="3277870" cy="1998345"/>
                          </a:xfrm>
                          <a:prstGeom prst="rect">
                            <a:avLst/>
                          </a:prstGeom>
                        </pic:spPr>
                      </pic:pic>
                    </a:graphicData>
                  </a:graphic>
                </wp:inline>
              </w:drawing>
            </w:r>
          </w:p>
        </w:tc>
        <w:tc>
          <w:tcPr>
            <w:tcW w:w="4792" w:type="dxa"/>
            <w:tcBorders>
              <w:tl2br w:val="nil"/>
              <w:tr2bl w:val="nil"/>
            </w:tcBorders>
            <w:vAlign w:val="center"/>
          </w:tcPr>
          <w:p w14:paraId="4538BC7F">
            <w:pPr>
              <w:keepNext w:val="0"/>
              <w:keepLines w:val="0"/>
              <w:pageBreakBefore w:val="0"/>
              <w:widowControl w:val="0"/>
              <w:kinsoku/>
              <w:wordWrap/>
              <w:topLinePunct w:val="0"/>
              <w:autoSpaceDE/>
              <w:autoSpaceDN/>
              <w:bidi w:val="0"/>
              <w:adjustRightInd/>
              <w:snapToGrid/>
              <w:spacing w:after="0" w:line="360" w:lineRule="auto"/>
              <w:jc w:val="center"/>
              <w:textAlignment w:val="auto"/>
              <w:rPr>
                <w:rFonts w:hint="eastAsia" w:ascii="Times New Roman" w:hAnsi="Times New Roman" w:eastAsia="微软雅黑" w:cs="Times New Roman"/>
                <w:snapToGrid w:val="0"/>
                <w:color w:val="000000" w:themeColor="text1"/>
                <w:kern w:val="0"/>
                <w:sz w:val="24"/>
                <w:szCs w:val="20"/>
                <w:highlight w:val="none"/>
                <w:vertAlign w:val="baseli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1479550</wp:posOffset>
                      </wp:positionH>
                      <wp:positionV relativeFrom="paragraph">
                        <wp:posOffset>889635</wp:posOffset>
                      </wp:positionV>
                      <wp:extent cx="1419860" cy="982980"/>
                      <wp:effectExtent l="59055" t="0" r="64135" b="0"/>
                      <wp:wrapNone/>
                      <wp:docPr id="37" name="任意多边形 37"/>
                      <wp:cNvGraphicFramePr/>
                      <a:graphic xmlns:a="http://schemas.openxmlformats.org/drawingml/2006/main">
                        <a:graphicData uri="http://schemas.microsoft.com/office/word/2010/wordprocessingShape">
                          <wps:wsp>
                            <wps:cNvSpPr/>
                            <wps:spPr>
                              <a:xfrm rot="21180000" flipH="1">
                                <a:off x="4183380" y="6550025"/>
                                <a:ext cx="1419860" cy="982980"/>
                              </a:xfrm>
                              <a:custGeom>
                                <a:avLst/>
                                <a:gdLst>
                                  <a:gd name="connisteX0" fmla="*/ 1485900 w 1485900"/>
                                  <a:gd name="connsiteY0" fmla="*/ 0 h 38100"/>
                                  <a:gd name="connisteX1" fmla="*/ 0 w 1485900"/>
                                  <a:gd name="connsiteY1" fmla="*/ 38100 h 38100"/>
                                </a:gdLst>
                                <a:ahLst/>
                                <a:cxnLst>
                                  <a:cxn ang="0">
                                    <a:pos x="connisteX0" y="connsiteY0"/>
                                  </a:cxn>
                                  <a:cxn ang="0">
                                    <a:pos x="connisteX1" y="connsiteY1"/>
                                  </a:cxn>
                                </a:cxnLst>
                                <a:rect l="l" t="t" r="r" b="b"/>
                                <a:pathLst>
                                  <a:path w="1485900" h="38100">
                                    <a:moveTo>
                                      <a:pt x="1485900" y="0"/>
                                    </a:moveTo>
                                    <a:lnTo>
                                      <a:pt x="0" y="38100"/>
                                    </a:lnTo>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flip:x;margin-left:116.5pt;margin-top:70.05pt;height:77.4pt;width:111.8pt;rotation:458752f;z-index:251663360;mso-width-relative:page;mso-height-relative:page;" filled="f" stroked="t" coordsize="1485900,38100" o:gfxdata="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VhqdbbAAAACwEA&#10;AA8AAAAAAAAAAQAgAAAAIgAAAGRycy9kb3ducmV2LnhtbFBLAQIUABQAAAAIAIdO4kBRDjUbwgIA&#10;APUFAAAOAAAAAAAAAAEAIAAAACoBAABkcnMvZTJvRG9jLnhtbFBLBQYAAAAABgAGAFkBAABeBgAA&#10;AAA=&#10;" path="m1485900,0l0,38100e">
                      <v:path o:connectlocs="1419860,0;0,982980" o:connectangles="0,0"/>
                      <v:fill on="f" focussize="0,0"/>
                      <v:stroke weight="1.5pt" color="#FF0000 [2404]" miterlimit="8" joinstyle="miter"/>
                      <v:imagedata o:title=""/>
                      <o:lock v:ext="edit" aspectratio="f"/>
                    </v:shape>
                  </w:pict>
                </mc:Fallback>
              </mc:AlternateContent>
            </w:r>
            <w:r>
              <w:rPr>
                <w:rFonts w:hint="default" w:ascii="Times New Roman" w:hAnsi="Times New Roman" w:eastAsia="宋体" w:cs="Times New Roman"/>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173355</wp:posOffset>
                      </wp:positionH>
                      <wp:positionV relativeFrom="paragraph">
                        <wp:posOffset>1091565</wp:posOffset>
                      </wp:positionV>
                      <wp:extent cx="933450" cy="287020"/>
                      <wp:effectExtent l="5080" t="42545" r="528320" b="13335"/>
                      <wp:wrapNone/>
                      <wp:docPr id="39" name="矩形标注 39"/>
                      <wp:cNvGraphicFramePr/>
                      <a:graphic xmlns:a="http://schemas.openxmlformats.org/drawingml/2006/main">
                        <a:graphicData uri="http://schemas.microsoft.com/office/word/2010/wordprocessingShape">
                          <wps:wsp>
                            <wps:cNvSpPr/>
                            <wps:spPr>
                              <a:xfrm>
                                <a:off x="0" y="0"/>
                                <a:ext cx="933450" cy="287020"/>
                              </a:xfrm>
                              <a:prstGeom prst="wedgeRectCallout">
                                <a:avLst>
                                  <a:gd name="adj1" fmla="val 100748"/>
                                  <a:gd name="adj2" fmla="val -61061"/>
                                </a:avLst>
                              </a:prstGeom>
                              <a:noFill/>
                              <a:ln w="3175" cap="flat" cmpd="sng" algn="ctr">
                                <a:solidFill>
                                  <a:sysClr val="window" lastClr="FFFFFF"/>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2F8A74">
                                  <w:pPr>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集输管道</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13.65pt;margin-top:85.95pt;height:22.6pt;width:73.5pt;z-index:251665408;v-text-anchor:middle;mso-width-relative:page;mso-height-relative:page;" filled="f" stroked="t" coordsize="21600,21600" o:gfxdata="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xrEjwNYAAAAKAQAADwAAAAAAAAABACAAAAAiAAAAZHJzL2Rv&#10;d25yZXYueG1sUEsBAhQAFAAAAAgAh07iQBmJomKuAgAASQUAAA4AAAAAAAAAAQAgAAAAJQEAAGRy&#10;cy9lMm9Eb2MueG1sUEsFBgAAAAAGAAYAWQEAAEUGAAAAAA==&#10;" adj="32562,-2389">
                      <v:fill on="f" focussize="0,0"/>
                      <v:stroke weight="0.25pt" color="#FFFFFF [3204]" miterlimit="8" joinstyle="miter"/>
                      <v:imagedata o:title=""/>
                      <o:lock v:ext="edit" aspectratio="f"/>
                      <v:textbox inset="0mm,0mm,0mm,0mm">
                        <w:txbxContent>
                          <w:p w14:paraId="122F8A74">
                            <w:pPr>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集输管道</w:t>
                            </w:r>
                          </w:p>
                        </w:txbxContent>
                      </v:textbox>
                    </v:shape>
                  </w:pict>
                </mc:Fallback>
              </mc:AlternateContent>
            </w:r>
            <w:r>
              <w:rPr>
                <w:rFonts w:hint="eastAsia" w:ascii="Times New Roman" w:hAnsi="Times New Roman" w:eastAsia="微软雅黑" w:cs="Times New Roman"/>
                <w:snapToGrid w:val="0"/>
                <w:color w:val="000000" w:themeColor="text1"/>
                <w:kern w:val="0"/>
                <w:sz w:val="24"/>
                <w:szCs w:val="20"/>
                <w:highlight w:val="none"/>
                <w:vertAlign w:val="baseline"/>
                <w:lang w:val="en-US" w:eastAsia="zh-CN" w:bidi="ar-SA"/>
                <w14:textFill>
                  <w14:solidFill>
                    <w14:schemeClr w14:val="tx1"/>
                  </w14:solidFill>
                </w14:textFill>
              </w:rPr>
              <w:drawing>
                <wp:inline distT="0" distB="0" distL="114300" distR="114300">
                  <wp:extent cx="3506470" cy="1961515"/>
                  <wp:effectExtent l="0" t="0" r="17780" b="635"/>
                  <wp:docPr id="2" name="图片 2" descr="最东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东 (22)"/>
                          <pic:cNvPicPr>
                            <a:picLocks noChangeAspect="1"/>
                          </pic:cNvPicPr>
                        </pic:nvPicPr>
                        <pic:blipFill>
                          <a:blip r:embed="rId21"/>
                          <a:stretch>
                            <a:fillRect/>
                          </a:stretch>
                        </pic:blipFill>
                        <pic:spPr>
                          <a:xfrm>
                            <a:off x="0" y="0"/>
                            <a:ext cx="3506470" cy="1961515"/>
                          </a:xfrm>
                          <a:prstGeom prst="rect">
                            <a:avLst/>
                          </a:prstGeom>
                        </pic:spPr>
                      </pic:pic>
                    </a:graphicData>
                  </a:graphic>
                </wp:inline>
              </w:drawing>
            </w:r>
          </w:p>
        </w:tc>
      </w:tr>
      <w:tr w14:paraId="38379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288" w:type="dxa"/>
            <w:gridSpan w:val="2"/>
            <w:tcBorders>
              <w:tl2br w:val="nil"/>
              <w:tr2bl w:val="nil"/>
            </w:tcBorders>
            <w:vAlign w:val="center"/>
          </w:tcPr>
          <w:p w14:paraId="5221B01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000000" w:themeColor="text1"/>
                <w:kern w:val="0"/>
                <w:sz w:val="24"/>
                <w:szCs w:val="20"/>
                <w:highlight w:val="none"/>
                <w:vertAlign w:val="baseli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0"/>
                <w:highlight w:val="none"/>
                <w:vertAlign w:val="baseline"/>
                <w:lang w:val="en-US" w:eastAsia="zh-CN" w:bidi="ar-SA"/>
                <w14:textFill>
                  <w14:solidFill>
                    <w14:schemeClr w14:val="tx1"/>
                  </w14:solidFill>
                </w14:textFill>
              </w:rPr>
              <w:t>图3.1-1区块内已建集输管道临时占地恢复情况</w:t>
            </w:r>
          </w:p>
        </w:tc>
      </w:tr>
    </w:tbl>
    <w:p w14:paraId="14022EA3">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3.1.4现有区块环境风险防范及应急措施落实情况调查</w:t>
      </w:r>
    </w:p>
    <w:p w14:paraId="36F4420E">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大庆油田有限责任公司</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已经编制《大庆油田有限责任公司</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环境突发事件专项应急预案》，</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并在2023年6月进行备案</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，备案编号</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230621-202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-01</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-L</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（具体见附件3），设置了相应的环境应急预案体系、应急组织机构、监测与预警、应急处置与应急响应措施、环境风险防范设施等；日常加强应急演练；</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大庆油田有限责任公司</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的应急预案与</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大庆油田有限责任公司</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应急预案为有效衔接，</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大庆油田有限责任公司</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应急预案与大庆市政府的应急预案为有效衔接，从大庆市到公司到建设单位建立了应急响应和风险防范的联动机制。</w:t>
      </w:r>
    </w:p>
    <w:p w14:paraId="412CB8BF">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根据现场调查，现有区块内站场已制定应急操作规程，规程中明确各项突发事件发生时应采取的相关措施，并根据其日常管理工作等安全环保行为建立相应档案。各基层小队制定了有关管道泄漏的专项应急预案，并且配有围油栏、撤油机、收油桶等设施，发生污染事故时及时回收原油，减少对环境的影响。</w:t>
      </w:r>
    </w:p>
    <w:p w14:paraId="1005FAFB">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现有区块内场站定期对员工进行安全和环境保护意识教育，并定期进行演练。现有区块运营过程中，加强油气运输管道和油气储存设备的巡查、检测、维修，采取有效的防腐、防裂等措施，防止渗漏、溢流事故发生。并制订环境污染突发性事件应急预案，落实事故处理措施，防止污染事故发生。</w:t>
      </w:r>
    </w:p>
    <w:p w14:paraId="17A10ACA">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大庆油田有限责任公司</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具有独立的保卫队伍，并和大庆油田有限责任公司、当地政府职能部门建立了联动机制，各场站配备防刺服等安全防范设施，定期巡检，确保油田生产设施安全。</w:t>
      </w:r>
    </w:p>
    <w:p w14:paraId="655572A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现有区块风险防范措施及应急措施落实情况良好</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19CC4833">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3.1.5</w:t>
      </w:r>
      <w:r>
        <w:rPr>
          <w:rFonts w:hint="eastAsia"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t>各环境要素环境质量回顾性评价</w:t>
      </w:r>
    </w:p>
    <w:p w14:paraId="6CBE6EE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拟更换的</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分布于</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大庆油田有限责任公司第八采油厂宋芳屯油田及升平油田。</w:t>
      </w:r>
    </w:p>
    <w:p w14:paraId="6D860C9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结合《宋芳屯等油田零散补充加密及注采系统调整葡萄花油层产能建设地面工程竣工环境保护验收调查报告》（2024年11月完成自主验收）中</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对区域地下水（腰子屯、新华屯、青年点屯、新华屯）</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地下水检测结果可知，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均满足《地下水质量标准》（GB/T148488-2017）中的Ⅲ类标准要求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iCs/>
          <w:color w:val="000000" w:themeColor="text1"/>
          <w:kern w:val="2"/>
          <w:sz w:val="24"/>
          <w:szCs w:val="24"/>
          <w:highlight w:val="none"/>
          <w:lang w:val="en-US" w:eastAsia="zh-CN" w:bidi="en-US"/>
          <w14:textFill>
            <w14:solidFill>
              <w14:schemeClr w14:val="tx1"/>
            </w14:solidFill>
          </w14:textFill>
        </w:rPr>
        <w:t>石油类满足《地表水环境质量标准》（GB3838-2002）中</w:t>
      </w:r>
      <w:r>
        <w:rPr>
          <w:rFonts w:hint="default" w:ascii="Times New Roman" w:hAnsi="Times New Roman" w:cs="Times New Roman"/>
          <w:bCs/>
          <w:iCs/>
          <w:color w:val="000000" w:themeColor="text1"/>
          <w:kern w:val="2"/>
          <w:sz w:val="24"/>
          <w:szCs w:val="24"/>
          <w:highlight w:val="none"/>
          <w:lang w:val="en-US" w:eastAsia="zh-CN" w:bidi="en-US"/>
          <w14:textFill>
            <w14:solidFill>
              <w14:schemeClr w14:val="tx1"/>
            </w14:solidFill>
          </w14:textFill>
        </w:rPr>
        <w:t>II</w:t>
      </w:r>
      <w:r>
        <w:rPr>
          <w:rFonts w:hint="default" w:ascii="Times New Roman" w:hAnsi="Times New Roman" w:eastAsia="宋体" w:cs="Times New Roman"/>
          <w:bCs/>
          <w:iCs/>
          <w:color w:val="000000" w:themeColor="text1"/>
          <w:kern w:val="2"/>
          <w:sz w:val="24"/>
          <w:szCs w:val="24"/>
          <w:highlight w:val="none"/>
          <w:lang w:val="en-US" w:eastAsia="zh-CN" w:bidi="en-US"/>
          <w14:textFill>
            <w14:solidFill>
              <w14:schemeClr w14:val="tx1"/>
            </w14:solidFill>
          </w14:textFill>
        </w:rPr>
        <w:t>类标准限值</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（≤0.05mg/L）</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与本次对区域村屯地下水监测结果相比，村屯地下水环境质量均有所改善，且石油开采特征污染物，石油类、挥发酚等仍为未检出，说明该区域油田开发对区域地下水累积性影响较小</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7931CADC">
      <w:pPr>
        <w:keepNext w:val="0"/>
        <w:keepLines w:val="0"/>
        <w:pageBreakBefore w:val="0"/>
        <w:widowControl w:val="0"/>
        <w:kinsoku/>
        <w:wordWrap/>
        <w:topLinePunct w:val="0"/>
        <w:bidi w:val="0"/>
        <w:adjustRightInd/>
        <w:snapToGrid/>
        <w:spacing w:after="0" w:line="360" w:lineRule="auto"/>
        <w:ind w:firstLine="480" w:firstLineChars="200"/>
        <w:jc w:val="both"/>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结合《宋芳屯等油田零散补充加密及注采系统调整葡萄花油层产能建设地面工程竣工环境保护验收调查报告》（2024年11月完成自主验收）中对管线临时占地处土壤监测结果可知，pH为8.09，镉0.06mg/kg，汞0.014mg/kg，砷7.3mg/kg，铅13mg/kg，铜14mg/kg，镍20mg/kg，石油烃未检出，铬64mg/kg，锌46mg/kg，均满足</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《土壤环境质量农用地土壤污染风险管控标准》（GB15618—2018）风险筛选值标准</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71543CE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结合本项目对区域内土壤检测结果可知，永久占地内监测点位监测因子满足《土壤环境质量 建设用地土壤污染风险管控标准》（GB36600-2018）中筛选值二类用地标准，永久占地外监测点位监测因子满足《土壤环境质量 农用地土壤污染风险管控标准》（GB15618-2018）中筛选值标准，油田特征污染物石油烃的监测值均低于参照标准值，说明区域土壤环境质量整体良好</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，说明该区域油田开发对区域土壤累积性影响较小</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654B6AE2">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3.1.</w:t>
      </w:r>
      <w:r>
        <w:rPr>
          <w:rFonts w:hint="eastAsia"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现有</w:t>
      </w: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工程</w:t>
      </w: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存在的环境问题</w:t>
      </w:r>
    </w:p>
    <w:p w14:paraId="3BA94D5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有区块污染防治设施与主体工程同时设计、同时施工和同时投产使用，环保设施正常稳定运转，环保设施运行完整；在工程建设和运营期间，工程设计、环评及其批复中要求的污染控制措施和生态保护措施都基本得到了落实，现有区块内井场临时占地地表进行了平整，草地、耕地进行了植被恢复，植被生长已经基本恢复到油田开发前状态，目前所采取的各项环保措施是有效的。</w:t>
      </w:r>
    </w:p>
    <w:p w14:paraId="4441E132">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投产时间早，运行年限长，导致管道腐蚀严重，部分管道处于地势低洼区，加重了管道腐蚀程度。部分管道穿越私人林耕地，管道一旦失效不仅影响周边经济作物生产，给管道路由附近居住人员带来一定的安全风险。</w:t>
      </w:r>
    </w:p>
    <w:p w14:paraId="1F40FBD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为保证油田安全平稳生产，2025年对全厂管道腐蚀老化情况进行现场调查，结合调查情况，兼顾项目投资计划，按照轻重缓急的原则，规划改造</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腐蚀老化管道</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条</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输油管道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共</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20660m</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320678AE">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58" w:name="_Toc21569"/>
      <w:r>
        <w:rPr>
          <w:rFonts w:hint="default" w:ascii="Times New Roman" w:hAnsi="Times New Roman" w:eastAsia="宋体" w:cs="Times New Roman"/>
          <w:b/>
          <w:color w:val="000000" w:themeColor="text1"/>
          <w:sz w:val="28"/>
          <w:szCs w:val="28"/>
          <w:highlight w:val="none"/>
          <w14:textFill>
            <w14:solidFill>
              <w14:schemeClr w14:val="tx1"/>
            </w14:solidFill>
          </w14:textFill>
        </w:rPr>
        <w:t>3.</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8"/>
          <w:highlight w:val="none"/>
          <w14:textFill>
            <w14:solidFill>
              <w14:schemeClr w14:val="tx1"/>
            </w14:solidFill>
          </w14:textFill>
        </w:rPr>
        <w:t>建设项目概况</w:t>
      </w:r>
      <w:bookmarkEnd w:id="58"/>
    </w:p>
    <w:p w14:paraId="37B25FE9">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.1基本情况</w:t>
      </w:r>
    </w:p>
    <w:p w14:paraId="611A29C1">
      <w:pPr>
        <w:keepNext w:val="0"/>
        <w:keepLines w:val="0"/>
        <w:pageBreakBefore w:val="0"/>
        <w:widowControl w:val="0"/>
        <w:kinsoku/>
        <w:wordWrap/>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项目名称：</w:t>
      </w:r>
      <w:r>
        <w:rPr>
          <w:rStyle w:val="35"/>
          <w:rFonts w:hint="eastAsia" w:ascii="Times New Roman" w:hAnsi="Times New Roman" w:eastAsia="宋体" w:cs="Times New Roman"/>
          <w:color w:val="000000" w:themeColor="text1"/>
          <w:highlight w:val="none"/>
          <w:lang w:eastAsia="zh-CN"/>
          <w14:textFill>
            <w14:solidFill>
              <w14:schemeClr w14:val="tx1"/>
            </w14:solidFill>
          </w14:textFill>
        </w:rPr>
        <w:t>第八采油厂2025年管网改造工程项目</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1F1FCC0D">
      <w:pPr>
        <w:keepNext w:val="0"/>
        <w:keepLines w:val="0"/>
        <w:pageBreakBefore w:val="0"/>
        <w:widowControl w:val="0"/>
        <w:kinsoku/>
        <w:wordWrap/>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建设单位：</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大庆油田有限责任公司第八采油厂</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0BC0FE59">
      <w:pPr>
        <w:keepNext w:val="0"/>
        <w:keepLines w:val="0"/>
        <w:pageBreakBefore w:val="0"/>
        <w:widowControl w:val="0"/>
        <w:kinsoku/>
        <w:wordWrap/>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建设地点：</w:t>
      </w:r>
      <w:r>
        <w:rPr>
          <w:rStyle w:val="35"/>
          <w:rFonts w:hint="eastAsia" w:ascii="Times New Roman" w:hAnsi="Times New Roman" w:eastAsia="宋体" w:cs="Times New Roman"/>
          <w:color w:val="000000" w:themeColor="text1"/>
          <w:highlight w:val="none"/>
          <w:lang w:eastAsia="zh-CN"/>
          <w14:textFill>
            <w14:solidFill>
              <w14:schemeClr w14:val="tx1"/>
            </w14:solidFill>
          </w14:textFill>
        </w:rPr>
        <w:t>黑龙江省绥化市安达市昌德镇、升平镇，大庆市大同区祝三乡境内</w:t>
      </w:r>
      <w:r>
        <w:rPr>
          <w:rStyle w:val="35"/>
          <w:rFonts w:hint="default" w:ascii="Times New Roman" w:hAnsi="Times New Roman" w:eastAsia="宋体" w:cs="Times New Roman"/>
          <w:color w:val="000000" w:themeColor="text1"/>
          <w:highlight w:val="none"/>
          <w:lang w:val="en-US" w:eastAsia="zh-CN"/>
          <w14:textFill>
            <w14:solidFill>
              <w14:schemeClr w14:val="tx1"/>
            </w14:solidFill>
          </w14:textFill>
        </w:rPr>
        <w:t>（地理位置图见附图3-1）；</w:t>
      </w:r>
    </w:p>
    <w:p w14:paraId="6793D70B">
      <w:pPr>
        <w:keepNext w:val="0"/>
        <w:keepLines w:val="0"/>
        <w:pageBreakBefore w:val="0"/>
        <w:widowControl w:val="0"/>
        <w:kinsoku/>
        <w:wordWrap/>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建设性质：</w:t>
      </w:r>
      <w:r>
        <w:rPr>
          <w:rFonts w:hint="default" w:ascii="Times New Roman" w:hAnsi="Times New Roman" w:eastAsia="宋体" w:cs="Times New Roman"/>
          <w:bCs/>
          <w:color w:val="000000" w:themeColor="text1"/>
          <w:sz w:val="24"/>
          <w:szCs w:val="24"/>
          <w:highlight w:val="none"/>
          <w14:textFill>
            <w14:solidFill>
              <w14:schemeClr w14:val="tx1"/>
            </w14:solidFill>
          </w14:textFill>
        </w:rPr>
        <w:t>改建；</w:t>
      </w:r>
    </w:p>
    <w:p w14:paraId="7B81934B">
      <w:pPr>
        <w:keepNext w:val="0"/>
        <w:keepLines w:val="0"/>
        <w:pageBreakBefore w:val="0"/>
        <w:widowControl w:val="0"/>
        <w:kinsoku/>
        <w:wordWrap/>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总投资：</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925.42万</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元</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105CBEB2">
      <w:pPr>
        <w:keepNext w:val="0"/>
        <w:keepLines w:val="0"/>
        <w:pageBreakBefore w:val="0"/>
        <w:widowControl w:val="0"/>
        <w:kinsoku/>
        <w:wordWrap/>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工程规模</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本项目更换输油管道20660m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升一联转油放水站更换阴极保护装置1套。拟更换管道施工涉及穿越工程17处，均为定向钻穿越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906C486">
      <w:pPr>
        <w:pStyle w:val="34"/>
        <w:keepNext w:val="0"/>
        <w:keepLines w:val="0"/>
        <w:pageBreakBefore w:val="0"/>
        <w:widowControl w:val="0"/>
        <w:kinsoku/>
        <w:wordWrap/>
        <w:topLinePunct w:val="0"/>
        <w:autoSpaceDE/>
        <w:autoSpaceDN/>
        <w:bidi w:val="0"/>
        <w:adjustRightInd w:val="0"/>
        <w:snapToGrid w:val="0"/>
        <w:ind w:firstLine="480"/>
        <w:textAlignment w:val="auto"/>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占地面积：</w:t>
      </w:r>
      <w:r>
        <w:rPr>
          <w:rFonts w:hint="default" w:ascii="Times New Roman" w:hAnsi="Times New Roman" w:cs="Times New Roman"/>
          <w:color w:val="000000" w:themeColor="text1"/>
          <w:highlight w:val="none"/>
          <w:lang w:val="en-US" w:eastAsia="zh-CN"/>
          <w14:textFill>
            <w14:solidFill>
              <w14:schemeClr w14:val="tx1"/>
            </w14:solidFill>
          </w14:textFill>
        </w:rPr>
        <w:t>总占地面积为</w:t>
      </w:r>
      <w:r>
        <w:rPr>
          <w:rFonts w:hint="eastAsia" w:cs="Times New Roman"/>
          <w:color w:val="000000" w:themeColor="text1"/>
          <w:highlight w:val="none"/>
          <w:lang w:val="en-US" w:eastAsia="zh-CN"/>
          <w14:textFill>
            <w14:solidFill>
              <w14:schemeClr w14:val="tx1"/>
            </w14:solidFill>
          </w14:textFill>
        </w:rPr>
        <w:t>24.78hm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均为</w:t>
      </w:r>
      <w:r>
        <w:rPr>
          <w:rFonts w:hint="default" w:ascii="Times New Roman" w:hAnsi="Times New Roman" w:cs="Times New Roman"/>
          <w:color w:val="000000" w:themeColor="text1"/>
          <w:highlight w:val="none"/>
          <w:lang w:val="en-US" w:eastAsia="zh-CN"/>
          <w14:textFill>
            <w14:solidFill>
              <w14:schemeClr w14:val="tx1"/>
            </w14:solidFill>
          </w14:textFill>
        </w:rPr>
        <w:t>临时占地</w:t>
      </w:r>
      <w:r>
        <w:rPr>
          <w:rFonts w:hint="eastAsia" w:cs="Times New Roman"/>
          <w:color w:val="000000" w:themeColor="text1"/>
          <w:highlight w:val="none"/>
          <w:lang w:val="en-US" w:eastAsia="zh-CN"/>
          <w14:textFill>
            <w14:solidFill>
              <w14:schemeClr w14:val="tx1"/>
            </w14:solidFill>
          </w14:textFill>
        </w:rPr>
        <w:t>，其中</w:t>
      </w:r>
      <w:r>
        <w:rPr>
          <w:rFonts w:hint="eastAsia" w:cs="Times New Roman"/>
          <w:color w:val="000000" w:themeColor="text1"/>
          <w:highlight w:val="none"/>
          <w:vertAlign w:val="baseline"/>
          <w:lang w:val="en-US" w:eastAsia="zh-CN"/>
          <w14:textFill>
            <w14:solidFill>
              <w14:schemeClr w14:val="tx1"/>
            </w14:solidFill>
          </w14:textFill>
        </w:rPr>
        <w:t>草地（非基本草原）</w:t>
      </w:r>
      <w:r>
        <w:rPr>
          <w:rFonts w:hint="eastAsia" w:cs="Times New Roman"/>
          <w:color w:val="000000" w:themeColor="text1"/>
          <w:highlight w:val="none"/>
          <w:lang w:val="en-US" w:eastAsia="zh-CN"/>
          <w14:textFill>
            <w14:solidFill>
              <w14:schemeClr w14:val="tx1"/>
            </w14:solidFill>
          </w14:textFill>
        </w:rPr>
        <w:t>12.56hm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vertAlign w:val="baseline"/>
          <w:lang w:val="en-US" w:eastAsia="zh-CN"/>
          <w14:textFill>
            <w14:solidFill>
              <w14:schemeClr w14:val="tx1"/>
            </w14:solidFill>
          </w14:textFill>
        </w:rPr>
        <w:t>，耕地（基本农田）</w:t>
      </w:r>
      <w:r>
        <w:rPr>
          <w:rFonts w:hint="eastAsia" w:cs="Times New Roman"/>
          <w:color w:val="000000" w:themeColor="text1"/>
          <w:highlight w:val="none"/>
          <w:lang w:val="en-US" w:eastAsia="zh-CN"/>
          <w14:textFill>
            <w14:solidFill>
              <w14:schemeClr w14:val="tx1"/>
            </w14:solidFill>
          </w14:textFill>
        </w:rPr>
        <w:t>12.12hm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林地0.1hm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1BFF30AF">
      <w:pPr>
        <w:pStyle w:val="34"/>
        <w:keepNext w:val="0"/>
        <w:keepLines w:val="0"/>
        <w:pageBreakBefore w:val="0"/>
        <w:widowControl w:val="0"/>
        <w:kinsoku/>
        <w:wordWrap/>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工作进度：</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项目计划施工期为20</w:t>
      </w:r>
      <w:r>
        <w:rPr>
          <w:rFonts w:hint="eastAsia" w:cs="Times New Roman"/>
          <w:snapToGrid w:val="0"/>
          <w:color w:val="000000" w:themeColor="text1"/>
          <w:sz w:val="24"/>
          <w:szCs w:val="20"/>
          <w:highlight w:val="none"/>
          <w:lang w:val="en-US" w:eastAsia="zh-CN" w:bidi="ar-SA"/>
          <w14:textFill>
            <w14:solidFill>
              <w14:schemeClr w14:val="tx1"/>
            </w14:solidFill>
          </w14:textFill>
        </w:rPr>
        <w:t>26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年</w:t>
      </w:r>
      <w:r>
        <w:rPr>
          <w:rFonts w:hint="eastAsia"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月至20</w:t>
      </w:r>
      <w:r>
        <w:rPr>
          <w:rFonts w:hint="eastAsia" w:cs="Times New Roman"/>
          <w:snapToGrid w:val="0"/>
          <w:color w:val="000000" w:themeColor="text1"/>
          <w:sz w:val="24"/>
          <w:szCs w:val="20"/>
          <w:highlight w:val="none"/>
          <w:lang w:val="en-US" w:eastAsia="zh-CN" w:bidi="ar-SA"/>
          <w14:textFill>
            <w14:solidFill>
              <w14:schemeClr w14:val="tx1"/>
            </w14:solidFill>
          </w14:textFill>
        </w:rPr>
        <w:t>26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年</w:t>
      </w:r>
      <w:r>
        <w:rPr>
          <w:rFonts w:hint="eastAsia" w:cs="Times New Roman"/>
          <w:snapToGrid w:val="0"/>
          <w:color w:val="000000" w:themeColor="text1"/>
          <w:sz w:val="24"/>
          <w:szCs w:val="20"/>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月。施工时间为</w:t>
      </w:r>
      <w:r>
        <w:rPr>
          <w:rFonts w:hint="eastAsia" w:cs="Times New Roman"/>
          <w:snapToGrid w:val="0"/>
          <w:color w:val="000000" w:themeColor="text1"/>
          <w:sz w:val="24"/>
          <w:szCs w:val="20"/>
          <w:highlight w:val="none"/>
          <w:lang w:val="en-US" w:eastAsia="zh-CN" w:bidi="ar-SA"/>
          <w14:textFill>
            <w14:solidFill>
              <w14:schemeClr w14:val="tx1"/>
            </w14:solidFill>
          </w14:textFill>
        </w:rPr>
        <w:t>30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天，施工人数为</w:t>
      </w:r>
      <w:r>
        <w:rPr>
          <w:rFonts w:hint="eastAsia" w:cs="Times New Roman"/>
          <w:snapToGrid w:val="0"/>
          <w:color w:val="000000" w:themeColor="text1"/>
          <w:sz w:val="24"/>
          <w:szCs w:val="20"/>
          <w:highlight w:val="none"/>
          <w:lang w:val="en-US" w:eastAsia="zh-CN" w:bidi="ar-SA"/>
          <w14:textFill>
            <w14:solidFill>
              <w14:schemeClr w14:val="tx1"/>
            </w14:solidFill>
          </w14:textFill>
        </w:rPr>
        <w:t>30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人。</w:t>
      </w:r>
    </w:p>
    <w:p w14:paraId="073F96E7">
      <w:pPr>
        <w:pStyle w:val="34"/>
        <w:keepNext w:val="0"/>
        <w:keepLines w:val="0"/>
        <w:pageBreakBefore w:val="0"/>
        <w:widowControl w:val="0"/>
        <w:kinsoku/>
        <w:wordWrap/>
        <w:topLinePunct w:val="0"/>
        <w:autoSpaceDE/>
        <w:autoSpaceDN/>
        <w:bidi w:val="0"/>
        <w:adjustRightInd w:val="0"/>
        <w:snapToGrid w:val="0"/>
        <w:ind w:firstLine="482"/>
        <w:textAlignment w:val="auto"/>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lang w:eastAsia="zh-CN"/>
          <w14:textFill>
            <w14:solidFill>
              <w14:schemeClr w14:val="tx1"/>
            </w14:solidFill>
          </w14:textFill>
        </w:rPr>
        <w:t>本项目</w:t>
      </w:r>
      <w:r>
        <w:rPr>
          <w:rFonts w:hint="default" w:ascii="Times New Roman" w:hAnsi="Times New Roman" w:cs="Times New Roman"/>
          <w:b w:val="0"/>
          <w:bCs/>
          <w:color w:val="000000" w:themeColor="text1"/>
          <w:highlight w:val="none"/>
          <w:lang w:val="en-US" w:eastAsia="zh-CN"/>
          <w14:textFill>
            <w14:solidFill>
              <w14:schemeClr w14:val="tx1"/>
            </w14:solidFill>
          </w14:textFill>
        </w:rPr>
        <w:t>工程内容组成详见表3.</w:t>
      </w:r>
      <w:r>
        <w:rPr>
          <w:rFonts w:hint="eastAsia" w:cs="Times New Roman"/>
          <w:b w:val="0"/>
          <w:bCs/>
          <w:color w:val="000000" w:themeColor="text1"/>
          <w:highlight w:val="none"/>
          <w:lang w:val="en-US" w:eastAsia="zh-CN"/>
          <w14:textFill>
            <w14:solidFill>
              <w14:schemeClr w14:val="tx1"/>
            </w14:solidFill>
          </w14:textFill>
        </w:rPr>
        <w:t>2</w:t>
      </w:r>
      <w:r>
        <w:rPr>
          <w:rFonts w:hint="default" w:ascii="Times New Roman" w:hAnsi="Times New Roman" w:cs="Times New Roman"/>
          <w:b w:val="0"/>
          <w:bCs/>
          <w:color w:val="000000" w:themeColor="text1"/>
          <w:highlight w:val="none"/>
          <w:lang w:val="en-US" w:eastAsia="zh-CN"/>
          <w14:textFill>
            <w14:solidFill>
              <w14:schemeClr w14:val="tx1"/>
            </w14:solidFill>
          </w14:textFill>
        </w:rPr>
        <w:t>-1。</w:t>
      </w:r>
    </w:p>
    <w:p w14:paraId="043829FD">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bCs/>
          <w:color w:val="000000" w:themeColor="text1"/>
          <w:highlight w:val="none"/>
          <w14:textFill>
            <w14:solidFill>
              <w14:schemeClr w14:val="tx1"/>
            </w14:solidFill>
          </w14:textFill>
        </w:rPr>
        <w:t>项目组成一览表</w:t>
      </w:r>
    </w:p>
    <w:tbl>
      <w:tblPr>
        <w:tblStyle w:val="18"/>
        <w:tblW w:w="92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517"/>
        <w:gridCol w:w="848"/>
        <w:gridCol w:w="6510"/>
        <w:gridCol w:w="706"/>
      </w:tblGrid>
      <w:tr w14:paraId="3F0C9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tcBorders>
              <w:tl2br w:val="nil"/>
              <w:tr2bl w:val="nil"/>
            </w:tcBorders>
            <w:vAlign w:val="center"/>
          </w:tcPr>
          <w:p w14:paraId="324D908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类别</w:t>
            </w:r>
          </w:p>
        </w:tc>
        <w:tc>
          <w:tcPr>
            <w:tcW w:w="1365" w:type="dxa"/>
            <w:gridSpan w:val="2"/>
            <w:tcBorders>
              <w:tl2br w:val="nil"/>
              <w:tr2bl w:val="nil"/>
            </w:tcBorders>
            <w:vAlign w:val="center"/>
          </w:tcPr>
          <w:p w14:paraId="5FF31C9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工程名称</w:t>
            </w:r>
          </w:p>
        </w:tc>
        <w:tc>
          <w:tcPr>
            <w:tcW w:w="6510" w:type="dxa"/>
            <w:tcBorders>
              <w:tl2br w:val="nil"/>
              <w:tr2bl w:val="nil"/>
            </w:tcBorders>
            <w:vAlign w:val="center"/>
          </w:tcPr>
          <w:p w14:paraId="754B7E1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规模及建设内容</w:t>
            </w:r>
          </w:p>
        </w:tc>
        <w:tc>
          <w:tcPr>
            <w:tcW w:w="706" w:type="dxa"/>
            <w:tcBorders>
              <w:tl2br w:val="nil"/>
              <w:tr2bl w:val="nil"/>
            </w:tcBorders>
            <w:vAlign w:val="center"/>
          </w:tcPr>
          <w:p w14:paraId="00C9644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备注</w:t>
            </w:r>
          </w:p>
        </w:tc>
      </w:tr>
      <w:tr w14:paraId="3D6A0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tcBorders>
              <w:tl2br w:val="nil"/>
              <w:tr2bl w:val="nil"/>
            </w:tcBorders>
            <w:vAlign w:val="center"/>
          </w:tcPr>
          <w:p w14:paraId="673BBBA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主体</w:t>
            </w:r>
          </w:p>
          <w:p w14:paraId="72A91FB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工程</w:t>
            </w:r>
          </w:p>
        </w:tc>
        <w:tc>
          <w:tcPr>
            <w:tcW w:w="517" w:type="dxa"/>
            <w:tcBorders>
              <w:tl2br w:val="nil"/>
              <w:tr2bl w:val="nil"/>
            </w:tcBorders>
            <w:vAlign w:val="center"/>
          </w:tcPr>
          <w:p w14:paraId="0A4664A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集输管道</w:t>
            </w:r>
          </w:p>
        </w:tc>
        <w:tc>
          <w:tcPr>
            <w:tcW w:w="848" w:type="dxa"/>
            <w:tcBorders>
              <w:tl2br w:val="nil"/>
              <w:tr2bl w:val="nil"/>
            </w:tcBorders>
            <w:vAlign w:val="center"/>
          </w:tcPr>
          <w:p w14:paraId="1DB387A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输油管道</w:t>
            </w:r>
          </w:p>
        </w:tc>
        <w:tc>
          <w:tcPr>
            <w:tcW w:w="6510" w:type="dxa"/>
            <w:tcBorders>
              <w:tl2br w:val="nil"/>
              <w:tr2bl w:val="nil"/>
            </w:tcBorders>
            <w:vAlign w:val="center"/>
          </w:tcPr>
          <w:p w14:paraId="1822735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本项目拟更换</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集输管道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共计</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20660m</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其中更换站间输油管道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条12400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规格为φ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更换单井集油管道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条共计8260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，规格均为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1E20814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管道施工作业带宽度为10m，其中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管沟及设备区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施工通道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宽度为6m，置土带宽度为4m（表土2m、基础挖方2m）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149F8C2B">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管道采用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内缠胶带硬质聚氨酯泡沫夹克管</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管道管顶距地表为-1.2m</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，管道设计压力为1.6MPa。</w:t>
            </w:r>
          </w:p>
        </w:tc>
        <w:tc>
          <w:tcPr>
            <w:tcW w:w="706" w:type="dxa"/>
            <w:tcBorders>
              <w:tl2br w:val="nil"/>
              <w:tr2bl w:val="nil"/>
            </w:tcBorders>
            <w:vAlign w:val="center"/>
          </w:tcPr>
          <w:p w14:paraId="3A2D914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12DCA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restart"/>
            <w:tcBorders>
              <w:tl2br w:val="nil"/>
              <w:tr2bl w:val="nil"/>
            </w:tcBorders>
            <w:vAlign w:val="center"/>
          </w:tcPr>
          <w:p w14:paraId="0DB5D5C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辅助工程</w:t>
            </w:r>
          </w:p>
        </w:tc>
        <w:tc>
          <w:tcPr>
            <w:tcW w:w="517" w:type="dxa"/>
            <w:vMerge w:val="restart"/>
            <w:tcBorders>
              <w:tl2br w:val="nil"/>
              <w:tr2bl w:val="nil"/>
            </w:tcBorders>
            <w:vAlign w:val="center"/>
          </w:tcPr>
          <w:p w14:paraId="21AEE3E0">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旧管道处理工程</w:t>
            </w:r>
          </w:p>
        </w:tc>
        <w:tc>
          <w:tcPr>
            <w:tcW w:w="848" w:type="dxa"/>
            <w:tcBorders>
              <w:tl2br w:val="nil"/>
              <w:tr2bl w:val="nil"/>
            </w:tcBorders>
            <w:vAlign w:val="center"/>
          </w:tcPr>
          <w:p w14:paraId="7A60193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旧管道吹扫工程</w:t>
            </w:r>
          </w:p>
        </w:tc>
        <w:tc>
          <w:tcPr>
            <w:tcW w:w="6510" w:type="dxa"/>
            <w:tcBorders>
              <w:tl2br w:val="nil"/>
              <w:tr2bl w:val="nil"/>
            </w:tcBorders>
            <w:vAlign w:val="center"/>
          </w:tcPr>
          <w:p w14:paraId="5B47384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管道清管：在原有</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起点处安装一个发球筒，终点处安装一个收球筒，通过氮气将管内其中的剩余物料推送出管道，从收球筒的快开法兰中取出清管器，罐车拉运热水洗管，清洗后的废水由罐车拉运至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进行处理，清洗完成后用氮气对管道进行吹扫，清管完成。</w:t>
            </w:r>
          </w:p>
        </w:tc>
        <w:tc>
          <w:tcPr>
            <w:tcW w:w="706" w:type="dxa"/>
            <w:tcBorders>
              <w:tl2br w:val="nil"/>
              <w:tr2bl w:val="nil"/>
            </w:tcBorders>
            <w:vAlign w:val="center"/>
          </w:tcPr>
          <w:p w14:paraId="7B7B356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4CA97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43269AC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448426A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848" w:type="dxa"/>
            <w:tcBorders>
              <w:tl2br w:val="nil"/>
              <w:tr2bl w:val="nil"/>
            </w:tcBorders>
            <w:vAlign w:val="center"/>
          </w:tcPr>
          <w:p w14:paraId="37C574CD">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管道封堵工程</w:t>
            </w:r>
          </w:p>
        </w:tc>
        <w:tc>
          <w:tcPr>
            <w:tcW w:w="6510" w:type="dxa"/>
            <w:tcBorders>
              <w:tl2br w:val="nil"/>
              <w:tr2bl w:val="nil"/>
            </w:tcBorders>
            <w:vAlign w:val="center"/>
          </w:tcPr>
          <w:p w14:paraId="2326D792">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废弃的</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旧管道（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20660m</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）在氮气吹扫后两端封堵直埋。</w:t>
            </w:r>
          </w:p>
        </w:tc>
        <w:tc>
          <w:tcPr>
            <w:tcW w:w="706" w:type="dxa"/>
            <w:tcBorders>
              <w:tl2br w:val="nil"/>
              <w:tr2bl w:val="nil"/>
            </w:tcBorders>
            <w:vAlign w:val="center"/>
          </w:tcPr>
          <w:p w14:paraId="57A39AE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3CCF9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690DCB4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65" w:type="dxa"/>
            <w:gridSpan w:val="2"/>
            <w:tcBorders>
              <w:tl2br w:val="nil"/>
              <w:tr2bl w:val="nil"/>
            </w:tcBorders>
            <w:vAlign w:val="center"/>
          </w:tcPr>
          <w:p w14:paraId="33D9609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穿越工程</w:t>
            </w:r>
          </w:p>
        </w:tc>
        <w:tc>
          <w:tcPr>
            <w:tcW w:w="6510" w:type="dxa"/>
            <w:tcBorders>
              <w:tl2br w:val="nil"/>
              <w:tr2bl w:val="nil"/>
            </w:tcBorders>
            <w:vAlign w:val="center"/>
          </w:tcPr>
          <w:p w14:paraId="367EE7AB">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拟更换管道施工涉及穿越工程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均为定向钻穿越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06" w:type="dxa"/>
            <w:tcBorders>
              <w:tl2br w:val="nil"/>
              <w:tr2bl w:val="nil"/>
            </w:tcBorders>
            <w:vAlign w:val="center"/>
          </w:tcPr>
          <w:p w14:paraId="352C4DE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00550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restart"/>
            <w:tcBorders>
              <w:tl2br w:val="nil"/>
              <w:tr2bl w:val="nil"/>
            </w:tcBorders>
            <w:vAlign w:val="center"/>
          </w:tcPr>
          <w:p w14:paraId="77E1522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公用工程</w:t>
            </w:r>
          </w:p>
        </w:tc>
        <w:tc>
          <w:tcPr>
            <w:tcW w:w="1365" w:type="dxa"/>
            <w:gridSpan w:val="2"/>
            <w:tcBorders>
              <w:tl2br w:val="nil"/>
              <w:tr2bl w:val="nil"/>
            </w:tcBorders>
            <w:vAlign w:val="center"/>
          </w:tcPr>
          <w:p w14:paraId="281E7CFF">
            <w:pPr>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给水工程</w:t>
            </w:r>
          </w:p>
        </w:tc>
        <w:tc>
          <w:tcPr>
            <w:tcW w:w="6510" w:type="dxa"/>
            <w:tcBorders>
              <w:tl2br w:val="nil"/>
              <w:tr2bl w:val="nil"/>
            </w:tcBorders>
            <w:vAlign w:val="center"/>
          </w:tcPr>
          <w:p w14:paraId="52BC8AC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施工期</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废旧管道清洗用水、新建管道试压用水</w:t>
            </w: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采用水罐车拉运，</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生活用水采用桶装水</w:t>
            </w:r>
            <w:r>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t>。</w:t>
            </w:r>
          </w:p>
          <w:p w14:paraId="1AE7D1F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运营期无新增劳动定员，无新增生活用水。</w:t>
            </w:r>
          </w:p>
        </w:tc>
        <w:tc>
          <w:tcPr>
            <w:tcW w:w="706" w:type="dxa"/>
            <w:tcBorders>
              <w:tl2br w:val="nil"/>
              <w:tr2bl w:val="nil"/>
            </w:tcBorders>
            <w:vAlign w:val="center"/>
          </w:tcPr>
          <w:p w14:paraId="7CB77CE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01207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tcBorders>
              <w:tl2br w:val="nil"/>
              <w:tr2bl w:val="nil"/>
            </w:tcBorders>
            <w:vAlign w:val="center"/>
          </w:tcPr>
          <w:p w14:paraId="39D42CB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65" w:type="dxa"/>
            <w:gridSpan w:val="2"/>
            <w:tcBorders>
              <w:tl2br w:val="nil"/>
              <w:tr2bl w:val="nil"/>
            </w:tcBorders>
            <w:vAlign w:val="center"/>
          </w:tcPr>
          <w:p w14:paraId="64D6305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排水工程</w:t>
            </w:r>
          </w:p>
        </w:tc>
        <w:tc>
          <w:tcPr>
            <w:tcW w:w="6510" w:type="dxa"/>
            <w:tcBorders>
              <w:tl2br w:val="nil"/>
              <w:tr2bl w:val="nil"/>
            </w:tcBorders>
            <w:vAlign w:val="center"/>
          </w:tcPr>
          <w:p w14:paraId="6BE3312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施工期废旧管道清管废水、新建管道试压废水由罐车拉运至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w:t>
            </w:r>
          </w:p>
          <w:p w14:paraId="01071B5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施工期生活污水排入</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附近芳407-6集油阀组间、升1-2集油阀组间、升1-6集油阀组间等已建防渗旱厕</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，本项目施工现场距离周边已建集油阀组间距离约为0-1km，施工人员步行或乘施工车辆进入附近集油阀组间防渗旱厕，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用罐车抽排至高平4号污水站，排入大庆市净源环保科技有限公司处理达标后排放。</w:t>
            </w:r>
          </w:p>
          <w:p w14:paraId="0A7F71A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运营期无新增劳动定员，无新增生活污水。</w:t>
            </w:r>
          </w:p>
        </w:tc>
        <w:tc>
          <w:tcPr>
            <w:tcW w:w="706" w:type="dxa"/>
            <w:tcBorders>
              <w:tl2br w:val="nil"/>
              <w:tr2bl w:val="nil"/>
            </w:tcBorders>
            <w:vAlign w:val="center"/>
          </w:tcPr>
          <w:p w14:paraId="4798289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0567B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015FD97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65" w:type="dxa"/>
            <w:gridSpan w:val="2"/>
            <w:tcBorders>
              <w:tl2br w:val="nil"/>
              <w:tr2bl w:val="nil"/>
            </w:tcBorders>
            <w:vAlign w:val="center"/>
          </w:tcPr>
          <w:p w14:paraId="4DFA01A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供热工程</w:t>
            </w:r>
          </w:p>
        </w:tc>
        <w:tc>
          <w:tcPr>
            <w:tcW w:w="6510" w:type="dxa"/>
            <w:tcBorders>
              <w:tl2br w:val="nil"/>
              <w:tr2bl w:val="nil"/>
            </w:tcBorders>
            <w:vAlign w:val="center"/>
          </w:tcPr>
          <w:p w14:paraId="38CF4F3D">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施工期不设置施工营地，无需供暖。</w:t>
            </w:r>
          </w:p>
        </w:tc>
        <w:tc>
          <w:tcPr>
            <w:tcW w:w="706" w:type="dxa"/>
            <w:tcBorders>
              <w:tl2br w:val="nil"/>
              <w:tr2bl w:val="nil"/>
            </w:tcBorders>
            <w:vAlign w:val="center"/>
          </w:tcPr>
          <w:p w14:paraId="737EC8C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42940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4575D34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65" w:type="dxa"/>
            <w:gridSpan w:val="2"/>
            <w:tcBorders>
              <w:tl2br w:val="nil"/>
              <w:tr2bl w:val="nil"/>
            </w:tcBorders>
            <w:vAlign w:val="center"/>
          </w:tcPr>
          <w:p w14:paraId="044223A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供电工程</w:t>
            </w:r>
          </w:p>
        </w:tc>
        <w:tc>
          <w:tcPr>
            <w:tcW w:w="6510" w:type="dxa"/>
            <w:tcBorders>
              <w:tl2br w:val="nil"/>
              <w:tr2bl w:val="nil"/>
            </w:tcBorders>
            <w:vAlign w:val="center"/>
          </w:tcPr>
          <w:p w14:paraId="0FB7C16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本项目施工期用电依托</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焊机自备蓄电池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。本项目运营期无需用电。</w:t>
            </w:r>
          </w:p>
        </w:tc>
        <w:tc>
          <w:tcPr>
            <w:tcW w:w="706" w:type="dxa"/>
            <w:tcBorders>
              <w:tl2br w:val="nil"/>
              <w:tr2bl w:val="nil"/>
            </w:tcBorders>
            <w:vAlign w:val="center"/>
          </w:tcPr>
          <w:p w14:paraId="0DCDB76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0DF9C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restart"/>
            <w:tcBorders>
              <w:tl2br w:val="nil"/>
              <w:tr2bl w:val="nil"/>
            </w:tcBorders>
            <w:vAlign w:val="center"/>
          </w:tcPr>
          <w:p w14:paraId="3B007DC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p w14:paraId="1479944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工程</w:t>
            </w:r>
          </w:p>
        </w:tc>
        <w:tc>
          <w:tcPr>
            <w:tcW w:w="1365" w:type="dxa"/>
            <w:gridSpan w:val="2"/>
            <w:tcBorders>
              <w:tl2br w:val="nil"/>
              <w:tr2bl w:val="nil"/>
            </w:tcBorders>
            <w:vAlign w:val="center"/>
          </w:tcPr>
          <w:p w14:paraId="30695129">
            <w:pPr>
              <w:keepNext w:val="0"/>
              <w:keepLines w:val="0"/>
              <w:pageBreakBefore w:val="0"/>
              <w:widowControl w:val="0"/>
              <w:suppressLineNumbers w:val="0"/>
              <w:kinsoku/>
              <w:wordWrap/>
              <w:topLinePunct w:val="0"/>
              <w:bidi w:val="0"/>
              <w:spacing w:before="0" w:beforeAutospacing="0" w:after="0" w:afterAutospacing="0" w:line="240" w:lineRule="exact"/>
              <w:ind w:left="0" w:leftChars="0" w:right="0" w:right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工业固废填埋场</w:t>
            </w:r>
          </w:p>
        </w:tc>
        <w:tc>
          <w:tcPr>
            <w:tcW w:w="6510" w:type="dxa"/>
            <w:tcBorders>
              <w:tl2br w:val="nil"/>
              <w:tr2bl w:val="nil"/>
            </w:tcBorders>
            <w:vAlign w:val="center"/>
          </w:tcPr>
          <w:p w14:paraId="7D9068B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第八采油厂工业固废填埋场位于大庆市肇州县新福乡双龙山北侧1.8km，乐业村东南1.05km处。占地1.91hm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，填埋场总容量为11624m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。第八采油厂工业固废填埋场该填埋场现阶段运行稳定，目前实际容纳约8800m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，剩余能力为2824m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72E16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snapToGrid w:val="0"/>
                <w:color w:val="000000" w:themeColor="text1"/>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本项目施工期管道施工废料产生量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t，填埋场剩余容量能够容纳本项目产生的固体废物。</w:t>
            </w:r>
          </w:p>
        </w:tc>
        <w:tc>
          <w:tcPr>
            <w:tcW w:w="706" w:type="dxa"/>
            <w:tcBorders>
              <w:tl2br w:val="nil"/>
              <w:tr2bl w:val="nil"/>
            </w:tcBorders>
            <w:vAlign w:val="center"/>
          </w:tcPr>
          <w:p w14:paraId="1CEBD6C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68055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00" w:type="dxa"/>
            <w:vMerge w:val="continue"/>
            <w:tcBorders>
              <w:tl2br w:val="nil"/>
              <w:tr2bl w:val="nil"/>
            </w:tcBorders>
            <w:vAlign w:val="center"/>
          </w:tcPr>
          <w:p w14:paraId="6736ECC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65" w:type="dxa"/>
            <w:gridSpan w:val="2"/>
            <w:tcBorders>
              <w:tl2br w:val="nil"/>
              <w:tr2bl w:val="nil"/>
            </w:tcBorders>
            <w:vAlign w:val="center"/>
          </w:tcPr>
          <w:p w14:paraId="3E86A9B1">
            <w:pPr>
              <w:keepNext w:val="0"/>
              <w:keepLines w:val="0"/>
              <w:pageBreakBefore w:val="0"/>
              <w:widowControl w:val="0"/>
              <w:suppressLineNumbers w:val="0"/>
              <w:kinsoku/>
              <w:wordWrap/>
              <w:topLinePunct w:val="0"/>
              <w:bidi w:val="0"/>
              <w:spacing w:before="0" w:beforeAutospacing="0" w:after="0" w:afterAutospacing="0" w:line="240" w:lineRule="exact"/>
              <w:ind w:left="0" w:leftChars="0" w:right="0" w:right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p>
        </w:tc>
        <w:tc>
          <w:tcPr>
            <w:tcW w:w="6510" w:type="dxa"/>
            <w:tcBorders>
              <w:tl2br w:val="nil"/>
              <w:tr2bl w:val="nil"/>
            </w:tcBorders>
            <w:vAlign w:val="center"/>
          </w:tcPr>
          <w:p w14:paraId="3378C76C">
            <w:pPr>
              <w:pStyle w:val="34"/>
              <w:keepNext w:val="0"/>
              <w:keepLines w:val="0"/>
              <w:pageBreakBefore w:val="0"/>
              <w:widowControl w:val="0"/>
              <w:kinsoku/>
              <w:wordWrap/>
              <w:topLinePunct w:val="0"/>
              <w:bidi w:val="0"/>
              <w:spacing w:line="240" w:lineRule="auto"/>
              <w:ind w:firstLine="48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宋一联含油污水处理站采用“横向流除油→两级过滤”主处理工艺，总设计处理规模12000m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/d，目前实际处理量为6182m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/d，目前负荷率为51.5%，该站正常平稳运行。</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出水水质满足《大庆油田地面工程建设设计规定》（Q/SYDQ0639-2015）限值“含油量≤10mg/L、悬浮固体含量≤5mg/L、粒径中值≤2μm”，同时满足《碎屑岩油藏注水水质指标技术要求及分析方法》（SY/T5329-2022）相应标准限值，回注地下开采油层。</w:t>
            </w:r>
          </w:p>
          <w:p w14:paraId="5947FE32">
            <w:pPr>
              <w:pStyle w:val="39"/>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本项目废弃管道清洗废水、新建管道试压废水均依托宋一联含油污水处理站进行处理，废弃管道清洗废水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335.4t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，新建管道试压废水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112.1t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，新增本项目施工期废水后，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处理量为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6629.5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/d，负荷率为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55.2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%，剩余处理能力满足本项目需求，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本项目依托可行。</w:t>
            </w:r>
          </w:p>
        </w:tc>
        <w:tc>
          <w:tcPr>
            <w:tcW w:w="706" w:type="dxa"/>
            <w:tcBorders>
              <w:tl2br w:val="nil"/>
              <w:tr2bl w:val="nil"/>
            </w:tcBorders>
            <w:vAlign w:val="center"/>
          </w:tcPr>
          <w:p w14:paraId="3086375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3815B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restart"/>
            <w:tcBorders>
              <w:tl2br w:val="nil"/>
              <w:tr2bl w:val="nil"/>
            </w:tcBorders>
            <w:vAlign w:val="center"/>
          </w:tcPr>
          <w:p w14:paraId="6CA92CA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环保工程</w:t>
            </w:r>
          </w:p>
        </w:tc>
        <w:tc>
          <w:tcPr>
            <w:tcW w:w="517" w:type="dxa"/>
            <w:vMerge w:val="restart"/>
            <w:tcBorders>
              <w:tl2br w:val="nil"/>
              <w:tr2bl w:val="nil"/>
            </w:tcBorders>
            <w:vAlign w:val="center"/>
          </w:tcPr>
          <w:p w14:paraId="0C9C863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w:t>
            </w:r>
          </w:p>
        </w:tc>
        <w:tc>
          <w:tcPr>
            <w:tcW w:w="848" w:type="dxa"/>
            <w:tcBorders>
              <w:tl2br w:val="nil"/>
              <w:tr2bl w:val="nil"/>
            </w:tcBorders>
            <w:vAlign w:val="center"/>
          </w:tcPr>
          <w:p w14:paraId="2C64ADA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w:t>
            </w:r>
          </w:p>
          <w:p w14:paraId="3B05764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治理</w:t>
            </w:r>
          </w:p>
        </w:tc>
        <w:tc>
          <w:tcPr>
            <w:tcW w:w="6510" w:type="dxa"/>
            <w:tcBorders>
              <w:tl2br w:val="nil"/>
              <w:tr2bl w:val="nil"/>
            </w:tcBorders>
            <w:vAlign w:val="center"/>
          </w:tcPr>
          <w:p w14:paraId="4C397F4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施工场地及运输道路定期洒水抑尘，对易起尘的临时土方等加盖苫布或防尘网，施工运输车辆采取密闭措施或加盖苫布，加强施工管理，定期对施工机械及运输车辆进行维修保养。</w:t>
            </w:r>
          </w:p>
        </w:tc>
        <w:tc>
          <w:tcPr>
            <w:tcW w:w="706" w:type="dxa"/>
            <w:tcBorders>
              <w:tl2br w:val="nil"/>
              <w:tr2bl w:val="nil"/>
            </w:tcBorders>
            <w:vAlign w:val="center"/>
          </w:tcPr>
          <w:p w14:paraId="2443AD8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7B325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12E7945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45F9E6C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117BE8A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p w14:paraId="182CCBB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治理</w:t>
            </w:r>
          </w:p>
        </w:tc>
        <w:tc>
          <w:tcPr>
            <w:tcW w:w="6510" w:type="dxa"/>
            <w:tcBorders>
              <w:tl2br w:val="nil"/>
              <w:tr2bl w:val="nil"/>
            </w:tcBorders>
            <w:vAlign w:val="center"/>
          </w:tcPr>
          <w:p w14:paraId="788DBBB5">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施工期废旧管道清管废水、新建管道试压废水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均直接推送至</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罐车拉运至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处理，出水水质满足《大庆油田地面工程建设设计规定》（Q/SYDQ0639-2015）、《碎屑岩油藏注水水质指标技术要求及分析方法》（SY/T5329-2022）标准</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即“含油量≤10mg/L、悬浮固体含量≤5mg/L、悬浮物颗粒直径中值≤2μm”后回注地下开采油层，不外排。</w:t>
            </w:r>
          </w:p>
          <w:p w14:paraId="3B510646">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施工期生活污水</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排入附近计量间已建防渗旱厕，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用罐车抽排至高平4号污水站，排入大庆市净源环保科技有限公司处理达标后排放。</w:t>
            </w:r>
          </w:p>
        </w:tc>
        <w:tc>
          <w:tcPr>
            <w:tcW w:w="706" w:type="dxa"/>
            <w:tcBorders>
              <w:tl2br w:val="nil"/>
              <w:tr2bl w:val="nil"/>
            </w:tcBorders>
            <w:vAlign w:val="center"/>
          </w:tcPr>
          <w:p w14:paraId="4A79133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7272C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500D0E5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45D37F8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678F293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p w14:paraId="5EB864E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治理</w:t>
            </w:r>
          </w:p>
        </w:tc>
        <w:tc>
          <w:tcPr>
            <w:tcW w:w="6510" w:type="dxa"/>
            <w:tcBorders>
              <w:tl2br w:val="nil"/>
              <w:tr2bl w:val="nil"/>
            </w:tcBorders>
            <w:vAlign w:val="center"/>
          </w:tcPr>
          <w:p w14:paraId="000DB996">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施工期合理安排施工进度，合理布置施工现场，施工期选用低噪声设备，定期对施工设备进行保养维护，保证设备保持在最佳运行状态，降低噪声源强度。运输车辆均避开村屯进行运输。</w:t>
            </w:r>
          </w:p>
        </w:tc>
        <w:tc>
          <w:tcPr>
            <w:tcW w:w="706" w:type="dxa"/>
            <w:tcBorders>
              <w:tl2br w:val="nil"/>
              <w:tr2bl w:val="nil"/>
            </w:tcBorders>
            <w:vAlign w:val="center"/>
          </w:tcPr>
          <w:p w14:paraId="27EBE90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591F6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310FC7C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6EEF3C3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414C955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固废</w:t>
            </w:r>
          </w:p>
          <w:p w14:paraId="79AA6CA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治理</w:t>
            </w:r>
          </w:p>
        </w:tc>
        <w:tc>
          <w:tcPr>
            <w:tcW w:w="6510" w:type="dxa"/>
            <w:tcBorders>
              <w:tl2br w:val="nil"/>
              <w:tr2bl w:val="nil"/>
            </w:tcBorders>
            <w:vAlign w:val="center"/>
          </w:tcPr>
          <w:p w14:paraId="2920BBD5">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管道施工废料产生量为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，为一般工业固体废物，拉运至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第八采油厂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工业固废填埋场处理。</w:t>
            </w:r>
          </w:p>
          <w:p w14:paraId="6B5F4516">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拆除废旧设备</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送至第八采油厂资产库回收</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p w14:paraId="6846D2E5">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本项目施工期管道定向钻施工产生的穿越工程废弃泥浆</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68m</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，经防渗泥浆池（5m×3m×2m）沉降后，上清液回收洒水降尘、固体部分用于井排路护坡。</w:t>
            </w:r>
          </w:p>
          <w:p w14:paraId="39F2CCF9">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施工人员产生的生活垃圾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统一收集后，拉运至大庆城控电力有限公司焚烧处理。</w:t>
            </w:r>
          </w:p>
        </w:tc>
        <w:tc>
          <w:tcPr>
            <w:tcW w:w="706" w:type="dxa"/>
            <w:tcBorders>
              <w:tl2br w:val="nil"/>
              <w:tr2bl w:val="nil"/>
            </w:tcBorders>
            <w:vAlign w:val="center"/>
          </w:tcPr>
          <w:p w14:paraId="5DBF0A0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4766A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7784710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79DBB62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371FEF0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w:t>
            </w:r>
          </w:p>
          <w:p w14:paraId="2BA65F7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措施</w:t>
            </w:r>
          </w:p>
        </w:tc>
        <w:tc>
          <w:tcPr>
            <w:tcW w:w="6510" w:type="dxa"/>
            <w:tcBorders>
              <w:tl2br w:val="nil"/>
              <w:tr2bl w:val="nil"/>
            </w:tcBorders>
            <w:vAlign w:val="center"/>
          </w:tcPr>
          <w:p w14:paraId="61AEF524">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本项目占地类型主要为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草地、耕地</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。管道施工作业带清理、管沟开挖等会对土壤造成扰动和植被的破坏，</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管道施工采取机械、人工分层开挖方式，</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施工作业带除去</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一侧设置的置土带外，管沟及设备区在施工前剥离表土，剥离的表土放在置土带外侧，管沟挖方土放置在置土带内侧，置土带采取先设置编织袋压护，在采用单行十字形压护</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，底土层另外堆放，施工结束后及时清理施工现场，</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采用分层回填压实，按生、熟土顺序填放，保护耕作层，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复原时先填心、底土，后平覆表土，</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回填后管沟上方留有自然沉降余量，管沟回填多余的土严禁大量集中弃置，应均匀分散在管道中心两侧，并使管沟与周围地表形成</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平滑过渡</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，不得形成汇水环境。</w:t>
            </w:r>
          </w:p>
          <w:p w14:paraId="0EB855C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对临时占用的</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12.56hm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草地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（非基本草原）</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应及时平整进行人工植被恢复，播撒适应当地环境生长的草籽</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对</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12.12hm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耕地（基本农田）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进行平整、复垦</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对临时占用的</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0.1hm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林地平整后，对移栽林木进行恢复。</w:t>
            </w:r>
          </w:p>
        </w:tc>
        <w:tc>
          <w:tcPr>
            <w:tcW w:w="706" w:type="dxa"/>
            <w:tcBorders>
              <w:tl2br w:val="nil"/>
              <w:tr2bl w:val="nil"/>
            </w:tcBorders>
            <w:vAlign w:val="center"/>
          </w:tcPr>
          <w:p w14:paraId="627E093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6C58A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6A885C0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5CDF887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4B1669F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地下水分区防渗</w:t>
            </w:r>
          </w:p>
        </w:tc>
        <w:tc>
          <w:tcPr>
            <w:tcW w:w="6510" w:type="dxa"/>
            <w:tcBorders>
              <w:tl2br w:val="nil"/>
              <w:tr2bl w:val="nil"/>
            </w:tcBorders>
            <w:vAlign w:val="center"/>
          </w:tcPr>
          <w:p w14:paraId="645577F6">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参照《环境影响评价技术导则地下水环境》（HJ610-2016）</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将地下集输管道划分为重点防渗区。</w:t>
            </w:r>
          </w:p>
          <w:p w14:paraId="64E5A76F">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地下集输管道选用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内缠胶带硬质聚氨酯泡沫夹克管</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，集输管道壁厚的腐蚀余量大于3mm或采用管道内防腐，管道的外防腐等级应采用特加强级；管道的连接方式均采用焊接，防渗性能等效黏土防渗层Mb≥6m、K≤1.0×10</w:t>
            </w:r>
            <w:r>
              <w:rPr>
                <w:rFonts w:hint="eastAsia" w:ascii="Times New Roman" w:hAnsi="Times New Roman" w:eastAsia="宋体" w:cs="Times New Roman"/>
                <w:bCs/>
                <w:snapToGrid w:val="0"/>
                <w:color w:val="000000" w:themeColor="text1"/>
                <w:kern w:val="0"/>
                <w:sz w:val="21"/>
                <w:szCs w:val="21"/>
                <w:highlight w:val="none"/>
                <w:vertAlign w:val="superscript"/>
                <w:lang w:val="en-US" w:eastAsia="zh-CN"/>
                <w14:textFill>
                  <w14:solidFill>
                    <w14:schemeClr w14:val="tx1"/>
                  </w14:solidFill>
                </w14:textFill>
              </w:rPr>
              <w:t>-7</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cm/s，满足《环境影响评价技术导则 地下水环境》（HJ610-2016）中重点防渗区的要求。</w:t>
            </w:r>
          </w:p>
          <w:p w14:paraId="143A1D83">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定向钻施工时，防渗泥浆池、泥浆配置区等区域，场地铺设1.5mm厚高密度聚乙烯膜构筑防渗层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防渗性能等效黏土防渗层Mb≥</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m、K≤1.0×10</w:t>
            </w:r>
            <w:r>
              <w:rPr>
                <w:rFonts w:hint="default" w:ascii="Times New Roman" w:hAnsi="Times New Roman" w:eastAsia="宋体" w:cs="Times New Roman"/>
                <w:bCs/>
                <w:snapToGrid w:val="0"/>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cm/s，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满足《环境影响评价技术导则地下水环境》（HJ610-2016）一般防渗区技术要求</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p>
        </w:tc>
        <w:tc>
          <w:tcPr>
            <w:tcW w:w="706" w:type="dxa"/>
            <w:tcBorders>
              <w:tl2br w:val="nil"/>
              <w:tr2bl w:val="nil"/>
            </w:tcBorders>
            <w:vAlign w:val="center"/>
          </w:tcPr>
          <w:p w14:paraId="3A17E03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6CE32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437F19F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0E09961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6FABD95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地下水跟踪监测井</w:t>
            </w:r>
          </w:p>
        </w:tc>
        <w:tc>
          <w:tcPr>
            <w:tcW w:w="6510" w:type="dxa"/>
            <w:tcBorders>
              <w:tl2br w:val="nil"/>
              <w:tr2bl w:val="nil"/>
            </w:tcBorders>
            <w:vAlign w:val="center"/>
          </w:tcPr>
          <w:p w14:paraId="421DAE63">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依托3口跟踪监测井，新建1口跟踪监测井，井深均为20m，</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定期对地下水进行跟踪监测：</w:t>
            </w:r>
          </w:p>
          <w:p w14:paraId="38BF0DF3">
            <w:pPr>
              <w:keepNext w:val="0"/>
              <w:keepLines w:val="0"/>
              <w:pageBreakBefore w:val="0"/>
              <w:widowControl w:val="0"/>
              <w:numPr>
                <w:ilvl w:val="0"/>
                <w:numId w:val="0"/>
              </w:numPr>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在本区域上游宋芳屯居住区（125.070827，45.987808）、平立屯（125.290617，46.170945）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布设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个潜水背景值监测水井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；在区块下游粮油贸易公司（125.069196，45.989418）、升1-2集油阀组间1环集油管线西侧50m处（125.273344，46.178612）各布设1口潜水跟踪监测井</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706" w:type="dxa"/>
            <w:tcBorders>
              <w:tl2br w:val="nil"/>
              <w:tr2bl w:val="nil"/>
            </w:tcBorders>
            <w:vAlign w:val="center"/>
          </w:tcPr>
          <w:p w14:paraId="6A022FE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0F380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52FDE81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restart"/>
            <w:tcBorders>
              <w:tl2br w:val="nil"/>
              <w:tr2bl w:val="nil"/>
            </w:tcBorders>
            <w:vAlign w:val="center"/>
          </w:tcPr>
          <w:p w14:paraId="17D7940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运营期</w:t>
            </w:r>
          </w:p>
        </w:tc>
        <w:tc>
          <w:tcPr>
            <w:tcW w:w="848" w:type="dxa"/>
            <w:tcBorders>
              <w:tl2br w:val="nil"/>
              <w:tr2bl w:val="nil"/>
            </w:tcBorders>
            <w:vAlign w:val="center"/>
          </w:tcPr>
          <w:p w14:paraId="67B020E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土壤保护措施错</w:t>
            </w:r>
          </w:p>
        </w:tc>
        <w:tc>
          <w:tcPr>
            <w:tcW w:w="6510" w:type="dxa"/>
            <w:tcBorders>
              <w:tl2br w:val="nil"/>
              <w:tr2bl w:val="nil"/>
            </w:tcBorders>
            <w:vAlign w:val="center"/>
          </w:tcPr>
          <w:p w14:paraId="645BE7C9">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选择了</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表层土壤、</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外</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西侧</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30m表层土壤</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升1-2集油阀组间1环集油管线表层土壤、升1-2集油阀组间1环集油管线外西侧30m表层土壤</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进行跟踪监测，监测频次为1次/年，监测项目主要为</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石油类、石油烃（C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）、砷、六价铬</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w:t>
            </w:r>
          </w:p>
        </w:tc>
        <w:tc>
          <w:tcPr>
            <w:tcW w:w="706" w:type="dxa"/>
            <w:tcBorders>
              <w:tl2br w:val="nil"/>
              <w:tr2bl w:val="nil"/>
            </w:tcBorders>
            <w:vAlign w:val="center"/>
          </w:tcPr>
          <w:p w14:paraId="409A102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r w14:paraId="294EE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4FA7FC2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0944300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21A1987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生态跟踪监测</w:t>
            </w:r>
          </w:p>
        </w:tc>
        <w:tc>
          <w:tcPr>
            <w:tcW w:w="6510" w:type="dxa"/>
            <w:tcBorders>
              <w:tl2br w:val="nil"/>
              <w:tr2bl w:val="nil"/>
            </w:tcBorders>
            <w:vAlign w:val="center"/>
          </w:tcPr>
          <w:p w14:paraId="2B77989A">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本项目管道临时占地，1次/a，直到植被恢复原有状态。</w:t>
            </w:r>
          </w:p>
        </w:tc>
        <w:tc>
          <w:tcPr>
            <w:tcW w:w="706" w:type="dxa"/>
            <w:tcBorders>
              <w:tl2br w:val="nil"/>
              <w:tr2bl w:val="nil"/>
            </w:tcBorders>
            <w:vAlign w:val="center"/>
          </w:tcPr>
          <w:p w14:paraId="3607680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r w14:paraId="5F4A7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071A806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restart"/>
            <w:tcBorders>
              <w:tl2br w:val="nil"/>
              <w:tr2bl w:val="nil"/>
            </w:tcBorders>
            <w:vAlign w:val="center"/>
          </w:tcPr>
          <w:p w14:paraId="72A8F7B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退役期</w:t>
            </w:r>
          </w:p>
        </w:tc>
        <w:tc>
          <w:tcPr>
            <w:tcW w:w="848" w:type="dxa"/>
            <w:tcBorders>
              <w:tl2br w:val="nil"/>
              <w:tr2bl w:val="nil"/>
            </w:tcBorders>
            <w:vAlign w:val="center"/>
          </w:tcPr>
          <w:p w14:paraId="1656EE2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废水治理</w:t>
            </w:r>
          </w:p>
        </w:tc>
        <w:tc>
          <w:tcPr>
            <w:tcW w:w="6510" w:type="dxa"/>
            <w:tcBorders>
              <w:tl2br w:val="nil"/>
              <w:tr2bl w:val="nil"/>
            </w:tcBorders>
            <w:vAlign w:val="center"/>
          </w:tcPr>
          <w:p w14:paraId="01B61CA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废弃管道清洗废水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335.4t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，由罐车拉运至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处理，出水水质满足《大庆油田地面工程建设设计规定》（Q/SYDQ0639-2015）标准要求，即“含油量≤10mg/L、悬浮固体含量≤5mg/L、悬浮物颗粒直径中值≤2μm”后回注地下开采油层。</w:t>
            </w:r>
          </w:p>
          <w:p w14:paraId="0B881AB7">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退役期生活污水排入附近计量间已建防渗旱厕，</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用罐车抽排至高平4号污水站，排入大庆市净源环保科技有限公司处理达标后排放。</w:t>
            </w:r>
          </w:p>
        </w:tc>
        <w:tc>
          <w:tcPr>
            <w:tcW w:w="706" w:type="dxa"/>
            <w:tcBorders>
              <w:tl2br w:val="nil"/>
              <w:tr2bl w:val="nil"/>
            </w:tcBorders>
            <w:vAlign w:val="center"/>
          </w:tcPr>
          <w:p w14:paraId="443ACFF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067F6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79944A9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7E5AF89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4C0D328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p w14:paraId="0F772DD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治理</w:t>
            </w:r>
          </w:p>
        </w:tc>
        <w:tc>
          <w:tcPr>
            <w:tcW w:w="6510" w:type="dxa"/>
            <w:tcBorders>
              <w:tl2br w:val="nil"/>
              <w:tr2bl w:val="nil"/>
            </w:tcBorders>
            <w:vAlign w:val="center"/>
          </w:tcPr>
          <w:p w14:paraId="2D9D186E">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加强施工管理工作，</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合理安排施工进度，退役期选用低噪声设备；运输车辆选择避开居民区的路线。</w:t>
            </w:r>
          </w:p>
        </w:tc>
        <w:tc>
          <w:tcPr>
            <w:tcW w:w="706" w:type="dxa"/>
            <w:tcBorders>
              <w:tl2br w:val="nil"/>
              <w:tr2bl w:val="nil"/>
            </w:tcBorders>
            <w:vAlign w:val="center"/>
          </w:tcPr>
          <w:p w14:paraId="411B78C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w:t>
            </w:r>
          </w:p>
        </w:tc>
      </w:tr>
      <w:tr w14:paraId="2AF36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dxa"/>
            <w:vMerge w:val="continue"/>
            <w:tcBorders>
              <w:tl2br w:val="nil"/>
              <w:tr2bl w:val="nil"/>
            </w:tcBorders>
            <w:vAlign w:val="center"/>
          </w:tcPr>
          <w:p w14:paraId="215A08C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17" w:type="dxa"/>
            <w:vMerge w:val="continue"/>
            <w:tcBorders>
              <w:tl2br w:val="nil"/>
              <w:tr2bl w:val="nil"/>
            </w:tcBorders>
            <w:vAlign w:val="center"/>
          </w:tcPr>
          <w:p w14:paraId="4381643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48" w:type="dxa"/>
            <w:tcBorders>
              <w:tl2br w:val="nil"/>
              <w:tr2bl w:val="nil"/>
            </w:tcBorders>
            <w:vAlign w:val="center"/>
          </w:tcPr>
          <w:p w14:paraId="7D552BD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固废</w:t>
            </w:r>
          </w:p>
          <w:p w14:paraId="4F5944E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治理</w:t>
            </w:r>
          </w:p>
        </w:tc>
        <w:tc>
          <w:tcPr>
            <w:tcW w:w="6510" w:type="dxa"/>
            <w:tcBorders>
              <w:tl2br w:val="nil"/>
              <w:tr2bl w:val="nil"/>
            </w:tcBorders>
            <w:vAlign w:val="center"/>
          </w:tcPr>
          <w:p w14:paraId="0FF9EC12">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管道清扫后两端封堵直埋，避免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开挖对生态环境造成影响。</w:t>
            </w:r>
          </w:p>
          <w:p w14:paraId="4646FBB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退役期生活垃圾统一收集后，拉运至大庆城控电力有限公司焚烧处理。</w:t>
            </w:r>
          </w:p>
        </w:tc>
        <w:tc>
          <w:tcPr>
            <w:tcW w:w="706" w:type="dxa"/>
            <w:tcBorders>
              <w:tl2br w:val="nil"/>
              <w:tr2bl w:val="nil"/>
            </w:tcBorders>
            <w:vAlign w:val="center"/>
          </w:tcPr>
          <w:p w14:paraId="0F26F98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w:t>
            </w:r>
          </w:p>
        </w:tc>
      </w:tr>
      <w:tr w14:paraId="530C7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5" w:type="dxa"/>
            <w:gridSpan w:val="3"/>
            <w:tcBorders>
              <w:tl2br w:val="nil"/>
              <w:tr2bl w:val="nil"/>
            </w:tcBorders>
            <w:vAlign w:val="center"/>
          </w:tcPr>
          <w:p w14:paraId="0857B73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临时工程</w:t>
            </w:r>
          </w:p>
        </w:tc>
        <w:tc>
          <w:tcPr>
            <w:tcW w:w="6510" w:type="dxa"/>
            <w:tcBorders>
              <w:tl2br w:val="nil"/>
              <w:tr2bl w:val="nil"/>
            </w:tcBorders>
            <w:vAlign w:val="center"/>
          </w:tcPr>
          <w:p w14:paraId="0505ADB7">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本工程不设施工营地和料场，管道施工时需使用挖掘机、推土机、吊装机、电焊机等施工机械放置在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临时占地内。</w:t>
            </w:r>
          </w:p>
        </w:tc>
        <w:tc>
          <w:tcPr>
            <w:tcW w:w="706" w:type="dxa"/>
            <w:tcBorders>
              <w:tl2br w:val="nil"/>
              <w:tr2bl w:val="nil"/>
            </w:tcBorders>
            <w:vAlign w:val="center"/>
          </w:tcPr>
          <w:p w14:paraId="762AD72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临时</w:t>
            </w:r>
          </w:p>
        </w:tc>
      </w:tr>
    </w:tbl>
    <w:p w14:paraId="19B54594">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工程</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建设方案</w:t>
      </w:r>
    </w:p>
    <w:p w14:paraId="1853FFD0">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.2.1</w:t>
      </w:r>
      <w:r>
        <w:rPr>
          <w:rFonts w:hint="eastAsia" w:eastAsia="宋体" w:cs="Times New Roman"/>
          <w:b w:val="0"/>
          <w:bCs/>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更换工程</w:t>
      </w:r>
    </w:p>
    <w:p w14:paraId="7185BB14">
      <w:pPr>
        <w:pStyle w:val="34"/>
        <w:keepNext w:val="0"/>
        <w:keepLines w:val="0"/>
        <w:pageBreakBefore w:val="0"/>
        <w:widowControl w:val="0"/>
        <w:kinsoku/>
        <w:wordWrap/>
        <w:topLinePunct w:val="0"/>
        <w:bidi w:val="0"/>
        <w:ind w:firstLine="480"/>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t>本项目主要针对腐蚀老化管道进行更换，</w:t>
      </w:r>
      <w:r>
        <w:rPr>
          <w:rFonts w:hint="default" w:ascii="Times New Roman" w:hAnsi="Times New Roman" w:cs="Times New Roman"/>
          <w:snapToGrid w:val="0"/>
          <w:color w:val="000000" w:themeColor="text1"/>
          <w:kern w:val="0"/>
          <w:sz w:val="24"/>
          <w:szCs w:val="22"/>
          <w:highlight w:val="none"/>
          <w:lang w:val="en-US" w:eastAsia="zh-CN"/>
          <w14:textFill>
            <w14:solidFill>
              <w14:schemeClr w14:val="tx1"/>
            </w14:solidFill>
          </w14:textFill>
        </w:rPr>
        <w:t>更换原则为：</w:t>
      </w:r>
      <w:r>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t>管道与居民区、村镇、公共福利设施、工矿企业等的距离不小于10m，当管道局部管段不能满足要求时，提高管道的设计强度，将距离缩短到5m，管道穿越公路处交角最好为90°。</w:t>
      </w:r>
    </w:p>
    <w:p w14:paraId="4ED0B967">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本项目更换输油管道20660m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拟更换管道施工涉及穿越工程17处，均为定向钻穿越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针对本次更换的管道，主要是按照原路由进行敷设，相应的旧管道共计20660m，因投资核算成本，采取不回收就地直埋。所以经过清洗、吹扫合格后就地直埋。</w:t>
      </w:r>
      <w:r>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t>本项目</w:t>
      </w:r>
      <w:r>
        <w:rPr>
          <w:rFonts w:hint="default" w:ascii="Times New Roman" w:hAnsi="Times New Roman" w:cs="Times New Roman"/>
          <w:snapToGrid w:val="0"/>
          <w:color w:val="000000" w:themeColor="text1"/>
          <w:kern w:val="0"/>
          <w:sz w:val="24"/>
          <w:szCs w:val="22"/>
          <w:highlight w:val="none"/>
          <w:lang w:val="en-US" w:eastAsia="zh-CN"/>
          <w14:textFill>
            <w14:solidFill>
              <w14:schemeClr w14:val="tx1"/>
            </w14:solidFill>
          </w14:textFill>
        </w:rPr>
        <w:t>集</w:t>
      </w:r>
      <w:r>
        <w:rPr>
          <w:rFonts w:hint="eastAsia" w:cs="Times New Roman"/>
          <w:snapToGrid w:val="0"/>
          <w:color w:val="000000" w:themeColor="text1"/>
          <w:kern w:val="0"/>
          <w:sz w:val="24"/>
          <w:szCs w:val="22"/>
          <w:highlight w:val="none"/>
          <w:lang w:val="en-US" w:eastAsia="zh-CN"/>
          <w14:textFill>
            <w14:solidFill>
              <w14:schemeClr w14:val="tx1"/>
            </w14:solidFill>
          </w14:textFill>
        </w:rPr>
        <w:t>输</w:t>
      </w:r>
      <w:r>
        <w:rPr>
          <w:rFonts w:hint="default" w:ascii="Times New Roman" w:hAnsi="Times New Roman" w:eastAsia="宋体" w:cs="Times New Roman"/>
          <w:snapToGrid w:val="0"/>
          <w:color w:val="000000" w:themeColor="text1"/>
          <w:kern w:val="0"/>
          <w:sz w:val="24"/>
          <w:szCs w:val="22"/>
          <w:highlight w:val="none"/>
          <w:lang w:val="en-US" w:eastAsia="zh-CN"/>
          <w14:textFill>
            <w14:solidFill>
              <w14:schemeClr w14:val="tx1"/>
            </w14:solidFill>
          </w14:textFill>
        </w:rPr>
        <w:t>管道更换统计表见表3.2-2。</w:t>
      </w:r>
    </w:p>
    <w:p w14:paraId="7B9BEE8F">
      <w:pPr>
        <w:pStyle w:val="3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表3.2-2本项目集</w:t>
      </w:r>
      <w:r>
        <w:rPr>
          <w:rFonts w:hint="eastAsia" w:cs="Times New Roman"/>
          <w:b/>
          <w:color w:val="000000" w:themeColor="text1"/>
          <w:sz w:val="24"/>
          <w:szCs w:val="22"/>
          <w:highlight w:val="none"/>
          <w:lang w:val="en-US" w:eastAsia="zh-CN" w:bidi="ar-SA"/>
          <w14:textFill>
            <w14:solidFill>
              <w14:schemeClr w14:val="tx1"/>
            </w14:solidFill>
          </w14:textFill>
        </w:rPr>
        <w:t>输</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管道更换管道统计表</w:t>
      </w:r>
    </w:p>
    <w:tbl>
      <w:tblPr>
        <w:tblStyle w:val="1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5"/>
        <w:gridCol w:w="2387"/>
        <w:gridCol w:w="1590"/>
        <w:gridCol w:w="2114"/>
        <w:gridCol w:w="778"/>
        <w:gridCol w:w="1094"/>
        <w:gridCol w:w="873"/>
      </w:tblGrid>
      <w:tr w14:paraId="0391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4946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970E">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管道名称</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B4B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管道起点</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E8974">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管道终点</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49EEE">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管道类型</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2C5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管径规格</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mm</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6959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b/>
                <w:bCs/>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本次更换长度</w:t>
            </w: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m</w:t>
            </w:r>
          </w:p>
        </w:tc>
      </w:tr>
      <w:tr w14:paraId="6BF56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A83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A41A">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芳3转油站外输油管道</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A980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95E8">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升一联合站</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B253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输油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ED55">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BD98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12400</w:t>
            </w:r>
          </w:p>
        </w:tc>
      </w:tr>
      <w:tr w14:paraId="4D442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3687B">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FE671">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407-6集油阀组间</w:t>
            </w:r>
          </w:p>
          <w:p w14:paraId="61A2026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5环集油管道</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EE18">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15-66井</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5653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407-6集油阀组间</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C6B3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输油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BE7FB">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912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2750</w:t>
            </w:r>
          </w:p>
        </w:tc>
      </w:tr>
      <w:tr w14:paraId="537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1EC90">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8CFFB">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1-6集油阀组间</w:t>
            </w:r>
          </w:p>
          <w:p w14:paraId="2F3F8F1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1环集油管道</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0024">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45-33井</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934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1-6集油阀组间</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EF7B2">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输油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3FC7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E9C3C">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2060</w:t>
            </w:r>
          </w:p>
        </w:tc>
      </w:tr>
      <w:tr w14:paraId="2A9C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F2C59">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5C1E0">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w:t>
            </w:r>
          </w:p>
          <w:p w14:paraId="238E574A">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1环集油管道</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E2466">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29-29井</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1C06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1-2集油阀组间</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CDEFE">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输油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A154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9DFB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1800</w:t>
            </w:r>
          </w:p>
        </w:tc>
      </w:tr>
      <w:tr w14:paraId="0BD03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020D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1FE7A">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w:t>
            </w:r>
          </w:p>
          <w:p w14:paraId="21A86936">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6环集油管道</w:t>
            </w:r>
          </w:p>
        </w:tc>
        <w:tc>
          <w:tcPr>
            <w:tcW w:w="8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CC92D">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33-斜35井</w:t>
            </w:r>
          </w:p>
        </w:tc>
        <w:tc>
          <w:tcPr>
            <w:tcW w:w="11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815E">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1-2集油阀组间</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7FD84">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输油</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9F45">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D675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1650</w:t>
            </w:r>
          </w:p>
        </w:tc>
      </w:tr>
    </w:tbl>
    <w:p w14:paraId="7B0AF33C">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w:t>
      </w:r>
      <w:r>
        <w:rPr>
          <w:rFonts w:hint="eastAsia"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临时工程</w:t>
      </w:r>
    </w:p>
    <w:p w14:paraId="15D2B05B">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本工程不额外设施工营地和料场，管道施工时采用人工、机械相结合方式，需使用挖掘机、推土机、吊装机、电焊机等施工机械，均设置在本工程临时征地范围内，施工完毕后将临时工程的占地进行恢复。</w:t>
      </w:r>
    </w:p>
    <w:p w14:paraId="2B0D93B5">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3.2.2.</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退役期</w:t>
      </w:r>
    </w:p>
    <w:p w14:paraId="1640093E">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本项目退役期主要是本次新建的</w:t>
      </w:r>
      <w:r>
        <w:rPr>
          <w:rFonts w:hint="eastAsia" w:cs="Times New Roman"/>
          <w:b w:val="0"/>
          <w:bCs/>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停止使用，采用清扫后两端封堵直埋，避免</w:t>
      </w:r>
      <w:r>
        <w:rPr>
          <w:rFonts w:hint="eastAsia" w:cs="Times New Roman"/>
          <w:b w:val="0"/>
          <w:bCs/>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开挖对生态环境造成影响</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2D8D54A5">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3.2.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占地及土石方平衡</w:t>
      </w:r>
    </w:p>
    <w:p w14:paraId="29423F6C">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3.2.3.1工程占地</w:t>
      </w:r>
    </w:p>
    <w:p w14:paraId="1DA3392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本项目施工过程中占地主要为</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和穿越工程占地，占地类型为草地（非基本草原）、</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耕地（基本农田）和林地</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，均为临时占地，无新增永久占地。</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施工</w:t>
      </w:r>
      <w:r>
        <w:rPr>
          <w:rFonts w:hint="eastAsia"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期</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采取机械、人工分层开挖方式</w:t>
      </w:r>
      <w:r>
        <w:rPr>
          <w:rFonts w:hint="eastAsia"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w:t>
      </w:r>
    </w:p>
    <w:p w14:paraId="51FD1739">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（1）一般管段施工</w:t>
      </w:r>
    </w:p>
    <w:p w14:paraId="1F6BBAEF">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本项目更换输油管道</w:t>
      </w:r>
      <w:r>
        <w:rPr>
          <w:rFonts w:hint="eastAsia" w:cs="Times New Roman"/>
          <w:b w:val="0"/>
          <w:bCs/>
          <w:snapToGrid w:val="0"/>
          <w:color w:val="000000" w:themeColor="text1"/>
          <w:sz w:val="24"/>
          <w:szCs w:val="24"/>
          <w:highlight w:val="none"/>
          <w:lang w:val="en-US" w:eastAsia="zh-CN" w:bidi="ar-SA"/>
          <w14:textFill>
            <w14:solidFill>
              <w14:schemeClr w14:val="tx1"/>
            </w14:solidFill>
          </w14:textFill>
        </w:rPr>
        <w:t>20660m</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根据建设单位提供资料，</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项目一般地段管道（除定向钻施工管段外）施工临时占地宽度为10m，则管线临时占地总面积约为</w:t>
      </w:r>
      <w:r>
        <w:rPr>
          <w:rFonts w:hint="eastAsia" w:cs="Times New Roman"/>
          <w:b w:val="0"/>
          <w:bCs/>
          <w:snapToGrid w:val="0"/>
          <w:color w:val="000000" w:themeColor="text1"/>
          <w:sz w:val="24"/>
          <w:szCs w:val="24"/>
          <w:highlight w:val="none"/>
          <w:lang w:val="en-US" w:eastAsia="zh-CN" w:bidi="ar-SA"/>
          <w14:textFill>
            <w14:solidFill>
              <w14:schemeClr w14:val="tx1"/>
            </w14:solidFill>
          </w14:textFill>
        </w:rPr>
        <w:t>20.66</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，其中临时占用草地</w:t>
      </w:r>
      <w:r>
        <w:rPr>
          <w:rFonts w:hint="eastAsia" w:cs="Times New Roman"/>
          <w:snapToGrid w:val="0"/>
          <w:color w:val="000000" w:themeColor="text1"/>
          <w:sz w:val="24"/>
          <w:szCs w:val="20"/>
          <w:highlight w:val="none"/>
          <w:vertAlign w:val="baseline"/>
          <w:lang w:val="en-US" w:eastAsia="zh-CN" w:bidi="ar-SA"/>
          <w14:textFill>
            <w14:solidFill>
              <w14:schemeClr w14:val="tx1"/>
            </w14:solidFill>
          </w14:textFill>
        </w:rPr>
        <w:t>（非基本草原）11.56</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，临时占用</w:t>
      </w:r>
      <w:r>
        <w:rPr>
          <w:rFonts w:hint="eastAsia" w:cs="Times New Roman"/>
          <w:snapToGrid w:val="0"/>
          <w:color w:val="000000" w:themeColor="text1"/>
          <w:sz w:val="24"/>
          <w:szCs w:val="20"/>
          <w:highlight w:val="none"/>
          <w:vertAlign w:val="baseline"/>
          <w:lang w:val="en-US" w:eastAsia="zh-CN" w:bidi="ar-SA"/>
          <w14:textFill>
            <w14:solidFill>
              <w14:schemeClr w14:val="tx1"/>
            </w14:solidFill>
          </w14:textFill>
        </w:rPr>
        <w:t>耕地（基本农田）9</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，临时占用</w:t>
      </w:r>
      <w:r>
        <w:rPr>
          <w:rFonts w:hint="eastAsia"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林地</w:t>
      </w:r>
      <w:r>
        <w:rPr>
          <w:rFonts w:hint="eastAsia" w:cs="Times New Roman"/>
          <w:snapToGrid w:val="0"/>
          <w:color w:val="000000" w:themeColor="text1"/>
          <w:sz w:val="24"/>
          <w:szCs w:val="20"/>
          <w:highlight w:val="none"/>
          <w:vertAlign w:val="baseline"/>
          <w:lang w:val="en-US" w:eastAsia="zh-CN" w:bidi="ar-SA"/>
          <w14:textFill>
            <w14:solidFill>
              <w14:schemeClr w14:val="tx1"/>
            </w14:solidFill>
          </w14:textFill>
        </w:rPr>
        <w:t>0.1</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w:t>
      </w:r>
    </w:p>
    <w:p w14:paraId="60D1838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）穿越工程临时占地</w:t>
      </w:r>
    </w:p>
    <w:p w14:paraId="597870D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拟更换管道施工涉及穿越工程17处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均为定向钻穿越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9D6A434">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定向钻临时施工占地主要包括定向钻施工场地穿越入土点施工场地和出土施工场地，每处定向钻施工占地面积为3000m</w:t>
      </w:r>
      <w:r>
        <w:rPr>
          <w:rFonts w:hint="default" w:ascii="Times New Roman" w:hAnsi="Times New Roman" w:eastAsia="宋体" w:cs="Times New Roman"/>
          <w:b w:val="0"/>
          <w:bCs/>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（道路两侧各1500m</w:t>
      </w:r>
      <w:r>
        <w:rPr>
          <w:rFonts w:hint="default" w:ascii="Times New Roman" w:hAnsi="Times New Roman" w:eastAsia="宋体" w:cs="Times New Roman"/>
          <w:b w:val="0"/>
          <w:bCs/>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，每处</w:t>
      </w:r>
      <w:r>
        <w:rPr>
          <w:rFonts w:hint="default" w:ascii="Times New Roman" w:hAnsi="Times New Roman" w:eastAsia="宋体" w:cs="Times New Roman"/>
          <w:b w:val="0"/>
          <w:bCs/>
          <w:snapToGrid w:val="0"/>
          <w:color w:val="000000" w:themeColor="text1"/>
          <w:sz w:val="24"/>
          <w:szCs w:val="24"/>
          <w:highlight w:val="none"/>
          <w:vertAlign w:val="baseline"/>
          <w:lang w:val="en-US" w:eastAsia="zh-CN" w:bidi="ar-SA"/>
          <w14:textFill>
            <w14:solidFill>
              <w14:schemeClr w14:val="tx1"/>
            </w14:solidFill>
          </w14:textFill>
        </w:rPr>
        <w:t>50</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bCs/>
          <w:snapToGrid w:val="0"/>
          <w:color w:val="000000" w:themeColor="text1"/>
          <w:sz w:val="24"/>
          <w:szCs w:val="24"/>
          <w:highlight w:val="none"/>
          <w:vertAlign w:val="baseline"/>
          <w:lang w:val="en-US" w:eastAsia="zh-CN" w:bidi="ar-SA"/>
          <w14:textFill>
            <w14:solidFill>
              <w14:schemeClr w14:val="tx1"/>
            </w14:solidFill>
          </w14:textFill>
        </w:rPr>
        <w:t>30</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m），考虑本项目管线施工时已计算相应的临时占地面积，则每处定向钻施工占地面积为2400m</w:t>
      </w:r>
      <w:r>
        <w:rPr>
          <w:rFonts w:hint="default" w:ascii="Times New Roman" w:hAnsi="Times New Roman" w:eastAsia="宋体" w:cs="Times New Roman"/>
          <w:b w:val="0"/>
          <w:bCs/>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（道路两侧各1200m</w:t>
      </w:r>
      <w:r>
        <w:rPr>
          <w:rFonts w:hint="default" w:ascii="Times New Roman" w:hAnsi="Times New Roman" w:eastAsia="宋体" w:cs="Times New Roman"/>
          <w:b w:val="0"/>
          <w:bCs/>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，每处减去30m管线的临时占地面积300m</w:t>
      </w:r>
      <w:r>
        <w:rPr>
          <w:rFonts w:hint="default" w:ascii="Times New Roman" w:hAnsi="Times New Roman" w:eastAsia="宋体" w:cs="Times New Roman"/>
          <w:b w:val="0"/>
          <w:bCs/>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w:t>
      </w:r>
    </w:p>
    <w:p w14:paraId="566D69C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项目共计</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17</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处涉及定向钻施工，总占地面积为</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4.08</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hm</w:t>
      </w:r>
      <w:r>
        <w:rPr>
          <w:rFonts w:hint="default" w:ascii="Times New Roman" w:hAnsi="Times New Roman" w:eastAsia="宋体" w:cs="Times New Roman"/>
          <w:b w:val="0"/>
          <w:bCs/>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。占</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其中临时占用</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草地（非基本草原）</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0.96</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、耕地（基本农田）3.12</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w:t>
      </w:r>
    </w:p>
    <w:p w14:paraId="0C2419B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则</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本项目管线临时占地</w:t>
      </w:r>
      <w:r>
        <w:rPr>
          <w:rFonts w:hint="eastAsia"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面积和类型</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见表3.2-</w:t>
      </w:r>
      <w:r>
        <w:rPr>
          <w:rFonts w:hint="eastAsia"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w:t>
      </w:r>
    </w:p>
    <w:p w14:paraId="10A1B1A2">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表3.2-</w:t>
      </w:r>
      <w:r>
        <w:rPr>
          <w:rFonts w:hint="eastAsia"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3</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工程占地面积和类型单位：hm</w:t>
      </w:r>
      <w:r>
        <w:rPr>
          <w:rFonts w:hint="default" w:ascii="Times New Roman" w:hAnsi="Times New Roman" w:eastAsia="宋体" w:cs="Times New Roman"/>
          <w:b/>
          <w:color w:val="000000" w:themeColor="text1"/>
          <w:sz w:val="24"/>
          <w:szCs w:val="22"/>
          <w:highlight w:val="none"/>
          <w:vertAlign w:val="superscript"/>
          <w:lang w:val="en-US" w:eastAsia="zh-CN" w:bidi="ar-SA"/>
          <w14:textFill>
            <w14:solidFill>
              <w14:schemeClr w14:val="tx1"/>
            </w14:solidFill>
          </w14:textFill>
        </w:rPr>
        <w:t>2</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350"/>
        <w:gridCol w:w="2419"/>
        <w:gridCol w:w="2419"/>
        <w:gridCol w:w="2420"/>
      </w:tblGrid>
      <w:tr w14:paraId="5773D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9" w:type="pct"/>
            <w:vMerge w:val="restart"/>
            <w:tcBorders>
              <w:tl2br w:val="nil"/>
              <w:tr2bl w:val="nil"/>
            </w:tcBorders>
            <w:noWrap w:val="0"/>
            <w:tcMar>
              <w:top w:w="15" w:type="dxa"/>
              <w:left w:w="15" w:type="dxa"/>
              <w:bottom w:w="0" w:type="dxa"/>
              <w:right w:w="15" w:type="dxa"/>
            </w:tcMar>
            <w:vAlign w:val="center"/>
          </w:tcPr>
          <w:p w14:paraId="3D1BE1D3">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序号</w:t>
            </w:r>
          </w:p>
        </w:tc>
        <w:tc>
          <w:tcPr>
            <w:tcW w:w="742" w:type="pct"/>
            <w:vMerge w:val="restart"/>
            <w:tcBorders>
              <w:tl2br w:val="nil"/>
              <w:tr2bl w:val="nil"/>
            </w:tcBorders>
            <w:noWrap w:val="0"/>
            <w:tcMar>
              <w:top w:w="15" w:type="dxa"/>
              <w:left w:w="15" w:type="dxa"/>
              <w:bottom w:w="0" w:type="dxa"/>
              <w:right w:w="15" w:type="dxa"/>
            </w:tcMar>
            <w:vAlign w:val="center"/>
          </w:tcPr>
          <w:p w14:paraId="0FED4A08">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建设项目</w:t>
            </w:r>
          </w:p>
        </w:tc>
        <w:tc>
          <w:tcPr>
            <w:tcW w:w="3988" w:type="pct"/>
            <w:gridSpan w:val="3"/>
            <w:tcBorders>
              <w:tl2br w:val="nil"/>
              <w:tr2bl w:val="nil"/>
            </w:tcBorders>
            <w:noWrap w:val="0"/>
            <w:tcMar>
              <w:top w:w="15" w:type="dxa"/>
              <w:left w:w="15" w:type="dxa"/>
              <w:bottom w:w="0" w:type="dxa"/>
              <w:right w:w="15" w:type="dxa"/>
            </w:tcMar>
            <w:vAlign w:val="center"/>
          </w:tcPr>
          <w:p w14:paraId="53D31807">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临时占地</w:t>
            </w:r>
          </w:p>
        </w:tc>
      </w:tr>
      <w:tr w14:paraId="2A523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9" w:type="pct"/>
            <w:vMerge w:val="continue"/>
            <w:tcBorders>
              <w:tl2br w:val="nil"/>
              <w:tr2bl w:val="nil"/>
            </w:tcBorders>
            <w:noWrap w:val="0"/>
            <w:vAlign w:val="center"/>
          </w:tcPr>
          <w:p w14:paraId="6F3CD954">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742" w:type="pct"/>
            <w:vMerge w:val="continue"/>
            <w:tcBorders>
              <w:tl2br w:val="nil"/>
              <w:tr2bl w:val="nil"/>
            </w:tcBorders>
            <w:noWrap w:val="0"/>
            <w:vAlign w:val="center"/>
          </w:tcPr>
          <w:p w14:paraId="042C9097">
            <w:pPr>
              <w:keepNext w:val="0"/>
              <w:keepLines w:val="0"/>
              <w:pageBreakBefore w:val="0"/>
              <w:widowControl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329" w:type="pct"/>
            <w:tcBorders>
              <w:tl2br w:val="nil"/>
              <w:tr2bl w:val="nil"/>
            </w:tcBorders>
            <w:noWrap w:val="0"/>
            <w:tcMar>
              <w:top w:w="15" w:type="dxa"/>
              <w:left w:w="15" w:type="dxa"/>
              <w:bottom w:w="0" w:type="dxa"/>
              <w:right w:w="15" w:type="dxa"/>
            </w:tcMar>
            <w:vAlign w:val="center"/>
          </w:tcPr>
          <w:p w14:paraId="463DC000">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草地（非基本草原）</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5855D328">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耕地（基本农田）</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43C05AE4">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林地</w:t>
            </w:r>
          </w:p>
        </w:tc>
      </w:tr>
      <w:tr w14:paraId="6E26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9" w:type="pct"/>
            <w:tcBorders>
              <w:tl2br w:val="nil"/>
              <w:tr2bl w:val="nil"/>
            </w:tcBorders>
            <w:noWrap w:val="0"/>
            <w:vAlign w:val="center"/>
          </w:tcPr>
          <w:p w14:paraId="2E2FC5CA">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742" w:type="pct"/>
            <w:tcBorders>
              <w:tl2br w:val="nil"/>
              <w:tr2bl w:val="nil"/>
            </w:tcBorders>
            <w:noWrap w:val="0"/>
            <w:vAlign w:val="center"/>
          </w:tcPr>
          <w:p w14:paraId="3D549399">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管道工程</w:t>
            </w:r>
          </w:p>
        </w:tc>
        <w:tc>
          <w:tcPr>
            <w:tcW w:w="1329" w:type="pct"/>
            <w:tcBorders>
              <w:tl2br w:val="nil"/>
              <w:tr2bl w:val="nil"/>
            </w:tcBorders>
            <w:noWrap w:val="0"/>
            <w:tcMar>
              <w:top w:w="15" w:type="dxa"/>
              <w:left w:w="15" w:type="dxa"/>
              <w:bottom w:w="0" w:type="dxa"/>
              <w:right w:w="15" w:type="dxa"/>
            </w:tcMar>
            <w:vAlign w:val="center"/>
          </w:tcPr>
          <w:p w14:paraId="7D6F4840">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11.56</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1E8CC5DF">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5D10B1C5">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w:t>
            </w:r>
          </w:p>
        </w:tc>
      </w:tr>
      <w:tr w14:paraId="66B97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9" w:type="pct"/>
            <w:tcBorders>
              <w:tl2br w:val="nil"/>
              <w:tr2bl w:val="nil"/>
            </w:tcBorders>
            <w:noWrap w:val="0"/>
            <w:vAlign w:val="center"/>
          </w:tcPr>
          <w:p w14:paraId="21039EE5">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742" w:type="pct"/>
            <w:tcBorders>
              <w:tl2br w:val="nil"/>
              <w:tr2bl w:val="nil"/>
            </w:tcBorders>
            <w:noWrap w:val="0"/>
            <w:vAlign w:val="center"/>
          </w:tcPr>
          <w:p w14:paraId="08FFCE24">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穿越工程</w:t>
            </w:r>
          </w:p>
        </w:tc>
        <w:tc>
          <w:tcPr>
            <w:tcW w:w="1329" w:type="pct"/>
            <w:tcBorders>
              <w:tl2br w:val="nil"/>
              <w:tr2bl w:val="nil"/>
            </w:tcBorders>
            <w:noWrap w:val="0"/>
            <w:tcMar>
              <w:top w:w="15" w:type="dxa"/>
              <w:left w:w="15" w:type="dxa"/>
              <w:bottom w:w="0" w:type="dxa"/>
              <w:right w:w="15" w:type="dxa"/>
            </w:tcMar>
            <w:vAlign w:val="center"/>
          </w:tcPr>
          <w:p w14:paraId="6313550B">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0.96</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3E060A10">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3.12</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64C807FF">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7008B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pct"/>
            <w:gridSpan w:val="2"/>
            <w:tcBorders>
              <w:tl2br w:val="nil"/>
              <w:tr2bl w:val="nil"/>
            </w:tcBorders>
            <w:noWrap w:val="0"/>
            <w:vAlign w:val="center"/>
          </w:tcPr>
          <w:p w14:paraId="61FECFF0">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小计</w:t>
            </w:r>
          </w:p>
        </w:tc>
        <w:tc>
          <w:tcPr>
            <w:tcW w:w="1329" w:type="pct"/>
            <w:tcBorders>
              <w:tl2br w:val="nil"/>
              <w:tr2bl w:val="nil"/>
            </w:tcBorders>
            <w:noWrap w:val="0"/>
            <w:tcMar>
              <w:top w:w="15" w:type="dxa"/>
              <w:left w:w="15" w:type="dxa"/>
              <w:bottom w:w="0" w:type="dxa"/>
              <w:right w:w="15" w:type="dxa"/>
            </w:tcMar>
            <w:vAlign w:val="center"/>
          </w:tcPr>
          <w:p w14:paraId="3585FEBA">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12.56</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1509C594">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12.12</w:t>
            </w:r>
          </w:p>
        </w:tc>
        <w:tc>
          <w:tcPr>
            <w:tcW w:w="1329" w:type="pct"/>
            <w:tcBorders>
              <w:left w:val="single" w:color="000000" w:sz="2" w:space="0"/>
              <w:tl2br w:val="nil"/>
              <w:tr2bl w:val="nil"/>
            </w:tcBorders>
            <w:noWrap w:val="0"/>
            <w:tcMar>
              <w:top w:w="15" w:type="dxa"/>
              <w:left w:w="15" w:type="dxa"/>
              <w:bottom w:w="0" w:type="dxa"/>
              <w:right w:w="15" w:type="dxa"/>
            </w:tcMar>
            <w:vAlign w:val="center"/>
          </w:tcPr>
          <w:p w14:paraId="735B9096">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w:t>
            </w:r>
          </w:p>
        </w:tc>
      </w:tr>
      <w:tr w14:paraId="7326C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pct"/>
            <w:gridSpan w:val="2"/>
            <w:tcBorders>
              <w:tl2br w:val="nil"/>
              <w:tr2bl w:val="nil"/>
            </w:tcBorders>
            <w:noWrap w:val="0"/>
            <w:vAlign w:val="center"/>
          </w:tcPr>
          <w:p w14:paraId="7D5C279B">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总计</w:t>
            </w:r>
          </w:p>
        </w:tc>
        <w:tc>
          <w:tcPr>
            <w:tcW w:w="3988" w:type="pct"/>
            <w:gridSpan w:val="3"/>
            <w:tcBorders>
              <w:tl2br w:val="nil"/>
              <w:tr2bl w:val="nil"/>
            </w:tcBorders>
            <w:noWrap w:val="0"/>
            <w:tcMar>
              <w:top w:w="15" w:type="dxa"/>
              <w:left w:w="15" w:type="dxa"/>
              <w:bottom w:w="0" w:type="dxa"/>
              <w:right w:w="15" w:type="dxa"/>
            </w:tcMar>
            <w:vAlign w:val="center"/>
          </w:tcPr>
          <w:p w14:paraId="0F1C9AD8">
            <w:pPr>
              <w:keepNext w:val="0"/>
              <w:keepLines w:val="0"/>
              <w:pageBreakBefore w:val="0"/>
              <w:widowControl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24.78</w:t>
            </w:r>
          </w:p>
        </w:tc>
      </w:tr>
    </w:tbl>
    <w:p w14:paraId="60CC9388">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3.2.3.2土石方平衡</w:t>
      </w:r>
    </w:p>
    <w:p w14:paraId="3534CC5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本项目涉及土石方的工程主要包括</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管道施工、定向钻穿越施工</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挖方施工应分层开挖，分层堆放，施工结束后分层回填。本工程实施前编制建设项目占用耕地耕作层土壤剥离利用方案，统筹安排剥离、储存和再利用。表土剥离和利用严格执行《建设占用耕地耕作层土壤剥离利用技术规范》（DB23/T2913-2021）。</w:t>
      </w:r>
    </w:p>
    <w:p w14:paraId="7FFE1FD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①表土剥离方案</w:t>
      </w:r>
    </w:p>
    <w:p w14:paraId="2EC09A56">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管道施工</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采取</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机械、人工</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分层开挖方式，</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管线施工作业带除去管线一侧设置的置土带外，管沟及设备区在施工前剥离表土</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w:t>
      </w:r>
    </w:p>
    <w:p w14:paraId="7BC2DBB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本项目一般地段管道（除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定向钻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施工管段外），管沟施工长度为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20.66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km，</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表土剥离厚度30cm，管沟及设备区宽度为6m，置土带宽度为4m（表土2m、基础挖方2m），</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表土剥离堆场面积为</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41320m</w:t>
      </w:r>
      <w:r>
        <w:rPr>
          <w:rFonts w:hint="default" w:ascii="Times New Roman" w:hAnsi="Times New Roman" w:eastAsia="宋体" w:cs="Times New Roman"/>
          <w:b w:val="0"/>
          <w:bCs/>
          <w:snapToGrid/>
          <w:color w:val="000000" w:themeColor="text1"/>
          <w:kern w:val="2"/>
          <w:sz w:val="24"/>
          <w:szCs w:val="24"/>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w:t>
      </w:r>
    </w:p>
    <w:p w14:paraId="0CD5290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管道施工表土剥离</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37188m</w:t>
      </w:r>
      <w:r>
        <w:rPr>
          <w:rFonts w:hint="default" w:ascii="Times New Roman" w:hAnsi="Times New Roman" w:eastAsia="宋体" w:cs="Times New Roman"/>
          <w:b w:val="0"/>
          <w:bCs/>
          <w:snapToGrid/>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（堆放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高度约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m）。</w:t>
      </w:r>
    </w:p>
    <w:p w14:paraId="58BACD6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管沟横截面为梯形，管道管顶距地表为-1.2m</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管沟挖深约为</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1.5</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m（去除表土挖深0.3m后，实际挖深1.</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沟带上宽2m，下宽0.5m，管沟截面积为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管沟挖方量约为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30990m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（堆放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高度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0.75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p>
    <w:p w14:paraId="215231D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管道施工结束后，采用分层回填压实，按生、熟土顺序填放，保护耕作层，回填后管沟上方留有自然沉降余量，管沟回填多余的土严禁大量集中弃置，应均匀分散在管道中心两侧，并使管沟与周围地表形成</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平滑过渡</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，不得形成汇水环境，防止水土流失。</w:t>
      </w:r>
    </w:p>
    <w:p w14:paraId="1835FE9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定向钻施工过程中在穿越两端各开挖一个作业坑（一个作为起始作业坑、一个作为接收坑），每个作业坑长10m、宽10m、平均深度3m，挖方量为300m</w:t>
      </w:r>
      <w:r>
        <w:rPr>
          <w:rFonts w:hint="eastAsia"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，因此定向钻施工中挖方总量为5100m</w:t>
      </w:r>
      <w:r>
        <w:rPr>
          <w:rFonts w:hint="eastAsia"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，施工结束后开挖方全部回填作业坑，定向钻穿越产生定向钻废弃泥浆，计入一般固体废物，不计入土石方平衡。土石方平衡情况详见表3.2-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5F63D65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mallCaps w:val="0"/>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b/>
          <w:smallCaps w:val="0"/>
          <w:color w:val="000000" w:themeColor="text1"/>
          <w:kern w:val="0"/>
          <w:sz w:val="24"/>
          <w:szCs w:val="22"/>
          <w:highlight w:val="none"/>
          <w:lang w:val="en-US" w:eastAsia="zh-CN" w:bidi="ar-SA"/>
          <w14:textFill>
            <w14:solidFill>
              <w14:schemeClr w14:val="tx1"/>
            </w14:solidFill>
          </w14:textFill>
        </w:rPr>
        <w:t>表3.2-</w:t>
      </w:r>
      <w:r>
        <w:rPr>
          <w:rFonts w:hint="eastAsia" w:ascii="Times New Roman" w:hAnsi="Times New Roman" w:eastAsia="宋体" w:cs="Times New Roman"/>
          <w:b/>
          <w:smallCaps w:val="0"/>
          <w:color w:val="000000" w:themeColor="text1"/>
          <w:kern w:val="0"/>
          <w:sz w:val="24"/>
          <w:szCs w:val="22"/>
          <w:highlight w:val="none"/>
          <w:lang w:val="en-US" w:eastAsia="zh-CN" w:bidi="ar-SA"/>
          <w14:textFill>
            <w14:solidFill>
              <w14:schemeClr w14:val="tx1"/>
            </w14:solidFill>
          </w14:textFill>
        </w:rPr>
        <w:t>4</w:t>
      </w:r>
      <w:r>
        <w:rPr>
          <w:rFonts w:hint="default" w:ascii="Times New Roman" w:hAnsi="Times New Roman" w:eastAsia="宋体" w:cs="Times New Roman"/>
          <w:b/>
          <w:smallCaps w:val="0"/>
          <w:color w:val="000000" w:themeColor="text1"/>
          <w:kern w:val="0"/>
          <w:sz w:val="24"/>
          <w:szCs w:val="22"/>
          <w:highlight w:val="none"/>
          <w:lang w:val="en-US" w:eastAsia="zh-CN" w:bidi="ar-SA"/>
          <w14:textFill>
            <w14:solidFill>
              <w14:schemeClr w14:val="tx1"/>
            </w14:solidFill>
          </w14:textFill>
        </w:rPr>
        <w:t>土石方平衡表单位：（m</w:t>
      </w:r>
      <w:r>
        <w:rPr>
          <w:rFonts w:hint="default" w:ascii="Times New Roman" w:hAnsi="Times New Roman" w:eastAsia="宋体" w:cs="Times New Roman"/>
          <w:b/>
          <w:smallCaps w:val="0"/>
          <w:color w:val="000000" w:themeColor="text1"/>
          <w:kern w:val="0"/>
          <w:sz w:val="24"/>
          <w:szCs w:val="22"/>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smallCaps w:val="0"/>
          <w:color w:val="000000" w:themeColor="text1"/>
          <w:kern w:val="0"/>
          <w:sz w:val="24"/>
          <w:szCs w:val="22"/>
          <w:highlight w:val="none"/>
          <w:lang w:val="en-US" w:eastAsia="zh-CN" w:bidi="ar-SA"/>
          <w14:textFill>
            <w14:solidFill>
              <w14:schemeClr w14:val="tx1"/>
            </w14:solidFill>
          </w14:textFill>
        </w:rPr>
        <w:t>）</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5"/>
        <w:gridCol w:w="925"/>
        <w:gridCol w:w="828"/>
        <w:gridCol w:w="777"/>
        <w:gridCol w:w="720"/>
        <w:gridCol w:w="855"/>
        <w:gridCol w:w="735"/>
        <w:gridCol w:w="4013"/>
      </w:tblGrid>
      <w:tr w14:paraId="72F332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vMerge w:val="restart"/>
            <w:tcBorders>
              <w:tl2br w:val="nil"/>
              <w:tr2bl w:val="nil"/>
            </w:tcBorders>
            <w:vAlign w:val="center"/>
          </w:tcPr>
          <w:p w14:paraId="35EC702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序号</w:t>
            </w:r>
          </w:p>
        </w:tc>
        <w:tc>
          <w:tcPr>
            <w:tcW w:w="925" w:type="dxa"/>
            <w:vMerge w:val="restart"/>
            <w:tcBorders>
              <w:tl2br w:val="nil"/>
              <w:tr2bl w:val="nil"/>
            </w:tcBorders>
            <w:vAlign w:val="center"/>
          </w:tcPr>
          <w:p w14:paraId="61B2E4E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项目</w:t>
            </w:r>
          </w:p>
        </w:tc>
        <w:tc>
          <w:tcPr>
            <w:tcW w:w="1605" w:type="dxa"/>
            <w:gridSpan w:val="2"/>
            <w:tcBorders>
              <w:tl2br w:val="nil"/>
              <w:tr2bl w:val="nil"/>
            </w:tcBorders>
            <w:vAlign w:val="center"/>
          </w:tcPr>
          <w:p w14:paraId="57F1061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挖方</w:t>
            </w:r>
          </w:p>
        </w:tc>
        <w:tc>
          <w:tcPr>
            <w:tcW w:w="720" w:type="dxa"/>
            <w:vMerge w:val="restart"/>
            <w:tcBorders>
              <w:tl2br w:val="nil"/>
              <w:tr2bl w:val="nil"/>
            </w:tcBorders>
            <w:vAlign w:val="center"/>
          </w:tcPr>
          <w:p w14:paraId="2ADAB87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借方</w:t>
            </w:r>
          </w:p>
        </w:tc>
        <w:tc>
          <w:tcPr>
            <w:tcW w:w="855" w:type="dxa"/>
            <w:vMerge w:val="restart"/>
            <w:tcBorders>
              <w:tl2br w:val="nil"/>
              <w:tr2bl w:val="nil"/>
            </w:tcBorders>
            <w:vAlign w:val="center"/>
          </w:tcPr>
          <w:p w14:paraId="55A7635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填方</w:t>
            </w:r>
          </w:p>
        </w:tc>
        <w:tc>
          <w:tcPr>
            <w:tcW w:w="735" w:type="dxa"/>
            <w:vMerge w:val="restart"/>
            <w:tcBorders>
              <w:tl2br w:val="nil"/>
              <w:tr2bl w:val="nil"/>
            </w:tcBorders>
            <w:vAlign w:val="center"/>
          </w:tcPr>
          <w:p w14:paraId="69F4F13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弃方</w:t>
            </w:r>
          </w:p>
        </w:tc>
        <w:tc>
          <w:tcPr>
            <w:tcW w:w="4013" w:type="dxa"/>
            <w:vMerge w:val="restart"/>
            <w:tcBorders>
              <w:tl2br w:val="nil"/>
              <w:tr2bl w:val="nil"/>
            </w:tcBorders>
            <w:vAlign w:val="center"/>
          </w:tcPr>
          <w:p w14:paraId="540EB3F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备注</w:t>
            </w:r>
          </w:p>
        </w:tc>
      </w:tr>
      <w:tr w14:paraId="14139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vMerge w:val="continue"/>
            <w:tcBorders>
              <w:tl2br w:val="nil"/>
              <w:tr2bl w:val="nil"/>
            </w:tcBorders>
            <w:vAlign w:val="center"/>
          </w:tcPr>
          <w:p w14:paraId="1D1099C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925" w:type="dxa"/>
            <w:vMerge w:val="continue"/>
            <w:tcBorders>
              <w:tl2br w:val="nil"/>
              <w:tr2bl w:val="nil"/>
            </w:tcBorders>
            <w:vAlign w:val="center"/>
          </w:tcPr>
          <w:p w14:paraId="4EF107D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828" w:type="dxa"/>
            <w:tcBorders>
              <w:tl2br w:val="nil"/>
              <w:tr2bl w:val="nil"/>
            </w:tcBorders>
            <w:vAlign w:val="center"/>
          </w:tcPr>
          <w:p w14:paraId="12AF492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基础挖方</w:t>
            </w:r>
          </w:p>
        </w:tc>
        <w:tc>
          <w:tcPr>
            <w:tcW w:w="777" w:type="dxa"/>
            <w:tcBorders>
              <w:tl2br w:val="nil"/>
              <w:tr2bl w:val="nil"/>
            </w:tcBorders>
            <w:vAlign w:val="center"/>
          </w:tcPr>
          <w:p w14:paraId="5A87D7A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表土剥离</w:t>
            </w:r>
          </w:p>
        </w:tc>
        <w:tc>
          <w:tcPr>
            <w:tcW w:w="720" w:type="dxa"/>
            <w:vMerge w:val="continue"/>
            <w:tcBorders>
              <w:tl2br w:val="nil"/>
              <w:tr2bl w:val="nil"/>
            </w:tcBorders>
            <w:vAlign w:val="center"/>
          </w:tcPr>
          <w:p w14:paraId="234F4B0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855" w:type="dxa"/>
            <w:vMerge w:val="continue"/>
            <w:tcBorders>
              <w:tl2br w:val="nil"/>
              <w:tr2bl w:val="nil"/>
            </w:tcBorders>
            <w:vAlign w:val="center"/>
          </w:tcPr>
          <w:p w14:paraId="7152F36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35" w:type="dxa"/>
            <w:vMerge w:val="continue"/>
            <w:tcBorders>
              <w:tl2br w:val="nil"/>
              <w:tr2bl w:val="nil"/>
            </w:tcBorders>
            <w:vAlign w:val="center"/>
          </w:tcPr>
          <w:p w14:paraId="4FC8FF4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4013" w:type="dxa"/>
            <w:vMerge w:val="continue"/>
            <w:tcBorders>
              <w:tl2br w:val="nil"/>
              <w:tr2bl w:val="nil"/>
            </w:tcBorders>
            <w:vAlign w:val="center"/>
          </w:tcPr>
          <w:p w14:paraId="09BDFB6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r>
      <w:tr w14:paraId="07D655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tcBorders>
              <w:tl2br w:val="nil"/>
              <w:tr2bl w:val="nil"/>
            </w:tcBorders>
            <w:vAlign w:val="center"/>
          </w:tcPr>
          <w:p w14:paraId="6F46DFC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w:t>
            </w:r>
          </w:p>
        </w:tc>
        <w:tc>
          <w:tcPr>
            <w:tcW w:w="925" w:type="dxa"/>
            <w:tcBorders>
              <w:tl2br w:val="nil"/>
              <w:tr2bl w:val="nil"/>
            </w:tcBorders>
            <w:vAlign w:val="center"/>
          </w:tcPr>
          <w:p w14:paraId="3B3E2172">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管道</w:t>
            </w:r>
          </w:p>
          <w:p w14:paraId="05AB99E0">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施工</w:t>
            </w:r>
          </w:p>
        </w:tc>
        <w:tc>
          <w:tcPr>
            <w:tcW w:w="828" w:type="dxa"/>
            <w:tcBorders>
              <w:tl2br w:val="nil"/>
              <w:tr2bl w:val="nil"/>
            </w:tcBorders>
            <w:vAlign w:val="center"/>
          </w:tcPr>
          <w:p w14:paraId="7B638315">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30990</w:t>
            </w:r>
          </w:p>
        </w:tc>
        <w:tc>
          <w:tcPr>
            <w:tcW w:w="777" w:type="dxa"/>
            <w:tcBorders>
              <w:tl2br w:val="nil"/>
              <w:tr2bl w:val="nil"/>
            </w:tcBorders>
            <w:vAlign w:val="center"/>
          </w:tcPr>
          <w:p w14:paraId="7ECCB035">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37188</w:t>
            </w:r>
          </w:p>
        </w:tc>
        <w:tc>
          <w:tcPr>
            <w:tcW w:w="720" w:type="dxa"/>
            <w:tcBorders>
              <w:tl2br w:val="nil"/>
              <w:tr2bl w:val="nil"/>
            </w:tcBorders>
            <w:vAlign w:val="center"/>
          </w:tcPr>
          <w:p w14:paraId="329C0604">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855" w:type="dxa"/>
            <w:tcBorders>
              <w:tl2br w:val="nil"/>
              <w:tr2bl w:val="nil"/>
            </w:tcBorders>
            <w:vAlign w:val="center"/>
          </w:tcPr>
          <w:p w14:paraId="7B8A1EE6">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22770</w:t>
            </w:r>
          </w:p>
        </w:tc>
        <w:tc>
          <w:tcPr>
            <w:tcW w:w="735" w:type="dxa"/>
            <w:tcBorders>
              <w:tl2br w:val="nil"/>
              <w:tr2bl w:val="nil"/>
            </w:tcBorders>
            <w:vAlign w:val="center"/>
          </w:tcPr>
          <w:p w14:paraId="38C0F46A">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4013" w:type="dxa"/>
            <w:tcBorders>
              <w:tl2br w:val="nil"/>
              <w:tr2bl w:val="nil"/>
            </w:tcBorders>
            <w:vAlign w:val="center"/>
          </w:tcPr>
          <w:p w14:paraId="222E2A3F">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420" w:firstLineChars="200"/>
              <w:jc w:val="both"/>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挖填平衡，管沟挖深为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m（去除表土挖深0.3m后，实际挖深</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1.2</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m），沟带上宽2m，下宽0.5m，管沟截面积为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，管沟长度为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20660m</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，剥离的表土</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37188m</w:t>
            </w:r>
            <w:r>
              <w:rPr>
                <w:rFonts w:hint="default" w:ascii="Times New Roman" w:hAnsi="Times New Roman" w:eastAsia="宋体" w:cs="Times New Roman"/>
                <w:b w:val="0"/>
                <w:bCs w:val="0"/>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待施工结束后覆土回填，</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无取弃土</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r>
      <w:tr w14:paraId="68E71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tcBorders>
              <w:tl2br w:val="nil"/>
              <w:tr2bl w:val="nil"/>
            </w:tcBorders>
            <w:vAlign w:val="center"/>
          </w:tcPr>
          <w:p w14:paraId="65310A2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w:t>
            </w:r>
          </w:p>
        </w:tc>
        <w:tc>
          <w:tcPr>
            <w:tcW w:w="925" w:type="dxa"/>
            <w:tcBorders>
              <w:tl2br w:val="nil"/>
              <w:tr2bl w:val="nil"/>
            </w:tcBorders>
            <w:vAlign w:val="center"/>
          </w:tcPr>
          <w:p w14:paraId="7E6035FA">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定向钻施工</w:t>
            </w:r>
          </w:p>
        </w:tc>
        <w:tc>
          <w:tcPr>
            <w:tcW w:w="828" w:type="dxa"/>
            <w:tcBorders>
              <w:tl2br w:val="nil"/>
              <w:tr2bl w:val="nil"/>
            </w:tcBorders>
            <w:vAlign w:val="center"/>
          </w:tcPr>
          <w:p w14:paraId="10BF30F8">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4590</w:t>
            </w:r>
          </w:p>
        </w:tc>
        <w:tc>
          <w:tcPr>
            <w:tcW w:w="777" w:type="dxa"/>
            <w:tcBorders>
              <w:tl2br w:val="nil"/>
              <w:tr2bl w:val="nil"/>
            </w:tcBorders>
            <w:vAlign w:val="center"/>
          </w:tcPr>
          <w:p w14:paraId="6DBC2546">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510</w:t>
            </w:r>
          </w:p>
        </w:tc>
        <w:tc>
          <w:tcPr>
            <w:tcW w:w="720" w:type="dxa"/>
            <w:tcBorders>
              <w:tl2br w:val="nil"/>
              <w:tr2bl w:val="nil"/>
            </w:tcBorders>
            <w:vAlign w:val="center"/>
          </w:tcPr>
          <w:p w14:paraId="40D549A5">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855" w:type="dxa"/>
            <w:tcBorders>
              <w:tl2br w:val="nil"/>
              <w:tr2bl w:val="nil"/>
            </w:tcBorders>
            <w:vAlign w:val="center"/>
          </w:tcPr>
          <w:p w14:paraId="13D05602">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5100</w:t>
            </w:r>
          </w:p>
        </w:tc>
        <w:tc>
          <w:tcPr>
            <w:tcW w:w="735" w:type="dxa"/>
            <w:tcBorders>
              <w:tl2br w:val="nil"/>
              <w:tr2bl w:val="nil"/>
            </w:tcBorders>
            <w:vAlign w:val="center"/>
          </w:tcPr>
          <w:p w14:paraId="4BBFB714">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0" w:firstLineChars="0"/>
              <w:jc w:val="center"/>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w:t>
            </w:r>
          </w:p>
        </w:tc>
        <w:tc>
          <w:tcPr>
            <w:tcW w:w="4013" w:type="dxa"/>
            <w:tcBorders>
              <w:tl2br w:val="nil"/>
              <w:tr2bl w:val="nil"/>
            </w:tcBorders>
            <w:vAlign w:val="center"/>
          </w:tcPr>
          <w:p w14:paraId="458C6149">
            <w:pPr>
              <w:keepNext w:val="0"/>
              <w:keepLines w:val="0"/>
              <w:pageBreakBefore w:val="0"/>
              <w:widowControl w:val="0"/>
              <w:suppressLineNumbers w:val="0"/>
              <w:kinsoku/>
              <w:wordWrap/>
              <w:overflowPunct/>
              <w:topLinePunct w:val="0"/>
              <w:autoSpaceDE/>
              <w:autoSpaceDN/>
              <w:bidi w:val="0"/>
              <w:adjustRightInd/>
              <w:snapToGrid/>
              <w:spacing w:after="0" w:line="240" w:lineRule="auto"/>
              <w:ind w:firstLine="420" w:firstLineChars="200"/>
              <w:jc w:val="both"/>
              <w:textAlignment w:val="center"/>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挖填平衡，剥离的表土</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510</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待施工结束后覆土回填。</w:t>
            </w:r>
          </w:p>
        </w:tc>
      </w:tr>
    </w:tbl>
    <w:p w14:paraId="4E3B543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根据《黑龙江省黑土地保护利用条例》</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（2024修订，</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202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年3月1日起施行</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及《关于建设占用耕地耕作层土壤剥离利用工作的指导意见</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试行</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黑政办规</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2021</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18号</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，建设单位应在施工前按照相关规定组织编制施工占地范围内的表土剥离方案。本项目临时占地范围内需剥离表土层，剥离表土厚度约为30cm，剥离的表土堆存于项目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施工作业带内的置土带外侧</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不另设剥离表土的堆场。剥离存放的表土表面覆盖苫布或防尘网，且在土堆四周用编织袋装土进行围挡，土堆四周设置临时排水沟排水。施工结束后临时占地剥离的表层土壤分层堆放，全部分层回填。</w:t>
      </w:r>
    </w:p>
    <w:p w14:paraId="442F1967">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2.4</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施工工期和劳动定员</w:t>
      </w:r>
    </w:p>
    <w:p w14:paraId="2ABEBC5D">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项目计划施工期为202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月至202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月。施工时间为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天，施工人数为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人</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p>
    <w:p w14:paraId="1688AC7F">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3.2.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管道</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走向图</w:t>
      </w:r>
    </w:p>
    <w:p w14:paraId="640E32AC">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本项目更换腐蚀老化</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走向图见附图3-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p>
    <w:p w14:paraId="669CE99F">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59" w:name="_Toc30296"/>
      <w:bookmarkStart w:id="60" w:name="_Hlk73316532"/>
      <w:r>
        <w:rPr>
          <w:rFonts w:hint="default" w:ascii="Times New Roman" w:hAnsi="Times New Roman" w:eastAsia="宋体" w:cs="Times New Roman"/>
          <w:b/>
          <w:color w:val="000000" w:themeColor="text1"/>
          <w:sz w:val="28"/>
          <w:szCs w:val="28"/>
          <w:highlight w:val="none"/>
          <w14:textFill>
            <w14:solidFill>
              <w14:schemeClr w14:val="tx1"/>
            </w14:solidFill>
          </w14:textFill>
        </w:rPr>
        <w:t>3.3依托工程分析</w:t>
      </w:r>
      <w:bookmarkEnd w:id="59"/>
    </w:p>
    <w:p w14:paraId="1CD2DF9D">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3.3.1依托工程</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环评及验收手续</w:t>
      </w:r>
    </w:p>
    <w:p w14:paraId="3C46D7BE">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bookmarkStart w:id="61" w:name="_Hlk73320883"/>
      <w:r>
        <w:rPr>
          <w:rFonts w:hint="default" w:ascii="Times New Roman" w:hAnsi="Times New Roman" w:eastAsia="宋体" w:cs="Times New Roman"/>
          <w:color w:val="000000" w:themeColor="text1"/>
          <w:highlight w:val="none"/>
          <w:lang w:val="en-US" w:eastAsia="zh-CN"/>
          <w14:textFill>
            <w14:solidFill>
              <w14:schemeClr w14:val="tx1"/>
            </w14:solidFill>
          </w14:textFill>
        </w:rPr>
        <w:t>施工期清管废水、试压废水拉运至</w:t>
      </w:r>
      <w:r>
        <w:rPr>
          <w:rFonts w:hint="eastAsia" w:cs="Times New Roman"/>
          <w:color w:val="000000" w:themeColor="text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处理；管道施工废料拉运至</w:t>
      </w:r>
      <w:r>
        <w:rPr>
          <w:rFonts w:hint="eastAsia" w:cs="Times New Roman"/>
          <w:color w:val="000000" w:themeColor="text1"/>
          <w:highlight w:val="none"/>
          <w:lang w:val="en-US" w:eastAsia="zh-CN"/>
          <w14:textFill>
            <w14:solidFill>
              <w14:schemeClr w14:val="tx1"/>
            </w14:solidFill>
          </w14:textFill>
        </w:rPr>
        <w:t>第八采油厂</w:t>
      </w:r>
      <w:r>
        <w:rPr>
          <w:rFonts w:hint="default" w:ascii="Times New Roman" w:hAnsi="Times New Roman" w:eastAsia="宋体" w:cs="Times New Roman"/>
          <w:color w:val="000000" w:themeColor="text1"/>
          <w:highlight w:val="none"/>
          <w:lang w:val="en-US" w:eastAsia="zh-CN"/>
          <w14:textFill>
            <w14:solidFill>
              <w14:schemeClr w14:val="tx1"/>
            </w14:solidFill>
          </w14:textFill>
        </w:rPr>
        <w:t>工业固废</w:t>
      </w:r>
      <w:r>
        <w:rPr>
          <w:rFonts w:hint="default" w:ascii="Times New Roman" w:hAnsi="Times New Roman" w:cs="Times New Roman"/>
          <w:color w:val="000000" w:themeColor="text1"/>
          <w:highlight w:val="none"/>
          <w:lang w:val="en-US" w:eastAsia="zh-CN"/>
          <w14:textFill>
            <w14:solidFill>
              <w14:schemeClr w14:val="tx1"/>
            </w14:solidFill>
          </w14:textFill>
        </w:rPr>
        <w:t>填埋</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场处理。</w:t>
      </w:r>
    </w:p>
    <w:p w14:paraId="70387484">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已于20</w:t>
      </w:r>
      <w:r>
        <w:rPr>
          <w:rFonts w:hint="eastAsia"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24</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年</w:t>
      </w:r>
      <w:r>
        <w:rPr>
          <w:rFonts w:hint="eastAsia"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11</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月</w:t>
      </w:r>
      <w:r>
        <w:rPr>
          <w:rFonts w:hint="eastAsia"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14</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日</w:t>
      </w:r>
      <w:r>
        <w:rPr>
          <w:rFonts w:hint="eastAsia"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更新</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排污许可证</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（编号：91230607716675409L018R）</w:t>
      </w:r>
      <w:r>
        <w:rPr>
          <w:rFonts w:hint="default" w:ascii="Times New Roman" w:hAnsi="Times New Roman" w:eastAsia="宋体" w:cs="Times New Roman"/>
          <w:color w:val="000000" w:themeColor="text1"/>
          <w:highlight w:val="none"/>
          <w:lang w:val="en-US" w:eastAsia="zh-CN"/>
          <w14:textFill>
            <w14:solidFill>
              <w14:schemeClr w14:val="tx1"/>
            </w14:solidFill>
          </w14:textFill>
        </w:rPr>
        <w:t>，并建立环境监测计划、执行台账，在全国排污许可证管理信息平台进行环境信息公示，并在全国排污许可证信息管理平台填报了年报（2023年）。</w:t>
      </w:r>
    </w:p>
    <w:p w14:paraId="1F1B4C8C">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依托场站环保手续情况见表3.3-1，环评批复及验收文件见附件</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2E1C152">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表3.3-1项目依托的现有工程统计表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6"/>
        <w:gridCol w:w="2409"/>
        <w:gridCol w:w="3035"/>
        <w:gridCol w:w="1392"/>
        <w:gridCol w:w="1766"/>
      </w:tblGrid>
      <w:tr w14:paraId="17BC5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69" w:type="pct"/>
            <w:vAlign w:val="center"/>
          </w:tcPr>
          <w:p w14:paraId="22DB433A">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1296" w:type="pct"/>
            <w:vAlign w:val="center"/>
          </w:tcPr>
          <w:p w14:paraId="350DB1D8">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名称</w:t>
            </w:r>
          </w:p>
        </w:tc>
        <w:tc>
          <w:tcPr>
            <w:tcW w:w="1633" w:type="pct"/>
            <w:vAlign w:val="center"/>
          </w:tcPr>
          <w:p w14:paraId="4A9CED9E">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环评文件名称</w:t>
            </w:r>
          </w:p>
        </w:tc>
        <w:tc>
          <w:tcPr>
            <w:tcW w:w="749" w:type="pct"/>
            <w:vAlign w:val="center"/>
          </w:tcPr>
          <w:p w14:paraId="362F21FD">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环评批复</w:t>
            </w:r>
          </w:p>
        </w:tc>
        <w:tc>
          <w:tcPr>
            <w:tcW w:w="950" w:type="pct"/>
            <w:vAlign w:val="center"/>
          </w:tcPr>
          <w:p w14:paraId="663CFAA7">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竣工环保验收</w:t>
            </w:r>
          </w:p>
        </w:tc>
      </w:tr>
      <w:tr w14:paraId="528B00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9" w:type="pct"/>
            <w:vAlign w:val="center"/>
          </w:tcPr>
          <w:p w14:paraId="314F1341">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296" w:type="pct"/>
            <w:vAlign w:val="center"/>
          </w:tcPr>
          <w:p w14:paraId="7B6D599F">
            <w:pPr>
              <w:pStyle w:val="39"/>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宋一联含油污水处理站</w:t>
            </w:r>
          </w:p>
        </w:tc>
        <w:tc>
          <w:tcPr>
            <w:tcW w:w="3035" w:type="dxa"/>
            <w:vAlign w:val="center"/>
          </w:tcPr>
          <w:p w14:paraId="715F42C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《宋芳屯油田芳407加密区块产能建设工程地面工程环境影响报告表》</w:t>
            </w:r>
          </w:p>
        </w:tc>
        <w:tc>
          <w:tcPr>
            <w:tcW w:w="1392" w:type="dxa"/>
            <w:vAlign w:val="center"/>
          </w:tcPr>
          <w:p w14:paraId="7665FD4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绥环函[2018]187号</w:t>
            </w:r>
          </w:p>
        </w:tc>
        <w:tc>
          <w:tcPr>
            <w:tcW w:w="1766" w:type="dxa"/>
            <w:vAlign w:val="center"/>
          </w:tcPr>
          <w:p w14:paraId="5FB0463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contextualSpacing/>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2019年12月完成自主验收</w:t>
            </w:r>
          </w:p>
        </w:tc>
      </w:tr>
      <w:tr w14:paraId="5998F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9" w:type="pct"/>
            <w:vAlign w:val="center"/>
          </w:tcPr>
          <w:p w14:paraId="67F263B4">
            <w:pPr>
              <w:pStyle w:val="32"/>
              <w:keepNext w:val="0"/>
              <w:keepLines w:val="0"/>
              <w:pageBreakBefore w:val="0"/>
              <w:widowControl w:val="0"/>
              <w:kinsoku/>
              <w:wordWrap/>
              <w:overflowPunct/>
              <w:topLinePunct w:val="0"/>
              <w:autoSpaceDE/>
              <w:autoSpaceDN/>
              <w:bidi w:val="0"/>
              <w:spacing w:after="0" w:line="240" w:lineRule="auto"/>
              <w:ind w:lef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296" w:type="pct"/>
            <w:vAlign w:val="center"/>
          </w:tcPr>
          <w:p w14:paraId="351799E8">
            <w:pPr>
              <w:pStyle w:val="39"/>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工业固废填埋场</w:t>
            </w:r>
          </w:p>
        </w:tc>
        <w:tc>
          <w:tcPr>
            <w:tcW w:w="3014" w:type="dxa"/>
            <w:vAlign w:val="center"/>
          </w:tcPr>
          <w:p w14:paraId="46AC22C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《第八采油厂工业固废填埋场工程</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环境影响报告书</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476" w:type="dxa"/>
            <w:vAlign w:val="center"/>
          </w:tcPr>
          <w:p w14:paraId="42113D0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庆环建</w:t>
            </w:r>
          </w:p>
          <w:p w14:paraId="255D40C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2011</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171号</w:t>
            </w:r>
          </w:p>
        </w:tc>
        <w:tc>
          <w:tcPr>
            <w:tcW w:w="1745" w:type="dxa"/>
            <w:vAlign w:val="center"/>
          </w:tcPr>
          <w:p w14:paraId="76B8811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庆环验〔2014〕38号</w:t>
            </w:r>
          </w:p>
        </w:tc>
      </w:tr>
      <w:bookmarkEnd w:id="61"/>
    </w:tbl>
    <w:p w14:paraId="28712B1A">
      <w:pPr>
        <w:keepNext w:val="0"/>
        <w:keepLines w:val="0"/>
        <w:pageBreakBefore w:val="0"/>
        <w:widowControl w:val="0"/>
        <w:kinsoku/>
        <w:wordWrap/>
        <w:overflowPunct/>
        <w:topLinePunct w:val="0"/>
        <w:autoSpaceDE/>
        <w:autoSpaceDN/>
        <w:bidi w:val="0"/>
        <w:adjustRightInd w:val="0"/>
        <w:snapToGrid w:val="0"/>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3.3.2依托工程能力核实</w:t>
      </w:r>
    </w:p>
    <w:p w14:paraId="19B728DF">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3.3.2.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1含油污水处理站能力核实</w:t>
      </w:r>
    </w:p>
    <w:p w14:paraId="384411EF">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宋一联含油污水处理站采用“横向流除油→两级过滤”主处理工艺，总设计处理规模12000m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/d，</w:t>
      </w:r>
      <w:r>
        <w:rPr>
          <w:rFonts w:hint="default" w:ascii="Times New Roman" w:hAnsi="Times New Roman" w:cs="Times New Roman"/>
          <w:color w:val="000000" w:themeColor="text1"/>
          <w:highlight w:val="none"/>
          <w:lang w:val="en-US" w:eastAsia="zh-CN"/>
          <w14:textFill>
            <w14:solidFill>
              <w14:schemeClr w14:val="tx1"/>
            </w14:solidFill>
          </w14:textFill>
        </w:rPr>
        <w:t>目前实际处理量为</w:t>
      </w:r>
      <w:r>
        <w:rPr>
          <w:rFonts w:hint="eastAsia" w:cs="Times New Roman"/>
          <w:color w:val="000000" w:themeColor="text1"/>
          <w:highlight w:val="none"/>
          <w:lang w:val="en-US" w:eastAsia="zh-CN"/>
          <w14:textFill>
            <w14:solidFill>
              <w14:schemeClr w14:val="tx1"/>
            </w14:solidFill>
          </w14:textFill>
        </w:rPr>
        <w:t>6182</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/d，目前</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负荷率为</w:t>
      </w:r>
      <w:r>
        <w:rPr>
          <w:rFonts w:hint="eastAsia" w:cs="Times New Roman"/>
          <w:color w:val="000000" w:themeColor="text1"/>
          <w:sz w:val="24"/>
          <w:szCs w:val="24"/>
          <w:highlight w:val="none"/>
          <w:lang w:val="en-US" w:eastAsia="zh-CN"/>
          <w14:textFill>
            <w14:solidFill>
              <w14:schemeClr w14:val="tx1"/>
            </w14:solidFill>
          </w14:textFill>
        </w:rPr>
        <w:t>51.5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该站正常平稳运行。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出水水质满足《大庆油田地面工程建设设计规定》（Q/SYDQ0639-2015）限值“含油量≤</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0mg/L、悬浮固体含量≤</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mg/L、粒径中值≤2μm”，同时满足《碎屑岩油藏注水水质指标技术要求及分析方法》（SY/T5329-2022）相应标准限值，回注地下开采油层。</w:t>
      </w:r>
    </w:p>
    <w:p w14:paraId="38E730E0">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废弃</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管道清洗废水</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新建管道试压废水均依托</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进行处理，废弃管道清洗废水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335.4t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，新建管道试压废水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112.1t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，新增本项目施工期废水后，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处理量为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6629.5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/d，负荷率为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55.2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%，剩余处理能力满足本项目需求，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本项目依托可行。</w:t>
      </w:r>
    </w:p>
    <w:p w14:paraId="18726820">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3.3.2.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工业固体废物填埋场</w:t>
      </w:r>
      <w:r>
        <w:rPr>
          <w:rFonts w:hint="eastAsia" w:eastAsia="宋体" w:cs="Times New Roman"/>
          <w:b w:val="0"/>
          <w:bCs/>
          <w:color w:val="000000" w:themeColor="text1"/>
          <w:sz w:val="24"/>
          <w:szCs w:val="24"/>
          <w:highlight w:val="none"/>
          <w:lang w:val="en-US" w:eastAsia="zh-CN"/>
          <w14:textFill>
            <w14:solidFill>
              <w14:schemeClr w14:val="tx1"/>
            </w14:solidFill>
          </w14:textFill>
        </w:rPr>
        <w:t>能力核实</w:t>
      </w:r>
    </w:p>
    <w:p w14:paraId="513F191D">
      <w:pPr>
        <w:widowControl w:val="0"/>
        <w:adjustRightInd/>
        <w:snapToGrid/>
        <w:spacing w:after="0" w:line="360" w:lineRule="auto"/>
        <w:ind w:firstLine="480" w:firstLineChars="200"/>
        <w:jc w:val="both"/>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第八采油厂工业固废填埋场位于大庆市肇州县新福乡双龙山北侧1.8km，乐业村东南1.05km处。占地1.91hm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，填埋场总容量为11624m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。第八采油厂工业固废填埋场该填埋场现阶段运行稳定，目前实际容纳约8800m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，剩余能力为2824m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A8241FF">
      <w:pPr>
        <w:widowControl w:val="0"/>
        <w:adjustRightInd/>
        <w:snapToGrid/>
        <w:spacing w:after="0" w:line="360" w:lineRule="auto"/>
        <w:ind w:firstLine="480" w:firstLineChars="2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本项目施工期管道施工废料产生量</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t，填埋场剩余容量能够容纳本项目产生的固体废物</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1576DE2C">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3.3</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依托工程污染物排放情况</w:t>
      </w:r>
    </w:p>
    <w:p w14:paraId="134FF083">
      <w:pPr>
        <w:pStyle w:val="34"/>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outlineLvl w:val="9"/>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本次</w:t>
      </w:r>
      <w:r>
        <w:rPr>
          <w:rFonts w:hint="eastAsia" w:cs="Times New Roman"/>
          <w:snapToGrid w:val="0"/>
          <w:color w:val="000000" w:themeColor="text1"/>
          <w:sz w:val="24"/>
          <w:szCs w:val="20"/>
          <w:highlight w:val="none"/>
          <w:lang w:val="en-US" w:eastAsia="zh-CN" w:bidi="ar-SA"/>
          <w14:textFill>
            <w14:solidFill>
              <w14:schemeClr w14:val="tx1"/>
            </w14:solidFill>
          </w14:textFill>
        </w:rPr>
        <w:t>管道改造工程</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涉及</w:t>
      </w:r>
      <w:r>
        <w:rPr>
          <w:rFonts w:hint="eastAsia" w:cs="Times New Roman"/>
          <w:color w:val="000000" w:themeColor="text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工业固废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填埋</w:t>
      </w:r>
      <w:r>
        <w:rPr>
          <w:rFonts w:hint="default" w:ascii="Times New Roman" w:hAnsi="Times New Roman" w:eastAsia="宋体" w:cs="Times New Roman"/>
          <w:color w:val="000000" w:themeColor="text1"/>
          <w:sz w:val="24"/>
          <w:szCs w:val="24"/>
          <w:highlight w:val="none"/>
          <w14:textFill>
            <w14:solidFill>
              <w14:schemeClr w14:val="tx1"/>
            </w14:solidFill>
          </w14:textFill>
        </w:rPr>
        <w:t>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p>
    <w:p w14:paraId="44E0B696">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3.3.3.1废水</w:t>
      </w:r>
    </w:p>
    <w:p w14:paraId="776DED3B">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本次</w:t>
      </w:r>
      <w:r>
        <w:rPr>
          <w:rFonts w:hint="eastAsia" w:cs="Times New Roman"/>
          <w:color w:val="000000" w:themeColor="text1"/>
          <w:highlight w:val="none"/>
          <w:lang w:val="en-US" w:eastAsia="zh-CN"/>
          <w14:textFill>
            <w14:solidFill>
              <w14:schemeClr w14:val="tx1"/>
            </w14:solidFill>
          </w14:textFill>
        </w:rPr>
        <w:t>委托黑龙江省吉瑞达检测科技有限公司</w:t>
      </w:r>
      <w:r>
        <w:rPr>
          <w:rFonts w:hint="default" w:ascii="Times New Roman" w:hAnsi="Times New Roman" w:cs="Times New Roman"/>
          <w:color w:val="000000" w:themeColor="text1"/>
          <w:highlight w:val="none"/>
          <w:lang w:val="en-US" w:eastAsia="zh-CN"/>
          <w14:textFill>
            <w14:solidFill>
              <w14:schemeClr w14:val="tx1"/>
            </w14:solidFill>
          </w14:textFill>
        </w:rPr>
        <w:t>于202</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lang w:val="en-US" w:eastAsia="zh-CN"/>
          <w14:textFill>
            <w14:solidFill>
              <w14:schemeClr w14:val="tx1"/>
            </w14:solidFill>
          </w14:textFill>
        </w:rPr>
        <w:t>月</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日对</w:t>
      </w:r>
      <w:r>
        <w:rPr>
          <w:rFonts w:hint="eastAsia" w:cs="Times New Roman"/>
          <w:color w:val="000000" w:themeColor="text1"/>
          <w:highlight w:val="none"/>
          <w:lang w:val="en-US" w:eastAsia="zh-CN"/>
          <w14:textFill>
            <w14:solidFill>
              <w14:schemeClr w14:val="tx1"/>
            </w14:solidFill>
          </w14:textFill>
        </w:rPr>
        <w:t>宋一联含油污水处理站</w:t>
      </w:r>
      <w:r>
        <w:rPr>
          <w:rFonts w:hint="default" w:ascii="Times New Roman" w:hAnsi="Times New Roman" w:cs="Times New Roman"/>
          <w:color w:val="000000" w:themeColor="text1"/>
          <w:highlight w:val="none"/>
          <w:lang w:val="en-US" w:eastAsia="zh-CN"/>
          <w14:textFill>
            <w14:solidFill>
              <w14:schemeClr w14:val="tx1"/>
            </w14:solidFill>
          </w14:textFill>
        </w:rPr>
        <w:t>的监测结果，</w:t>
      </w:r>
      <w:r>
        <w:rPr>
          <w:rFonts w:hint="eastAsia" w:cs="Times New Roman"/>
          <w:color w:val="000000" w:themeColor="text1"/>
          <w:highlight w:val="none"/>
          <w:lang w:val="en-US" w:eastAsia="zh-CN"/>
          <w14:textFill>
            <w14:solidFill>
              <w14:schemeClr w14:val="tx1"/>
            </w14:solidFill>
          </w14:textFill>
        </w:rPr>
        <w:t>详</w:t>
      </w:r>
      <w:r>
        <w:rPr>
          <w:rFonts w:hint="default" w:ascii="Times New Roman" w:hAnsi="Times New Roman" w:cs="Times New Roman"/>
          <w:color w:val="000000" w:themeColor="text1"/>
          <w:highlight w:val="none"/>
          <w:lang w:val="en-US" w:eastAsia="zh-CN"/>
          <w14:textFill>
            <w14:solidFill>
              <w14:schemeClr w14:val="tx1"/>
            </w14:solidFill>
          </w14:textFill>
        </w:rPr>
        <w:t>见表3.3-</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4B15E6C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snapToGrid w:val="0"/>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sz w:val="24"/>
          <w:szCs w:val="22"/>
          <w:highlight w:val="none"/>
          <w:lang w:val="en-US" w:eastAsia="zh-CN" w:bidi="ar-SA"/>
          <w14:textFill>
            <w14:solidFill>
              <w14:schemeClr w14:val="tx1"/>
            </w14:solidFill>
          </w14:textFill>
        </w:rPr>
        <w:t>表3.3-</w:t>
      </w:r>
      <w:r>
        <w:rPr>
          <w:rFonts w:hint="eastAsia" w:ascii="Times New Roman" w:hAnsi="Times New Roman" w:eastAsia="宋体" w:cs="Times New Roman"/>
          <w:b/>
          <w:snapToGrid w:val="0"/>
          <w:color w:val="000000" w:themeColor="text1"/>
          <w:sz w:val="24"/>
          <w:szCs w:val="22"/>
          <w:highlight w:val="none"/>
          <w:lang w:val="en-US" w:eastAsia="zh-CN" w:bidi="ar-SA"/>
          <w14:textFill>
            <w14:solidFill>
              <w14:schemeClr w14:val="tx1"/>
            </w14:solidFill>
          </w14:textFill>
        </w:rPr>
        <w:t>2</w:t>
      </w:r>
      <w:r>
        <w:rPr>
          <w:rFonts w:hint="default" w:ascii="Times New Roman" w:hAnsi="Times New Roman" w:eastAsia="宋体" w:cs="Times New Roman"/>
          <w:b/>
          <w:snapToGrid w:val="0"/>
          <w:color w:val="000000" w:themeColor="text1"/>
          <w:sz w:val="24"/>
          <w:szCs w:val="22"/>
          <w:highlight w:val="none"/>
          <w:lang w:val="en-US" w:eastAsia="zh-CN" w:bidi="ar-SA"/>
          <w14:textFill>
            <w14:solidFill>
              <w14:schemeClr w14:val="tx1"/>
            </w14:solidFill>
          </w14:textFill>
        </w:rPr>
        <w:t>含油污水处理站监测结果</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1827"/>
        <w:gridCol w:w="2663"/>
        <w:gridCol w:w="2485"/>
      </w:tblGrid>
      <w:tr w14:paraId="1DED0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2" w:type="pct"/>
            <w:tcBorders>
              <w:tl2br w:val="nil"/>
              <w:tr2bl w:val="nil"/>
            </w:tcBorders>
            <w:noWrap w:val="0"/>
            <w:vAlign w:val="center"/>
          </w:tcPr>
          <w:p w14:paraId="60A06AB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监测点位</w:t>
            </w:r>
          </w:p>
        </w:tc>
        <w:tc>
          <w:tcPr>
            <w:tcW w:w="984" w:type="pct"/>
            <w:tcBorders>
              <w:tl2br w:val="nil"/>
              <w:tr2bl w:val="nil"/>
            </w:tcBorders>
            <w:noWrap w:val="0"/>
            <w:vAlign w:val="center"/>
          </w:tcPr>
          <w:p w14:paraId="6EBFA0B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监测时间</w:t>
            </w:r>
          </w:p>
        </w:tc>
        <w:tc>
          <w:tcPr>
            <w:tcW w:w="1434" w:type="pct"/>
            <w:tcBorders>
              <w:tl2br w:val="nil"/>
              <w:tr2bl w:val="nil"/>
            </w:tcBorders>
            <w:noWrap w:val="0"/>
            <w:vAlign w:val="center"/>
          </w:tcPr>
          <w:p w14:paraId="3864E5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石油类（mg/L）</w:t>
            </w:r>
          </w:p>
        </w:tc>
        <w:tc>
          <w:tcPr>
            <w:tcW w:w="1338" w:type="pct"/>
            <w:tcBorders>
              <w:tl2br w:val="nil"/>
              <w:tr2bl w:val="nil"/>
            </w:tcBorders>
            <w:noWrap w:val="0"/>
            <w:vAlign w:val="center"/>
          </w:tcPr>
          <w:p w14:paraId="4143C01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悬浮物（mg/L）</w:t>
            </w:r>
          </w:p>
        </w:tc>
      </w:tr>
      <w:tr w14:paraId="6D3F9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42" w:type="pct"/>
            <w:tcBorders>
              <w:tl2br w:val="nil"/>
              <w:tr2bl w:val="nil"/>
            </w:tcBorders>
            <w:noWrap w:val="0"/>
            <w:vAlign w:val="center"/>
          </w:tcPr>
          <w:p w14:paraId="3866473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宋一联含油污水处理站出口</w:t>
            </w:r>
          </w:p>
        </w:tc>
        <w:tc>
          <w:tcPr>
            <w:tcW w:w="984" w:type="pct"/>
            <w:tcBorders>
              <w:tl2br w:val="nil"/>
              <w:tr2bl w:val="nil"/>
            </w:tcBorders>
            <w:noWrap w:val="0"/>
            <w:vAlign w:val="center"/>
          </w:tcPr>
          <w:p w14:paraId="2953A1C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2025.12.6</w:t>
            </w:r>
          </w:p>
        </w:tc>
        <w:tc>
          <w:tcPr>
            <w:tcW w:w="1434" w:type="pct"/>
            <w:tcBorders>
              <w:tl2br w:val="nil"/>
              <w:tr2bl w:val="nil"/>
            </w:tcBorders>
            <w:noWrap w:val="0"/>
            <w:vAlign w:val="center"/>
          </w:tcPr>
          <w:p w14:paraId="1817193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1.14-1.28</w:t>
            </w:r>
          </w:p>
        </w:tc>
        <w:tc>
          <w:tcPr>
            <w:tcW w:w="1338" w:type="pct"/>
            <w:tcBorders>
              <w:tl2br w:val="nil"/>
              <w:tr2bl w:val="nil"/>
            </w:tcBorders>
            <w:noWrap w:val="0"/>
            <w:vAlign w:val="center"/>
          </w:tcPr>
          <w:p w14:paraId="0AC2947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w:t>
            </w:r>
          </w:p>
        </w:tc>
      </w:tr>
    </w:tbl>
    <w:p w14:paraId="02597419">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eastAsia" w:cs="Times New Roman"/>
          <w:color w:val="000000" w:themeColor="text1"/>
          <w:kern w:val="24"/>
          <w:sz w:val="24"/>
          <w:szCs w:val="24"/>
          <w:highlight w:val="none"/>
          <w:lang w:val="en-US" w:eastAsia="zh-CN"/>
          <w14:textFill>
            <w14:solidFill>
              <w14:schemeClr w14:val="tx1"/>
            </w14:solidFill>
          </w14:textFill>
        </w:rPr>
        <w:t>宋一联含油污水处理站</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出水满足</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《大庆油田地面工程建设设计规定》（Q/SYDQ0639-2015）、《碎屑岩油藏注水水质指标技术要求及分析方法》（SY/T5329-2022）中限值要求：含油量≤</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mg/L、悬浮固体含量≤</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.0mg/L、粒径中值≤2μm</w:t>
      </w:r>
      <w:r>
        <w:rPr>
          <w:rFonts w:hint="eastAsia" w:cs="Times New Roman"/>
          <w:color w:val="000000" w:themeColor="text1"/>
          <w:kern w:val="24"/>
          <w:highlight w:val="none"/>
          <w:lang w:eastAsia="zh-CN"/>
          <w14:textFill>
            <w14:solidFill>
              <w14:schemeClr w14:val="tx1"/>
            </w14:solidFill>
          </w14:textFill>
        </w:rPr>
        <w:t>。</w:t>
      </w:r>
    </w:p>
    <w:p w14:paraId="75B7A1D2">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依托场站员工生活污水</w:t>
      </w:r>
      <w:r>
        <w:rPr>
          <w:rFonts w:hint="eastAsia" w:cs="Times New Roman"/>
          <w:color w:val="000000" w:themeColor="text1"/>
          <w:sz w:val="24"/>
          <w:szCs w:val="24"/>
          <w:highlight w:val="none"/>
          <w:lang w:val="en-US" w:eastAsia="zh-CN"/>
          <w14:textFill>
            <w14:solidFill>
              <w14:schemeClr w14:val="tx1"/>
            </w14:solidFill>
          </w14:textFill>
        </w:rPr>
        <w:t>用罐车定期拉运到区域内高平4号污水站，排入大庆市净源环保科技有限公司处理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达标后排放</w:t>
      </w:r>
      <w:r>
        <w:rPr>
          <w:rFonts w:hint="default" w:ascii="Times New Roman" w:hAnsi="Times New Roman" w:cs="Times New Roman"/>
          <w:color w:val="000000" w:themeColor="text1"/>
          <w:highlight w:val="none"/>
          <w:lang w:eastAsia="zh-CN"/>
          <w14:textFill>
            <w14:solidFill>
              <w14:schemeClr w14:val="tx1"/>
            </w14:solidFill>
          </w14:textFill>
        </w:rPr>
        <w:t>。</w:t>
      </w:r>
    </w:p>
    <w:p w14:paraId="69EC6A23">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3.3.3.</w:t>
      </w:r>
      <w:r>
        <w:rPr>
          <w:rFonts w:hint="eastAsia"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08544D79">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依托</w:t>
      </w:r>
      <w:r>
        <w:rPr>
          <w:rFonts w:hint="default" w:ascii="Times New Roman" w:hAnsi="Times New Roman" w:cs="Times New Roman"/>
          <w:color w:val="000000" w:themeColor="text1"/>
          <w:sz w:val="24"/>
          <w:szCs w:val="24"/>
          <w:highlight w:val="none"/>
          <w14:textFill>
            <w14:solidFill>
              <w14:schemeClr w14:val="tx1"/>
            </w14:solidFill>
          </w14:textFill>
        </w:rPr>
        <w:t>场站噪声源均为站内加热装置以及各种机泵运行产生的噪声，根据现场调查，各场站输油泵、掺水泵、加热装置等设备均加设了减震基础，并且设有隔声门窗</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422A0BB2">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3.3.3.</w:t>
      </w:r>
      <w:r>
        <w:rPr>
          <w:rFonts w:hint="eastAsia"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w:t>
      </w:r>
    </w:p>
    <w:p w14:paraId="423571E9">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依托的场站固体废物主要为</w:t>
      </w:r>
      <w:r>
        <w:rPr>
          <w:rFonts w:hint="eastAsia"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罐体清淤产生的含油污泥。</w:t>
      </w:r>
    </w:p>
    <w:p w14:paraId="1E991746">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根据</w:t>
      </w:r>
      <w:r>
        <w:rPr>
          <w:rFonts w:hint="default" w:ascii="Times New Roman" w:hAnsi="Times New Roman" w:cs="Times New Roman"/>
          <w:color w:val="000000" w:themeColor="text1"/>
          <w:highlight w:val="none"/>
          <w:lang w:val="en-US" w:eastAsia="zh-CN"/>
          <w14:textFill>
            <w14:solidFill>
              <w14:schemeClr w14:val="tx1"/>
            </w14:solidFill>
          </w14:textFill>
        </w:rPr>
        <w:t>现场调查，</w:t>
      </w:r>
      <w:r>
        <w:rPr>
          <w:rFonts w:hint="eastAsia"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cs="Times New Roman"/>
          <w:color w:val="000000" w:themeColor="text1"/>
          <w:highlight w:val="none"/>
          <w:lang w:val="en-US" w:eastAsia="zh-CN"/>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年含油污泥清淤量约为10t/a。</w:t>
      </w:r>
      <w:r>
        <w:rPr>
          <w:rFonts w:hint="default" w:ascii="Times New Roman" w:hAnsi="Times New Roman" w:cs="Times New Roman"/>
          <w:color w:val="000000" w:themeColor="text1"/>
          <w:highlight w:val="none"/>
          <w14:textFill>
            <w14:solidFill>
              <w14:schemeClr w14:val="tx1"/>
            </w14:solidFill>
          </w14:textFill>
        </w:rPr>
        <w:t>含油污泥为危险废</w:t>
      </w:r>
      <w:r>
        <w:rPr>
          <w:rFonts w:hint="default" w:ascii="Times New Roman" w:hAnsi="Times New Roman" w:cs="Times New Roman"/>
          <w:color w:val="000000" w:themeColor="text1"/>
          <w:sz w:val="24"/>
          <w:szCs w:val="24"/>
          <w:highlight w:val="none"/>
          <w14:textFill>
            <w14:solidFill>
              <w14:schemeClr w14:val="tx1"/>
            </w14:solidFill>
          </w14:textFill>
        </w:rPr>
        <w:t>物，类别为HW08，危废代码为071-001-08（石油开采和联合站贮存产生的油泥和油脚），</w:t>
      </w:r>
      <w:r>
        <w:rPr>
          <w:rStyle w:val="54"/>
          <w:rFonts w:hint="eastAsia" w:cs="Times New Roman"/>
          <w:color w:val="000000" w:themeColor="text1"/>
          <w:sz w:val="24"/>
          <w:szCs w:val="24"/>
          <w:highlight w:val="none"/>
          <w:lang w:val="en-US" w:eastAsia="zh-CN"/>
          <w14:textFill>
            <w14:solidFill>
              <w14:schemeClr w14:val="tx1"/>
            </w14:solidFill>
          </w14:textFill>
        </w:rPr>
        <w:t>经宋芳屯含油污泥处理站减量化处理后，委托大庆市庆兴环保科技有限公司处理</w:t>
      </w:r>
      <w:r>
        <w:rPr>
          <w:rStyle w:val="54"/>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，处理后污泥含油量满足《油田含油污泥处置与利用污染控制要求》（</w:t>
      </w:r>
      <w:r>
        <w:rPr>
          <w:rStyle w:val="54"/>
          <w:rFonts w:hint="default" w:ascii="Times New Roman" w:hAnsi="Times New Roman" w:cs="Times New Roman"/>
          <w:color w:val="000000" w:themeColor="text1"/>
          <w:sz w:val="24"/>
          <w:szCs w:val="24"/>
          <w:highlight w:val="none"/>
          <w:lang w:val="en-US" w:eastAsia="zh-CN"/>
          <w14:textFill>
            <w14:solidFill>
              <w14:schemeClr w14:val="tx1"/>
            </w14:solidFill>
          </w14:textFill>
        </w:rPr>
        <w:t>DB23/3104</w:t>
      </w:r>
      <w:r>
        <w:rPr>
          <w:rStyle w:val="54"/>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-2022）标准限值（石油类≤3000mg/kg）。</w:t>
      </w:r>
      <w:r>
        <w:rPr>
          <w:rFonts w:hint="eastAsia" w:cs="Times New Roman"/>
          <w:color w:val="000000" w:themeColor="text1"/>
          <w:kern w:val="0"/>
          <w:sz w:val="24"/>
          <w:highlight w:val="none"/>
          <w:lang w:val="en-US" w:eastAsia="zh-CN"/>
          <w14:textFill>
            <w14:solidFill>
              <w14:schemeClr w14:val="tx1"/>
            </w14:solidFill>
          </w14:textFill>
        </w:rPr>
        <w:t>处理后泥渣满足《油田含油污泥处置与利用污染控制要求》（DB23/T3104-2022）标准限值后，用于铺设油田井场和通井路</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p>
    <w:p w14:paraId="23B1D005">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场站职工生活垃圾产生总量约</w:t>
      </w:r>
      <w:r>
        <w:rPr>
          <w:rFonts w:hint="default" w:ascii="Times New Roman" w:hAnsi="Times New Roman" w:cs="Times New Roman"/>
          <w:snapToGrid w:val="0"/>
          <w:color w:val="000000" w:themeColor="text1"/>
          <w:kern w:val="0"/>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t/a，委托环卫部门清运至大庆城控电力有限公司处理。</w:t>
      </w:r>
    </w:p>
    <w:p w14:paraId="1F4B8F2E">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3.3.3.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依托场站储罐现状</w:t>
      </w:r>
    </w:p>
    <w:p w14:paraId="26985B0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内储罐均为固定顶罐。根据《陆上石油天然气开采工业大气污染物排放标准》</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GB39728-2020）中5.2.3.2固定顶罐要求:罐体应保持完好，不应有孔洞和裂隙</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储罐附件开口（孔</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，除采样、计量、例行检查、维护和其他正常活动外应密闭。根据现场调查，罐体均无孔洞和裂隙，采样口等均处于密闭状态，同时罐体周围均设置了围堰，满足《陆上石油天然气开采工业大气污染物排放标准》</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GB39728-2020）中固定顶罐要求。</w:t>
      </w:r>
    </w:p>
    <w:p w14:paraId="2694CECE">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污水站</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占地内环境清洁，站内道路两侧和院墙内均已绿化。在污染治理方面，运行设备采取减振、隔声等有效措施后达标排放，废水处理达标后均回注油层；在环境管理方面，</w:t>
      </w:r>
      <w:r>
        <w:rPr>
          <w:rFonts w:hint="eastAsia" w:eastAsia="宋体" w:cs="Times New Roman"/>
          <w:snapToGrid w:val="0"/>
          <w:color w:val="000000" w:themeColor="text1"/>
          <w:kern w:val="0"/>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设置了环保组织机构，制定了可行的环境保护规章制度，建立了规范的环保档案，制定了可行的环境风险应急预案并定期组织演练。</w:t>
      </w:r>
    </w:p>
    <w:p w14:paraId="7D816C65">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3.3.3.</w:t>
      </w:r>
      <w:r>
        <w:rPr>
          <w:rFonts w:hint="eastAsia"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依托工程污染物排放情况统计</w:t>
      </w:r>
    </w:p>
    <w:p w14:paraId="0F17B5BA">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本项目依托工程污染物排放情况统计表见表</w:t>
      </w:r>
      <w:r>
        <w:rPr>
          <w:rFonts w:hint="default" w:ascii="Times New Roman" w:hAnsi="Times New Roman" w:cs="Times New Roman"/>
          <w:color w:val="000000" w:themeColor="text1"/>
          <w:highlight w:val="none"/>
          <w:lang w:val="en-US" w:eastAsia="zh-CN"/>
          <w14:textFill>
            <w14:solidFill>
              <w14:schemeClr w14:val="tx1"/>
            </w14:solidFill>
          </w14:textFill>
        </w:rPr>
        <w:t>3.3-</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61981133">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Style w:val="35"/>
          <w:rFonts w:hint="default" w:ascii="Times New Roman" w:hAnsi="Times New Roman" w:eastAsia="宋体" w:cs="Times New Roman"/>
          <w:b/>
          <w:color w:val="000000" w:themeColor="text1"/>
          <w:highlight w:val="none"/>
          <w:lang w:eastAsia="zh-CN"/>
          <w14:textFill>
            <w14:solidFill>
              <w14:schemeClr w14:val="tx1"/>
            </w14:solidFill>
          </w14:textFill>
        </w:rPr>
        <w:t>依托工程污染物排放情况统计</w:t>
      </w:r>
    </w:p>
    <w:bookmarkEnd w:id="60"/>
    <w:tbl>
      <w:tblPr>
        <w:tblStyle w:val="4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70"/>
        <w:gridCol w:w="3235"/>
        <w:gridCol w:w="2312"/>
        <w:gridCol w:w="1664"/>
      </w:tblGrid>
      <w:tr w14:paraId="7E18A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5" w:type="pct"/>
            <w:vAlign w:val="center"/>
          </w:tcPr>
          <w:p w14:paraId="189C9873">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类别</w:t>
            </w:r>
          </w:p>
        </w:tc>
        <w:tc>
          <w:tcPr>
            <w:tcW w:w="1742" w:type="pct"/>
            <w:vAlign w:val="center"/>
          </w:tcPr>
          <w:p w14:paraId="56CC9EC8">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污染物（单位）</w:t>
            </w:r>
          </w:p>
        </w:tc>
        <w:tc>
          <w:tcPr>
            <w:tcW w:w="1245" w:type="pct"/>
            <w:vAlign w:val="center"/>
          </w:tcPr>
          <w:p w14:paraId="5170AE1C">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产生量</w:t>
            </w:r>
          </w:p>
        </w:tc>
        <w:tc>
          <w:tcPr>
            <w:tcW w:w="896" w:type="pct"/>
            <w:vAlign w:val="center"/>
          </w:tcPr>
          <w:p w14:paraId="71C7BA0A">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排放量</w:t>
            </w:r>
          </w:p>
        </w:tc>
      </w:tr>
      <w:tr w14:paraId="6F873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5" w:type="pct"/>
            <w:vAlign w:val="center"/>
          </w:tcPr>
          <w:p w14:paraId="079ED73D">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1742" w:type="pct"/>
            <w:vAlign w:val="center"/>
          </w:tcPr>
          <w:p w14:paraId="4FF5360C">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含油污水（m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w:t>
            </w:r>
          </w:p>
        </w:tc>
        <w:tc>
          <w:tcPr>
            <w:tcW w:w="1245" w:type="pct"/>
            <w:vAlign w:val="center"/>
          </w:tcPr>
          <w:p w14:paraId="3E61CEF7">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333.5×10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4</w:t>
            </w:r>
          </w:p>
        </w:tc>
        <w:tc>
          <w:tcPr>
            <w:tcW w:w="896" w:type="pct"/>
            <w:vAlign w:val="center"/>
          </w:tcPr>
          <w:p w14:paraId="06E82FB9">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01AA4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5" w:type="pct"/>
            <w:vMerge w:val="restart"/>
            <w:vAlign w:val="center"/>
          </w:tcPr>
          <w:p w14:paraId="0A25E0A6">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固体废物</w:t>
            </w:r>
          </w:p>
        </w:tc>
        <w:tc>
          <w:tcPr>
            <w:tcW w:w="1742" w:type="pct"/>
            <w:vAlign w:val="center"/>
          </w:tcPr>
          <w:p w14:paraId="62BF8DF0">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含油污泥（m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w:t>
            </w:r>
          </w:p>
        </w:tc>
        <w:tc>
          <w:tcPr>
            <w:tcW w:w="1245" w:type="pct"/>
            <w:vAlign w:val="center"/>
          </w:tcPr>
          <w:p w14:paraId="0E59BD1C">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896" w:type="pct"/>
            <w:vAlign w:val="center"/>
          </w:tcPr>
          <w:p w14:paraId="1D9E2B8B">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6EE7B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115" w:type="pct"/>
            <w:vMerge w:val="continue"/>
            <w:vAlign w:val="center"/>
          </w:tcPr>
          <w:p w14:paraId="1FB0E79A">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42" w:type="pct"/>
            <w:vAlign w:val="center"/>
          </w:tcPr>
          <w:p w14:paraId="562A5EDF">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生活垃圾（t/a）</w:t>
            </w:r>
          </w:p>
        </w:tc>
        <w:tc>
          <w:tcPr>
            <w:tcW w:w="1245" w:type="pct"/>
            <w:vAlign w:val="center"/>
          </w:tcPr>
          <w:p w14:paraId="617B8DA2">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896" w:type="pct"/>
            <w:vAlign w:val="center"/>
          </w:tcPr>
          <w:p w14:paraId="7B513608">
            <w:pPr>
              <w:keepNext w:val="0"/>
              <w:keepLines w:val="0"/>
              <w:pageBreakBefore w:val="0"/>
              <w:widowControl w:val="0"/>
              <w:kinsoku/>
              <w:wordWrap/>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bl>
    <w:p w14:paraId="20623B0C">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62" w:name="_Toc12996"/>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公用工程</w:t>
      </w:r>
      <w:bookmarkEnd w:id="62"/>
    </w:p>
    <w:p w14:paraId="21BF6BA5">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bookmarkStart w:id="63" w:name="_Hlk71540819"/>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给水</w:t>
      </w:r>
    </w:p>
    <w:p w14:paraId="3DFC956F">
      <w:pPr>
        <w:pStyle w:val="3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3.4.1.1施工期</w:t>
      </w:r>
    </w:p>
    <w:p w14:paraId="737477B2">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施工期废弃管道清管用水、新建管道试压用水采用水罐车拉运，生活用水采用桶装水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根据与建设单位核实，本项目废弃管道清管作业均在通球扫线后进行，管道内壁已经比较干净，清洗水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采取连续通过管道进行清洗，根据建设单位提供实际数据，清水水量</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约为管道容积的2-3倍</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，废水量为清洗水量的95%进行计算统计</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。用水量</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根据公式V=</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πr</w:t>
      </w:r>
      <w:r>
        <w:rPr>
          <w:rFonts w:hint="default" w:ascii="Times New Roman" w:hAnsi="Times New Roman" w:eastAsia="宋体" w:cs="Times New Roman"/>
          <w:snapToGrid w:val="0"/>
          <w:color w:val="000000" w:themeColor="text1"/>
          <w:kern w:val="0"/>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×L计算。</w:t>
      </w:r>
    </w:p>
    <w:p w14:paraId="797CB34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清管用水量统计表见表3.4-1，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集输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管道试压用水统计表见表3.4-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4ED18EC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根据《黑龙江省地方标准用水定额》（DB23/T727-2021）中相关内容，居民生活用水定额为80L/人d。施工时间为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天，施工人数为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人，则生活用水量为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72t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0E8B4D95">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3.4.1.2运营期</w:t>
      </w:r>
    </w:p>
    <w:p w14:paraId="02E6891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管道改造工程</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，不涉及运营期。</w:t>
      </w:r>
    </w:p>
    <w:p w14:paraId="45ADD8D4">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3.4.1.3退役期</w:t>
      </w:r>
    </w:p>
    <w:p w14:paraId="49AFE2BB">
      <w:pPr>
        <w:pStyle w:val="34"/>
        <w:keepNext w:val="0"/>
        <w:keepLines w:val="0"/>
        <w:pageBreakBefore w:val="0"/>
        <w:widowControl w:val="0"/>
        <w:kinsoku/>
        <w:wordWrap/>
        <w:topLinePunct w:val="0"/>
        <w:autoSpaceDE/>
        <w:autoSpaceDN/>
        <w:bidi w:val="0"/>
        <w:adjustRightInd w:val="0"/>
        <w:snapToGrid w:val="0"/>
        <w:ind w:firstLine="480"/>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退役期本项目新建的管道全部废弃，废弃管道清洗用水采用水罐车拉运，管道清管用水量为</w:t>
      </w:r>
      <w:r>
        <w:rPr>
          <w:rFonts w:hint="eastAsia" w:cs="Times New Roman"/>
          <w:snapToGrid w:val="0"/>
          <w:color w:val="000000" w:themeColor="text1"/>
          <w:sz w:val="24"/>
          <w:szCs w:val="20"/>
          <w:highlight w:val="none"/>
          <w:lang w:val="en-US" w:eastAsia="zh-CN" w:bidi="ar-SA"/>
          <w14:textFill>
            <w14:solidFill>
              <w14:schemeClr w14:val="tx1"/>
            </w14:solidFill>
          </w14:textFill>
        </w:rPr>
        <w:t>353t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9FB0C7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6F8A4DEC">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4-1</w:t>
      </w:r>
      <w:r>
        <w:rPr>
          <w:rStyle w:val="35"/>
          <w:rFonts w:hint="default" w:ascii="Times New Roman" w:hAnsi="Times New Roman" w:eastAsia="宋体" w:cs="Times New Roman"/>
          <w:b/>
          <w:color w:val="000000" w:themeColor="text1"/>
          <w:highlight w:val="none"/>
          <w:lang w:eastAsia="zh-CN"/>
          <w14:textFill>
            <w14:solidFill>
              <w14:schemeClr w14:val="tx1"/>
            </w14:solidFill>
          </w14:textFill>
        </w:rPr>
        <w:t>本</w:t>
      </w:r>
      <w:r>
        <w:rPr>
          <w:rStyle w:val="35"/>
          <w:rFonts w:hint="default" w:ascii="Times New Roman" w:hAnsi="Times New Roman" w:cs="Times New Roman"/>
          <w:b/>
          <w:color w:val="000000" w:themeColor="text1"/>
          <w:highlight w:val="none"/>
          <w:lang w:val="en-US" w:eastAsia="zh-CN"/>
          <w14:textFill>
            <w14:solidFill>
              <w14:schemeClr w14:val="tx1"/>
            </w14:solidFill>
          </w14:textFill>
        </w:rPr>
        <w:t>项目</w:t>
      </w:r>
      <w:r>
        <w:rPr>
          <w:rStyle w:val="35"/>
          <w:rFonts w:hint="eastAsia" w:ascii="Times New Roman" w:hAnsi="Times New Roman" w:cs="Times New Roman"/>
          <w:b/>
          <w:color w:val="000000" w:themeColor="text1"/>
          <w:highlight w:val="none"/>
          <w:lang w:val="en-US" w:eastAsia="zh-CN"/>
          <w14:textFill>
            <w14:solidFill>
              <w14:schemeClr w14:val="tx1"/>
            </w14:solidFill>
          </w14:textFill>
        </w:rPr>
        <w:t>废弃</w:t>
      </w:r>
      <w:r>
        <w:rPr>
          <w:rStyle w:val="35"/>
          <w:rFonts w:hint="default" w:ascii="Times New Roman" w:hAnsi="Times New Roman" w:cs="Times New Roman"/>
          <w:b/>
          <w:color w:val="000000" w:themeColor="text1"/>
          <w:highlight w:val="none"/>
          <w:lang w:val="en-US" w:eastAsia="zh-CN"/>
          <w14:textFill>
            <w14:solidFill>
              <w14:schemeClr w14:val="tx1"/>
            </w14:solidFill>
          </w14:textFill>
        </w:rPr>
        <w:t>管道</w:t>
      </w:r>
      <w:r>
        <w:rPr>
          <w:rStyle w:val="35"/>
          <w:rFonts w:hint="eastAsia" w:ascii="Times New Roman" w:hAnsi="Times New Roman" w:cs="Times New Roman"/>
          <w:b/>
          <w:color w:val="000000" w:themeColor="text1"/>
          <w:highlight w:val="none"/>
          <w:lang w:val="en-US" w:eastAsia="zh-CN"/>
          <w14:textFill>
            <w14:solidFill>
              <w14:schemeClr w14:val="tx1"/>
            </w14:solidFill>
          </w14:textFill>
        </w:rPr>
        <w:t>清管</w:t>
      </w:r>
      <w:r>
        <w:rPr>
          <w:rStyle w:val="35"/>
          <w:rFonts w:hint="default" w:ascii="Times New Roman" w:hAnsi="Times New Roman" w:cs="Times New Roman"/>
          <w:b/>
          <w:color w:val="000000" w:themeColor="text1"/>
          <w:highlight w:val="none"/>
          <w:lang w:val="en-US" w:eastAsia="zh-CN"/>
          <w14:textFill>
            <w14:solidFill>
              <w14:schemeClr w14:val="tx1"/>
            </w14:solidFill>
          </w14:textFill>
        </w:rPr>
        <w:t>用水统计表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9"/>
        <w:gridCol w:w="3455"/>
        <w:gridCol w:w="2670"/>
        <w:gridCol w:w="3692"/>
        <w:gridCol w:w="1261"/>
        <w:gridCol w:w="1252"/>
        <w:gridCol w:w="1210"/>
      </w:tblGrid>
      <w:tr w14:paraId="0FB3B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5" w:type="pct"/>
            <w:tcBorders>
              <w:tl2br w:val="nil"/>
              <w:tr2bl w:val="nil"/>
            </w:tcBorders>
            <w:shd w:val="clear" w:color="auto" w:fill="FFFFFF"/>
            <w:vAlign w:val="center"/>
          </w:tcPr>
          <w:p w14:paraId="4A20285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1215" w:type="pct"/>
            <w:tcBorders>
              <w:tl2br w:val="nil"/>
              <w:tr2bl w:val="nil"/>
            </w:tcBorders>
            <w:shd w:val="clear" w:color="auto" w:fill="FFFFFF"/>
            <w:vAlign w:val="center"/>
          </w:tcPr>
          <w:p w14:paraId="2C62761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管道名称</w:t>
            </w:r>
          </w:p>
        </w:tc>
        <w:tc>
          <w:tcPr>
            <w:tcW w:w="939" w:type="pct"/>
            <w:tcBorders>
              <w:tl2br w:val="nil"/>
              <w:tr2bl w:val="nil"/>
            </w:tcBorders>
            <w:shd w:val="clear" w:color="auto" w:fill="FFFFFF"/>
            <w:vAlign w:val="center"/>
          </w:tcPr>
          <w:p w14:paraId="76B0999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起点名称</w:t>
            </w:r>
          </w:p>
        </w:tc>
        <w:tc>
          <w:tcPr>
            <w:tcW w:w="1299" w:type="pct"/>
            <w:tcBorders>
              <w:tl2br w:val="nil"/>
              <w:tr2bl w:val="nil"/>
            </w:tcBorders>
            <w:shd w:val="clear" w:color="auto" w:fill="FFFFFF"/>
            <w:vAlign w:val="center"/>
          </w:tcPr>
          <w:p w14:paraId="66BECDE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终点名称</w:t>
            </w:r>
          </w:p>
        </w:tc>
        <w:tc>
          <w:tcPr>
            <w:tcW w:w="443" w:type="pct"/>
            <w:tcBorders>
              <w:tl2br w:val="nil"/>
              <w:tr2bl w:val="nil"/>
            </w:tcBorders>
            <w:shd w:val="clear" w:color="auto" w:fill="FFFFFF"/>
            <w:vAlign w:val="center"/>
          </w:tcPr>
          <w:p w14:paraId="7F2C4A3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管道长度m</w:t>
            </w:r>
          </w:p>
        </w:tc>
        <w:tc>
          <w:tcPr>
            <w:tcW w:w="440" w:type="pct"/>
            <w:tcBorders>
              <w:tl2br w:val="nil"/>
              <w:tr2bl w:val="nil"/>
            </w:tcBorders>
            <w:shd w:val="clear" w:color="auto" w:fill="FFFFFF"/>
            <w:vAlign w:val="center"/>
          </w:tcPr>
          <w:p w14:paraId="6FC576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管径（mm）</w:t>
            </w:r>
          </w:p>
        </w:tc>
        <w:tc>
          <w:tcPr>
            <w:tcW w:w="425" w:type="pct"/>
            <w:tcBorders>
              <w:tl2br w:val="nil"/>
              <w:tr2bl w:val="nil"/>
            </w:tcBorders>
            <w:shd w:val="clear" w:color="auto" w:fill="auto"/>
            <w:vAlign w:val="center"/>
          </w:tcPr>
          <w:p w14:paraId="752144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冲洗用水</w:t>
            </w:r>
          </w:p>
        </w:tc>
      </w:tr>
      <w:tr w14:paraId="0794A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068B1302">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215" w:type="pct"/>
            <w:tcBorders>
              <w:tl2br w:val="nil"/>
              <w:tr2bl w:val="nil"/>
            </w:tcBorders>
            <w:shd w:val="clear" w:color="auto" w:fill="FFFFFF"/>
            <w:vAlign w:val="center"/>
          </w:tcPr>
          <w:p w14:paraId="68BB78D4">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芳3转油站外输油管道</w:t>
            </w:r>
          </w:p>
        </w:tc>
        <w:tc>
          <w:tcPr>
            <w:tcW w:w="939" w:type="pct"/>
            <w:tcBorders>
              <w:tl2br w:val="nil"/>
              <w:tr2bl w:val="nil"/>
            </w:tcBorders>
            <w:shd w:val="clear" w:color="auto" w:fill="FFFFFF"/>
            <w:vAlign w:val="center"/>
          </w:tcPr>
          <w:p w14:paraId="79F793F4">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w:t>
            </w:r>
          </w:p>
        </w:tc>
        <w:tc>
          <w:tcPr>
            <w:tcW w:w="1299" w:type="pct"/>
            <w:tcBorders>
              <w:tl2br w:val="nil"/>
              <w:tr2bl w:val="nil"/>
            </w:tcBorders>
            <w:shd w:val="clear" w:color="auto" w:fill="FFFFFF"/>
            <w:vAlign w:val="center"/>
          </w:tcPr>
          <w:p w14:paraId="7AE0BD9B">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升一联合站</w:t>
            </w:r>
          </w:p>
        </w:tc>
        <w:tc>
          <w:tcPr>
            <w:tcW w:w="1261" w:type="dxa"/>
            <w:tcBorders>
              <w:tl2br w:val="nil"/>
              <w:tr2bl w:val="nil"/>
            </w:tcBorders>
            <w:shd w:val="clear" w:color="auto" w:fill="FFFFFF"/>
            <w:vAlign w:val="center"/>
          </w:tcPr>
          <w:p w14:paraId="17CF71F2">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12400</w:t>
            </w:r>
          </w:p>
        </w:tc>
        <w:tc>
          <w:tcPr>
            <w:tcW w:w="1252" w:type="dxa"/>
            <w:tcBorders>
              <w:tl2br w:val="nil"/>
              <w:tr2bl w:val="nil"/>
            </w:tcBorders>
            <w:shd w:val="clear" w:color="auto" w:fill="FFFFFF"/>
            <w:vAlign w:val="center"/>
          </w:tcPr>
          <w:p w14:paraId="6F4CDAC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210" w:type="dxa"/>
            <w:tcBorders>
              <w:tl2br w:val="nil"/>
              <w:tr2bl w:val="nil"/>
            </w:tcBorders>
            <w:shd w:val="clear" w:color="auto" w:fill="auto"/>
            <w:vAlign w:val="center"/>
          </w:tcPr>
          <w:p w14:paraId="08D9E6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298</w:t>
            </w:r>
          </w:p>
        </w:tc>
      </w:tr>
      <w:tr w14:paraId="0A2EF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5657D76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215" w:type="pct"/>
            <w:tcBorders>
              <w:tl2br w:val="nil"/>
              <w:tr2bl w:val="nil"/>
            </w:tcBorders>
            <w:shd w:val="clear" w:color="auto" w:fill="FFFFFF"/>
            <w:vAlign w:val="center"/>
          </w:tcPr>
          <w:p w14:paraId="0673EFFE">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407-6集油阀组间5环集油管道</w:t>
            </w:r>
          </w:p>
        </w:tc>
        <w:tc>
          <w:tcPr>
            <w:tcW w:w="939" w:type="pct"/>
            <w:tcBorders>
              <w:tl2br w:val="nil"/>
              <w:tr2bl w:val="nil"/>
            </w:tcBorders>
            <w:shd w:val="clear" w:color="auto" w:fill="FFFFFF"/>
            <w:vAlign w:val="center"/>
          </w:tcPr>
          <w:p w14:paraId="6A73A8C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15-66井</w:t>
            </w:r>
          </w:p>
        </w:tc>
        <w:tc>
          <w:tcPr>
            <w:tcW w:w="1299" w:type="pct"/>
            <w:tcBorders>
              <w:tl2br w:val="nil"/>
              <w:tr2bl w:val="nil"/>
            </w:tcBorders>
            <w:shd w:val="clear" w:color="auto" w:fill="FFFFFF"/>
            <w:vAlign w:val="center"/>
          </w:tcPr>
          <w:p w14:paraId="06E9892B">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407-6集油阀组间</w:t>
            </w:r>
          </w:p>
        </w:tc>
        <w:tc>
          <w:tcPr>
            <w:tcW w:w="1261" w:type="dxa"/>
            <w:tcBorders>
              <w:tl2br w:val="nil"/>
              <w:tr2bl w:val="nil"/>
            </w:tcBorders>
            <w:shd w:val="clear" w:color="auto" w:fill="FFFFFF"/>
            <w:vAlign w:val="center"/>
          </w:tcPr>
          <w:p w14:paraId="65FDA59A">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2750</w:t>
            </w:r>
          </w:p>
        </w:tc>
        <w:tc>
          <w:tcPr>
            <w:tcW w:w="1252" w:type="dxa"/>
            <w:tcBorders>
              <w:tl2br w:val="nil"/>
              <w:tr2bl w:val="nil"/>
            </w:tcBorders>
            <w:shd w:val="clear" w:color="auto" w:fill="FFFFFF"/>
            <w:vAlign w:val="center"/>
          </w:tcPr>
          <w:p w14:paraId="5358A4A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167A6D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18</w:t>
            </w:r>
          </w:p>
        </w:tc>
      </w:tr>
      <w:tr w14:paraId="3C7BB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79E5E699">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215" w:type="pct"/>
            <w:tcBorders>
              <w:tl2br w:val="nil"/>
              <w:tr2bl w:val="nil"/>
            </w:tcBorders>
            <w:shd w:val="clear" w:color="auto" w:fill="FFFFFF"/>
            <w:vAlign w:val="center"/>
          </w:tcPr>
          <w:p w14:paraId="3ED44697">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1-6集油阀组间1环集油管道</w:t>
            </w:r>
          </w:p>
        </w:tc>
        <w:tc>
          <w:tcPr>
            <w:tcW w:w="939" w:type="pct"/>
            <w:tcBorders>
              <w:tl2br w:val="nil"/>
              <w:tr2bl w:val="nil"/>
            </w:tcBorders>
            <w:shd w:val="clear" w:color="auto" w:fill="FFFFFF"/>
            <w:vAlign w:val="center"/>
          </w:tcPr>
          <w:p w14:paraId="59D50F26">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45-33井</w:t>
            </w:r>
          </w:p>
        </w:tc>
        <w:tc>
          <w:tcPr>
            <w:tcW w:w="1299" w:type="pct"/>
            <w:tcBorders>
              <w:tl2br w:val="nil"/>
              <w:tr2bl w:val="nil"/>
            </w:tcBorders>
            <w:shd w:val="clear" w:color="auto" w:fill="FFFFFF"/>
            <w:vAlign w:val="center"/>
          </w:tcPr>
          <w:p w14:paraId="3F62016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1-6集油阀组间</w:t>
            </w:r>
          </w:p>
        </w:tc>
        <w:tc>
          <w:tcPr>
            <w:tcW w:w="1261" w:type="dxa"/>
            <w:tcBorders>
              <w:tl2br w:val="nil"/>
              <w:tr2bl w:val="nil"/>
            </w:tcBorders>
            <w:shd w:val="clear" w:color="auto" w:fill="FFFFFF"/>
            <w:vAlign w:val="center"/>
          </w:tcPr>
          <w:p w14:paraId="58AB95D8">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2060</w:t>
            </w:r>
          </w:p>
        </w:tc>
        <w:tc>
          <w:tcPr>
            <w:tcW w:w="1252" w:type="dxa"/>
            <w:tcBorders>
              <w:tl2br w:val="nil"/>
              <w:tr2bl w:val="nil"/>
            </w:tcBorders>
            <w:shd w:val="clear" w:color="auto" w:fill="FFFFFF"/>
            <w:vAlign w:val="center"/>
          </w:tcPr>
          <w:p w14:paraId="32F6365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1E3C29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14</w:t>
            </w:r>
          </w:p>
        </w:tc>
      </w:tr>
      <w:tr w14:paraId="58E11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005F7F7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215" w:type="pct"/>
            <w:tcBorders>
              <w:tl2br w:val="nil"/>
              <w:tr2bl w:val="nil"/>
            </w:tcBorders>
            <w:shd w:val="clear" w:color="auto" w:fill="FFFFFF"/>
            <w:vAlign w:val="center"/>
          </w:tcPr>
          <w:p w14:paraId="7E156860">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1-2集油阀组间1环集油管道</w:t>
            </w:r>
          </w:p>
        </w:tc>
        <w:tc>
          <w:tcPr>
            <w:tcW w:w="939" w:type="pct"/>
            <w:tcBorders>
              <w:tl2br w:val="nil"/>
              <w:tr2bl w:val="nil"/>
            </w:tcBorders>
            <w:shd w:val="clear" w:color="auto" w:fill="FFFFFF"/>
            <w:vAlign w:val="center"/>
          </w:tcPr>
          <w:p w14:paraId="6DD111EE">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29-29井</w:t>
            </w:r>
          </w:p>
        </w:tc>
        <w:tc>
          <w:tcPr>
            <w:tcW w:w="1299" w:type="pct"/>
            <w:tcBorders>
              <w:tl2br w:val="nil"/>
              <w:tr2bl w:val="nil"/>
            </w:tcBorders>
            <w:shd w:val="clear" w:color="auto" w:fill="FFFFFF"/>
            <w:vAlign w:val="center"/>
          </w:tcPr>
          <w:p w14:paraId="7B6FA96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1-2集油阀组间</w:t>
            </w:r>
          </w:p>
        </w:tc>
        <w:tc>
          <w:tcPr>
            <w:tcW w:w="1261" w:type="dxa"/>
            <w:tcBorders>
              <w:tl2br w:val="nil"/>
              <w:tr2bl w:val="nil"/>
            </w:tcBorders>
            <w:shd w:val="clear" w:color="auto" w:fill="FFFFFF"/>
            <w:vAlign w:val="center"/>
          </w:tcPr>
          <w:p w14:paraId="128E095D">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1800</w:t>
            </w:r>
          </w:p>
        </w:tc>
        <w:tc>
          <w:tcPr>
            <w:tcW w:w="1252" w:type="dxa"/>
            <w:tcBorders>
              <w:tl2br w:val="nil"/>
              <w:tr2bl w:val="nil"/>
            </w:tcBorders>
            <w:shd w:val="clear" w:color="auto" w:fill="FFFFFF"/>
            <w:vAlign w:val="center"/>
          </w:tcPr>
          <w:p w14:paraId="667C2F1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13C39B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12</w:t>
            </w:r>
          </w:p>
        </w:tc>
      </w:tr>
      <w:tr w14:paraId="42A1F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147D0B5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215" w:type="pct"/>
            <w:tcBorders>
              <w:tl2br w:val="nil"/>
              <w:tr2bl w:val="nil"/>
            </w:tcBorders>
            <w:shd w:val="clear" w:color="auto" w:fill="FFFFFF"/>
            <w:vAlign w:val="center"/>
          </w:tcPr>
          <w:p w14:paraId="709367A1">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1-2集油阀组间6环集油管道</w:t>
            </w:r>
          </w:p>
        </w:tc>
        <w:tc>
          <w:tcPr>
            <w:tcW w:w="939" w:type="pct"/>
            <w:tcBorders>
              <w:tl2br w:val="nil"/>
              <w:tr2bl w:val="nil"/>
            </w:tcBorders>
            <w:shd w:val="clear" w:color="auto" w:fill="FFFFFF"/>
            <w:vAlign w:val="center"/>
          </w:tcPr>
          <w:p w14:paraId="284C5C34">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33-斜35井</w:t>
            </w:r>
          </w:p>
        </w:tc>
        <w:tc>
          <w:tcPr>
            <w:tcW w:w="1299" w:type="pct"/>
            <w:tcBorders>
              <w:tl2br w:val="nil"/>
              <w:tr2bl w:val="nil"/>
            </w:tcBorders>
            <w:shd w:val="clear" w:color="auto" w:fill="FFFFFF"/>
            <w:vAlign w:val="center"/>
          </w:tcPr>
          <w:p w14:paraId="0AD4FB9A">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1-2集油阀组间</w:t>
            </w:r>
          </w:p>
        </w:tc>
        <w:tc>
          <w:tcPr>
            <w:tcW w:w="1261" w:type="dxa"/>
            <w:tcBorders>
              <w:tl2br w:val="nil"/>
              <w:tr2bl w:val="nil"/>
            </w:tcBorders>
            <w:shd w:val="clear" w:color="auto" w:fill="FFFFFF"/>
            <w:vAlign w:val="center"/>
          </w:tcPr>
          <w:p w14:paraId="049ECA4E">
            <w:pPr>
              <w:keepNext w:val="0"/>
              <w:keepLines w:val="0"/>
              <w:pageBreakBefore w:val="0"/>
              <w:widowControl w:val="0"/>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1650</w:t>
            </w:r>
          </w:p>
        </w:tc>
        <w:tc>
          <w:tcPr>
            <w:tcW w:w="1252" w:type="dxa"/>
            <w:tcBorders>
              <w:tl2br w:val="nil"/>
              <w:tr2bl w:val="nil"/>
            </w:tcBorders>
            <w:shd w:val="clear" w:color="auto" w:fill="FFFFFF"/>
            <w:vAlign w:val="center"/>
          </w:tcPr>
          <w:p w14:paraId="5749BB69">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5BE8A9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11</w:t>
            </w:r>
          </w:p>
        </w:tc>
      </w:tr>
      <w:tr w14:paraId="5C71B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574" w:type="pct"/>
            <w:gridSpan w:val="6"/>
            <w:tcBorders>
              <w:tl2br w:val="nil"/>
              <w:tr2bl w:val="nil"/>
            </w:tcBorders>
            <w:shd w:val="clear" w:color="auto" w:fill="auto"/>
            <w:vAlign w:val="center"/>
          </w:tcPr>
          <w:p w14:paraId="575CA5F1">
            <w:pPr>
              <w:keepNext w:val="0"/>
              <w:keepLines w:val="0"/>
              <w:pageBreakBefore w:val="0"/>
              <w:widowControl w:val="0"/>
              <w:kinsoku/>
              <w:wordWrap/>
              <w:overflowPunct/>
              <w:topLinePunct w:val="0"/>
              <w:autoSpaceDE/>
              <w:autoSpaceDN/>
              <w:bidi w:val="0"/>
              <w:spacing w:after="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合计</w:t>
            </w:r>
          </w:p>
        </w:tc>
        <w:tc>
          <w:tcPr>
            <w:tcW w:w="425" w:type="pct"/>
            <w:tcBorders>
              <w:tl2br w:val="nil"/>
              <w:tr2bl w:val="nil"/>
            </w:tcBorders>
            <w:shd w:val="clear" w:color="auto" w:fill="auto"/>
            <w:vAlign w:val="center"/>
          </w:tcPr>
          <w:p w14:paraId="1B030990">
            <w:pPr>
              <w:keepNext w:val="0"/>
              <w:keepLines w:val="0"/>
              <w:pageBreakBefore w:val="0"/>
              <w:widowControl w:val="0"/>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353</w:t>
            </w:r>
          </w:p>
        </w:tc>
      </w:tr>
    </w:tbl>
    <w:p w14:paraId="49221CD9">
      <w:pPr>
        <w:keepNext w:val="0"/>
        <w:keepLines w:val="0"/>
        <w:pageBreakBefore w:val="0"/>
        <w:widowControl w:val="0"/>
        <w:kinsoku/>
        <w:wordWrap/>
        <w:topLinePunct w:val="0"/>
        <w:bidi w:val="0"/>
        <w:adjustRightInd/>
        <w:snapToGrid/>
        <w:spacing w:after="0" w:line="240" w:lineRule="auto"/>
        <w:jc w:val="center"/>
        <w:rPr>
          <w:rStyle w:val="35"/>
          <w:rFonts w:hint="default" w:ascii="Times New Roman" w:hAnsi="Times New Roman" w:cs="Times New Roman"/>
          <w:b/>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Style w:val="35"/>
          <w:rFonts w:hint="default" w:ascii="Times New Roman" w:hAnsi="Times New Roman" w:cs="Times New Roman"/>
          <w:b/>
          <w:color w:val="000000" w:themeColor="text1"/>
          <w:highlight w:val="none"/>
          <w14:textFill>
            <w14:solidFill>
              <w14:schemeClr w14:val="tx1"/>
            </w14:solidFill>
          </w14:textFill>
        </w:rPr>
        <w:t xml:space="preserve">  </w:t>
      </w:r>
      <w:r>
        <w:rPr>
          <w:rStyle w:val="35"/>
          <w:rFonts w:hint="default" w:ascii="Times New Roman" w:hAnsi="Times New Roman" w:cs="Times New Roman"/>
          <w:b/>
          <w:color w:val="000000" w:themeColor="text1"/>
          <w:highlight w:val="none"/>
          <w:lang w:val="en-US" w:eastAsia="zh-CN"/>
          <w14:textFill>
            <w14:solidFill>
              <w14:schemeClr w14:val="tx1"/>
            </w14:solidFill>
          </w14:textFill>
        </w:rPr>
        <w:t>本项目</w:t>
      </w:r>
      <w:r>
        <w:rPr>
          <w:rStyle w:val="35"/>
          <w:rFonts w:hint="eastAsia" w:ascii="Times New Roman" w:hAnsi="Times New Roman" w:cs="Times New Roman"/>
          <w:b/>
          <w:color w:val="000000" w:themeColor="text1"/>
          <w:highlight w:val="none"/>
          <w:lang w:val="en-US" w:eastAsia="zh-CN"/>
          <w14:textFill>
            <w14:solidFill>
              <w14:schemeClr w14:val="tx1"/>
            </w14:solidFill>
          </w14:textFill>
        </w:rPr>
        <w:t>集输</w:t>
      </w:r>
      <w:r>
        <w:rPr>
          <w:rStyle w:val="35"/>
          <w:rFonts w:hint="default" w:ascii="Times New Roman" w:hAnsi="Times New Roman" w:cs="Times New Roman"/>
          <w:b/>
          <w:color w:val="000000" w:themeColor="text1"/>
          <w:highlight w:val="none"/>
          <w:lang w:val="en-US" w:eastAsia="zh-CN"/>
          <w14:textFill>
            <w14:solidFill>
              <w14:schemeClr w14:val="tx1"/>
            </w14:solidFill>
          </w14:textFill>
        </w:rPr>
        <w:t>管道试压用水统计表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9"/>
        <w:gridCol w:w="3460"/>
        <w:gridCol w:w="2670"/>
        <w:gridCol w:w="3387"/>
        <w:gridCol w:w="1561"/>
        <w:gridCol w:w="1252"/>
        <w:gridCol w:w="1210"/>
      </w:tblGrid>
      <w:tr w14:paraId="7D8CC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235" w:type="pct"/>
            <w:tcBorders>
              <w:tl2br w:val="nil"/>
              <w:tr2bl w:val="nil"/>
            </w:tcBorders>
            <w:shd w:val="clear" w:color="auto" w:fill="FFFFFF"/>
            <w:vAlign w:val="center"/>
          </w:tcPr>
          <w:p w14:paraId="790C4DA5">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2"/>
                <w:szCs w:val="22"/>
                <w:highlight w:val="none"/>
                <w:u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序号</w:t>
            </w:r>
          </w:p>
        </w:tc>
        <w:tc>
          <w:tcPr>
            <w:tcW w:w="1217" w:type="pct"/>
            <w:tcBorders>
              <w:tl2br w:val="nil"/>
              <w:tr2bl w:val="nil"/>
            </w:tcBorders>
            <w:shd w:val="clear" w:color="auto" w:fill="FFFFFF"/>
            <w:vAlign w:val="center"/>
          </w:tcPr>
          <w:p w14:paraId="46858AE2">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管道名称</w:t>
            </w:r>
          </w:p>
        </w:tc>
        <w:tc>
          <w:tcPr>
            <w:tcW w:w="939" w:type="pct"/>
            <w:tcBorders>
              <w:tl2br w:val="nil"/>
              <w:tr2bl w:val="nil"/>
            </w:tcBorders>
            <w:shd w:val="clear" w:color="auto" w:fill="FFFFFF"/>
            <w:vAlign w:val="center"/>
          </w:tcPr>
          <w:p w14:paraId="6FD88900">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起点名称</w:t>
            </w:r>
          </w:p>
        </w:tc>
        <w:tc>
          <w:tcPr>
            <w:tcW w:w="1191" w:type="pct"/>
            <w:tcBorders>
              <w:tl2br w:val="nil"/>
              <w:tr2bl w:val="nil"/>
            </w:tcBorders>
            <w:shd w:val="clear" w:color="auto" w:fill="FFFFFF"/>
            <w:vAlign w:val="center"/>
          </w:tcPr>
          <w:p w14:paraId="4AE1031A">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终点名称</w:t>
            </w:r>
          </w:p>
        </w:tc>
        <w:tc>
          <w:tcPr>
            <w:tcW w:w="549" w:type="pct"/>
            <w:tcBorders>
              <w:tl2br w:val="nil"/>
              <w:tr2bl w:val="nil"/>
            </w:tcBorders>
            <w:shd w:val="clear" w:color="auto" w:fill="FFFFFF"/>
            <w:vAlign w:val="center"/>
          </w:tcPr>
          <w:p w14:paraId="20E65BAC">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管道长度m</w:t>
            </w:r>
          </w:p>
        </w:tc>
        <w:tc>
          <w:tcPr>
            <w:tcW w:w="440" w:type="pct"/>
            <w:tcBorders>
              <w:tl2br w:val="nil"/>
              <w:tr2bl w:val="nil"/>
            </w:tcBorders>
            <w:shd w:val="clear" w:color="auto" w:fill="FFFFFF"/>
            <w:vAlign w:val="center"/>
          </w:tcPr>
          <w:p w14:paraId="4DBC8EAC">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管径（mm）</w:t>
            </w:r>
          </w:p>
        </w:tc>
        <w:tc>
          <w:tcPr>
            <w:tcW w:w="425" w:type="pct"/>
            <w:tcBorders>
              <w:tl2br w:val="nil"/>
              <w:tr2bl w:val="nil"/>
            </w:tcBorders>
            <w:shd w:val="clear" w:color="auto" w:fill="auto"/>
            <w:vAlign w:val="center"/>
          </w:tcPr>
          <w:p w14:paraId="72B2534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冲洗用水</w:t>
            </w:r>
          </w:p>
        </w:tc>
      </w:tr>
      <w:tr w14:paraId="30788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1A9EF1C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c>
          <w:tcPr>
            <w:tcW w:w="1217" w:type="pct"/>
            <w:tcBorders>
              <w:tl2br w:val="nil"/>
              <w:tr2bl w:val="nil"/>
            </w:tcBorders>
            <w:shd w:val="clear" w:color="auto" w:fill="FFFFFF"/>
            <w:vAlign w:val="center"/>
          </w:tcPr>
          <w:p w14:paraId="0BBBFBD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芳3转油站外输油管道</w:t>
            </w:r>
          </w:p>
        </w:tc>
        <w:tc>
          <w:tcPr>
            <w:tcW w:w="939" w:type="pct"/>
            <w:tcBorders>
              <w:tl2br w:val="nil"/>
              <w:tr2bl w:val="nil"/>
            </w:tcBorders>
            <w:shd w:val="clear" w:color="auto" w:fill="FFFFFF"/>
            <w:vAlign w:val="center"/>
          </w:tcPr>
          <w:p w14:paraId="25914AB2">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w:t>
            </w:r>
          </w:p>
        </w:tc>
        <w:tc>
          <w:tcPr>
            <w:tcW w:w="1191" w:type="pct"/>
            <w:tcBorders>
              <w:tl2br w:val="nil"/>
              <w:tr2bl w:val="nil"/>
            </w:tcBorders>
            <w:shd w:val="clear" w:color="auto" w:fill="FFFFFF"/>
            <w:vAlign w:val="center"/>
          </w:tcPr>
          <w:p w14:paraId="5DD4E568">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升一联合站</w:t>
            </w:r>
          </w:p>
        </w:tc>
        <w:tc>
          <w:tcPr>
            <w:tcW w:w="1561" w:type="dxa"/>
            <w:tcBorders>
              <w:tl2br w:val="nil"/>
              <w:tr2bl w:val="nil"/>
            </w:tcBorders>
            <w:shd w:val="clear" w:color="auto" w:fill="FFFFFF"/>
            <w:vAlign w:val="center"/>
          </w:tcPr>
          <w:p w14:paraId="1302BED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12400</w:t>
            </w:r>
          </w:p>
        </w:tc>
        <w:tc>
          <w:tcPr>
            <w:tcW w:w="1252" w:type="dxa"/>
            <w:tcBorders>
              <w:tl2br w:val="nil"/>
              <w:tr2bl w:val="nil"/>
            </w:tcBorders>
            <w:shd w:val="clear" w:color="auto" w:fill="FFFFFF"/>
            <w:vAlign w:val="center"/>
          </w:tcPr>
          <w:p w14:paraId="38B1DEF3">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1210" w:type="dxa"/>
            <w:tcBorders>
              <w:tl2br w:val="nil"/>
              <w:tr2bl w:val="nil"/>
            </w:tcBorders>
            <w:shd w:val="clear" w:color="auto" w:fill="auto"/>
            <w:vAlign w:val="center"/>
          </w:tcPr>
          <w:p w14:paraId="335BEB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w:t>
            </w:r>
          </w:p>
        </w:tc>
      </w:tr>
      <w:tr w14:paraId="5EF66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5272D04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1217" w:type="pct"/>
            <w:tcBorders>
              <w:tl2br w:val="nil"/>
              <w:tr2bl w:val="nil"/>
            </w:tcBorders>
            <w:shd w:val="clear" w:color="auto" w:fill="FFFFFF"/>
            <w:vAlign w:val="center"/>
          </w:tcPr>
          <w:p w14:paraId="3271BD7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407-6集油阀组间5环集油管道</w:t>
            </w:r>
          </w:p>
        </w:tc>
        <w:tc>
          <w:tcPr>
            <w:tcW w:w="939" w:type="pct"/>
            <w:tcBorders>
              <w:tl2br w:val="nil"/>
              <w:tr2bl w:val="nil"/>
            </w:tcBorders>
            <w:shd w:val="clear" w:color="auto" w:fill="FFFFFF"/>
            <w:vAlign w:val="center"/>
          </w:tcPr>
          <w:p w14:paraId="49FF99B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15-66井</w:t>
            </w:r>
          </w:p>
        </w:tc>
        <w:tc>
          <w:tcPr>
            <w:tcW w:w="1191" w:type="pct"/>
            <w:tcBorders>
              <w:tl2br w:val="nil"/>
              <w:tr2bl w:val="nil"/>
            </w:tcBorders>
            <w:shd w:val="clear" w:color="auto" w:fill="FFFFFF"/>
            <w:vAlign w:val="center"/>
          </w:tcPr>
          <w:p w14:paraId="2A65D304">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芳</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407-6集油阀组间</w:t>
            </w:r>
          </w:p>
        </w:tc>
        <w:tc>
          <w:tcPr>
            <w:tcW w:w="1561" w:type="dxa"/>
            <w:tcBorders>
              <w:tl2br w:val="nil"/>
              <w:tr2bl w:val="nil"/>
            </w:tcBorders>
            <w:shd w:val="clear" w:color="auto" w:fill="FFFFFF"/>
            <w:vAlign w:val="center"/>
          </w:tcPr>
          <w:p w14:paraId="65C6DE36">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2750</w:t>
            </w:r>
          </w:p>
        </w:tc>
        <w:tc>
          <w:tcPr>
            <w:tcW w:w="1252" w:type="dxa"/>
            <w:tcBorders>
              <w:tl2br w:val="nil"/>
              <w:tr2bl w:val="nil"/>
            </w:tcBorders>
            <w:shd w:val="clear" w:color="auto" w:fill="FFFFFF"/>
            <w:vAlign w:val="center"/>
          </w:tcPr>
          <w:p w14:paraId="145A79A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03BA006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r>
      <w:tr w14:paraId="42482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1AB218A4">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c>
          <w:tcPr>
            <w:tcW w:w="1217" w:type="pct"/>
            <w:tcBorders>
              <w:tl2br w:val="nil"/>
              <w:tr2bl w:val="nil"/>
            </w:tcBorders>
            <w:shd w:val="clear" w:color="auto" w:fill="FFFFFF"/>
            <w:vAlign w:val="center"/>
          </w:tcPr>
          <w:p w14:paraId="1A132C9E">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1-6集油阀组间1环集油管道</w:t>
            </w:r>
          </w:p>
        </w:tc>
        <w:tc>
          <w:tcPr>
            <w:tcW w:w="939" w:type="pct"/>
            <w:tcBorders>
              <w:tl2br w:val="nil"/>
              <w:tr2bl w:val="nil"/>
            </w:tcBorders>
            <w:shd w:val="clear" w:color="auto" w:fill="FFFFFF"/>
            <w:vAlign w:val="center"/>
          </w:tcPr>
          <w:p w14:paraId="0FF35DB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45-33井</w:t>
            </w:r>
          </w:p>
        </w:tc>
        <w:tc>
          <w:tcPr>
            <w:tcW w:w="1191" w:type="pct"/>
            <w:tcBorders>
              <w:tl2br w:val="nil"/>
              <w:tr2bl w:val="nil"/>
            </w:tcBorders>
            <w:shd w:val="clear" w:color="auto" w:fill="FFFFFF"/>
            <w:vAlign w:val="center"/>
          </w:tcPr>
          <w:p w14:paraId="66BE11B0">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1-6集油阀组间</w:t>
            </w:r>
          </w:p>
        </w:tc>
        <w:tc>
          <w:tcPr>
            <w:tcW w:w="1561" w:type="dxa"/>
            <w:tcBorders>
              <w:tl2br w:val="nil"/>
              <w:tr2bl w:val="nil"/>
            </w:tcBorders>
            <w:shd w:val="clear" w:color="auto" w:fill="FFFFFF"/>
            <w:vAlign w:val="center"/>
          </w:tcPr>
          <w:p w14:paraId="467B7645">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2060</w:t>
            </w:r>
          </w:p>
        </w:tc>
        <w:tc>
          <w:tcPr>
            <w:tcW w:w="1252" w:type="dxa"/>
            <w:tcBorders>
              <w:tl2br w:val="nil"/>
              <w:tr2bl w:val="nil"/>
            </w:tcBorders>
            <w:shd w:val="clear" w:color="auto" w:fill="FFFFFF"/>
            <w:vAlign w:val="center"/>
          </w:tcPr>
          <w:p w14:paraId="627C68B7">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3B7B9F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r>
      <w:tr w14:paraId="0A5DC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7B84C07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c>
          <w:tcPr>
            <w:tcW w:w="1217" w:type="pct"/>
            <w:tcBorders>
              <w:tl2br w:val="nil"/>
              <w:tr2bl w:val="nil"/>
            </w:tcBorders>
            <w:shd w:val="clear" w:color="auto" w:fill="FFFFFF"/>
            <w:vAlign w:val="center"/>
          </w:tcPr>
          <w:p w14:paraId="7DD8D27B">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1-2集油阀组间1环集油管道</w:t>
            </w:r>
          </w:p>
        </w:tc>
        <w:tc>
          <w:tcPr>
            <w:tcW w:w="939" w:type="pct"/>
            <w:tcBorders>
              <w:tl2br w:val="nil"/>
              <w:tr2bl w:val="nil"/>
            </w:tcBorders>
            <w:shd w:val="clear" w:color="auto" w:fill="FFFFFF"/>
            <w:vAlign w:val="center"/>
          </w:tcPr>
          <w:p w14:paraId="01EC579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29-29井</w:t>
            </w:r>
          </w:p>
        </w:tc>
        <w:tc>
          <w:tcPr>
            <w:tcW w:w="1191" w:type="pct"/>
            <w:tcBorders>
              <w:tl2br w:val="nil"/>
              <w:tr2bl w:val="nil"/>
            </w:tcBorders>
            <w:shd w:val="clear" w:color="auto" w:fill="FFFFFF"/>
            <w:vAlign w:val="center"/>
          </w:tcPr>
          <w:p w14:paraId="73BC752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1-2集油阀组间</w:t>
            </w:r>
          </w:p>
        </w:tc>
        <w:tc>
          <w:tcPr>
            <w:tcW w:w="1561" w:type="dxa"/>
            <w:tcBorders>
              <w:tl2br w:val="nil"/>
              <w:tr2bl w:val="nil"/>
            </w:tcBorders>
            <w:shd w:val="clear" w:color="auto" w:fill="FFFFFF"/>
            <w:vAlign w:val="center"/>
          </w:tcPr>
          <w:p w14:paraId="707512E5">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1800</w:t>
            </w:r>
          </w:p>
        </w:tc>
        <w:tc>
          <w:tcPr>
            <w:tcW w:w="1252" w:type="dxa"/>
            <w:tcBorders>
              <w:tl2br w:val="nil"/>
              <w:tr2bl w:val="nil"/>
            </w:tcBorders>
            <w:shd w:val="clear" w:color="auto" w:fill="FFFFFF"/>
            <w:vAlign w:val="center"/>
          </w:tcPr>
          <w:p w14:paraId="295F387D">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3ABBEA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r w14:paraId="45D63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5" w:type="pct"/>
            <w:tcBorders>
              <w:tl2br w:val="nil"/>
              <w:tr2bl w:val="nil"/>
            </w:tcBorders>
            <w:shd w:val="clear" w:color="auto" w:fill="FFFFFF"/>
            <w:vAlign w:val="center"/>
          </w:tcPr>
          <w:p w14:paraId="052E676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c>
          <w:tcPr>
            <w:tcW w:w="1217" w:type="pct"/>
            <w:tcBorders>
              <w:tl2br w:val="nil"/>
              <w:tr2bl w:val="nil"/>
            </w:tcBorders>
            <w:shd w:val="clear" w:color="auto" w:fill="FFFFFF"/>
            <w:vAlign w:val="center"/>
          </w:tcPr>
          <w:p w14:paraId="18422921">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升</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1-2集油阀组间6环集油管道</w:t>
            </w:r>
          </w:p>
        </w:tc>
        <w:tc>
          <w:tcPr>
            <w:tcW w:w="939" w:type="pct"/>
            <w:tcBorders>
              <w:tl2br w:val="nil"/>
              <w:tr2bl w:val="nil"/>
            </w:tcBorders>
            <w:shd w:val="clear" w:color="auto" w:fill="FFFFFF"/>
            <w:vAlign w:val="center"/>
          </w:tcPr>
          <w:p w14:paraId="5E86C064">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33-斜35井</w:t>
            </w:r>
          </w:p>
        </w:tc>
        <w:tc>
          <w:tcPr>
            <w:tcW w:w="1191" w:type="pct"/>
            <w:tcBorders>
              <w:tl2br w:val="nil"/>
              <w:tr2bl w:val="nil"/>
            </w:tcBorders>
            <w:shd w:val="clear" w:color="auto" w:fill="FFFFFF"/>
            <w:vAlign w:val="center"/>
          </w:tcPr>
          <w:p w14:paraId="54D5CC92">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1-2集油阀组间</w:t>
            </w:r>
          </w:p>
        </w:tc>
        <w:tc>
          <w:tcPr>
            <w:tcW w:w="1561" w:type="dxa"/>
            <w:tcBorders>
              <w:tl2br w:val="nil"/>
              <w:tr2bl w:val="nil"/>
            </w:tcBorders>
            <w:shd w:val="clear" w:color="auto" w:fill="FFFFFF"/>
            <w:vAlign w:val="center"/>
          </w:tcPr>
          <w:p w14:paraId="1CE7F3FC">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1650</w:t>
            </w:r>
          </w:p>
        </w:tc>
        <w:tc>
          <w:tcPr>
            <w:tcW w:w="1252" w:type="dxa"/>
            <w:tcBorders>
              <w:tl2br w:val="nil"/>
              <w:tr2bl w:val="nil"/>
            </w:tcBorders>
            <w:shd w:val="clear" w:color="auto" w:fill="FFFFFF"/>
            <w:vAlign w:val="center"/>
          </w:tcPr>
          <w:p w14:paraId="7BE416BF">
            <w:pPr>
              <w:keepNext w:val="0"/>
              <w:keepLines w:val="0"/>
              <w:pageBreakBefore w:val="0"/>
              <w:widowControl w:val="0"/>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1210" w:type="dxa"/>
            <w:tcBorders>
              <w:tl2br w:val="nil"/>
              <w:tr2bl w:val="nil"/>
            </w:tcBorders>
            <w:shd w:val="clear" w:color="auto" w:fill="auto"/>
            <w:vAlign w:val="center"/>
          </w:tcPr>
          <w:p w14:paraId="072EF8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r w14:paraId="7BCDA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574" w:type="pct"/>
            <w:gridSpan w:val="6"/>
            <w:tcBorders>
              <w:tl2br w:val="nil"/>
              <w:tr2bl w:val="nil"/>
            </w:tcBorders>
            <w:shd w:val="clear" w:color="auto" w:fill="auto"/>
            <w:vAlign w:val="center"/>
          </w:tcPr>
          <w:p w14:paraId="1A69C481">
            <w:pPr>
              <w:keepNext w:val="0"/>
              <w:keepLines w:val="0"/>
              <w:pageBreakBefore w:val="0"/>
              <w:widowControl w:val="0"/>
              <w:kinsoku/>
              <w:wordWrap/>
              <w:overflowPunct/>
              <w:topLinePunct w:val="0"/>
              <w:autoSpaceDE/>
              <w:autoSpaceDN/>
              <w:bidi w:val="0"/>
              <w:spacing w:after="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合计</w:t>
            </w:r>
          </w:p>
        </w:tc>
        <w:tc>
          <w:tcPr>
            <w:tcW w:w="425" w:type="pct"/>
            <w:tcBorders>
              <w:tl2br w:val="nil"/>
              <w:tr2bl w:val="nil"/>
            </w:tcBorders>
            <w:shd w:val="clear" w:color="auto" w:fill="auto"/>
            <w:vAlign w:val="center"/>
          </w:tcPr>
          <w:p w14:paraId="50F27E59">
            <w:pPr>
              <w:keepNext w:val="0"/>
              <w:keepLines w:val="0"/>
              <w:pageBreakBefore w:val="0"/>
              <w:widowControl w:val="0"/>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118</w:t>
            </w:r>
          </w:p>
        </w:tc>
      </w:tr>
    </w:tbl>
    <w:p w14:paraId="685BA531">
      <w:pPr>
        <w:rPr>
          <w:rStyle w:val="35"/>
          <w:rFonts w:hint="default" w:ascii="Times New Roman" w:hAnsi="Times New Roman" w:cs="Times New Roman"/>
          <w:b/>
          <w:color w:val="000000" w:themeColor="text1"/>
          <w:highlight w:val="none"/>
          <w:lang w:val="en-US" w:eastAsia="zh-CN"/>
          <w14:textFill>
            <w14:solidFill>
              <w14:schemeClr w14:val="tx1"/>
            </w14:solidFill>
          </w14:textFill>
        </w:rPr>
      </w:pPr>
    </w:p>
    <w:p w14:paraId="64EE87C8">
      <w:pPr>
        <w:pStyle w:val="32"/>
        <w:rPr>
          <w:rFonts w:hint="default"/>
          <w:color w:val="000000" w:themeColor="text1"/>
          <w:highlight w:val="none"/>
          <w:lang w:val="en-US" w:eastAsia="zh-CN"/>
          <w14:textFill>
            <w14:solidFill>
              <w14:schemeClr w14:val="tx1"/>
            </w14:solidFill>
          </w14:textFill>
        </w:rPr>
        <w:sectPr>
          <w:pgSz w:w="16838" w:h="11906" w:orient="landscape"/>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382C04B4">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3.4.2</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排水</w:t>
      </w:r>
    </w:p>
    <w:p w14:paraId="1CE2E743">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bookmarkStart w:id="64" w:name="_Hlk73325481"/>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3.4.2.1施工期</w:t>
      </w:r>
    </w:p>
    <w:p w14:paraId="73E241A4">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施工期废水包括</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废弃管道清管废水、</w:t>
      </w:r>
      <w:r>
        <w:rPr>
          <w:rFonts w:hint="default" w:ascii="Times New Roman" w:hAnsi="Times New Roman" w:eastAsia="宋体" w:cs="Times New Roman"/>
          <w:color w:val="000000" w:themeColor="text1"/>
          <w:sz w:val="24"/>
          <w:szCs w:val="24"/>
          <w:highlight w:val="none"/>
          <w14:textFill>
            <w14:solidFill>
              <w14:schemeClr w14:val="tx1"/>
            </w14:solidFill>
          </w14:textFill>
        </w:rPr>
        <w:t>管道试压废水和生活污水。</w:t>
      </w:r>
    </w:p>
    <w:p w14:paraId="3129B3DB">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（1）废弃管道清管废水</w:t>
      </w:r>
    </w:p>
    <w:p w14:paraId="65B153AB">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项目虽对现有管道进行更换，但需依据管道设置的截断阀整体进行清洗，废弃管道清管用水量为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353t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，清管废水按用水量的95%计算，清管废水产生量为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335.4t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主要污染因子为石油类、SS，由罐车拉运至</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处理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，达标后回注现役油层。</w:t>
      </w:r>
    </w:p>
    <w:p w14:paraId="3C9CE2A2">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（2）新建管道试压废水</w:t>
      </w:r>
    </w:p>
    <w:p w14:paraId="66BC832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新建管道要进行试压作</w:t>
      </w:r>
      <w:r>
        <w:rPr>
          <w:rFonts w:hint="default" w:ascii="Times New Roman" w:hAnsi="Times New Roman" w:eastAsia="宋体" w:cs="Times New Roman"/>
          <w:snapToGrid w:val="0"/>
          <w:color w:val="000000" w:themeColor="text1"/>
          <w:sz w:val="24"/>
          <w:szCs w:val="21"/>
          <w:highlight w:val="none"/>
          <w:lang w:val="en-US" w:eastAsia="zh-CN" w:bidi="ar-SA"/>
          <w14:textFill>
            <w14:solidFill>
              <w14:schemeClr w14:val="tx1"/>
            </w14:solidFill>
          </w14:textFill>
        </w:rPr>
        <w:t>业，管道试压总用水量为</w:t>
      </w:r>
      <w:r>
        <w:rPr>
          <w:rFonts w:hint="eastAsia" w:ascii="Times New Roman" w:hAnsi="Times New Roman" w:eastAsia="宋体" w:cs="Times New Roman"/>
          <w:snapToGrid w:val="0"/>
          <w:color w:val="000000" w:themeColor="text1"/>
          <w:sz w:val="24"/>
          <w:szCs w:val="21"/>
          <w:highlight w:val="none"/>
          <w:lang w:val="en-US" w:eastAsia="zh-CN" w:bidi="ar-SA"/>
          <w14:textFill>
            <w14:solidFill>
              <w14:schemeClr w14:val="tx1"/>
            </w14:solidFill>
          </w14:textFill>
        </w:rPr>
        <w:t>118t</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试压废水按用水量的95%计算，</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试压废水产生量为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112.1t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主要污染因子为石油类、SS，由罐车拉运至</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处理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，达标后回注现役油层。</w:t>
      </w:r>
    </w:p>
    <w:p w14:paraId="77925BD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（3）生活污水</w:t>
      </w:r>
    </w:p>
    <w:p w14:paraId="6BE5A4BB">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生活污水按用水量的80%计算，则本工程施工期共产生生活污水</w:t>
      </w:r>
      <w:r>
        <w:rPr>
          <w:rFonts w:hint="eastAsia" w:cs="Times New Roman"/>
          <w:snapToGrid w:val="0"/>
          <w:color w:val="000000" w:themeColor="text1"/>
          <w:sz w:val="24"/>
          <w:szCs w:val="20"/>
          <w:highlight w:val="none"/>
          <w:lang w:val="en-US" w:eastAsia="zh-CN" w:bidi="ar-SA"/>
          <w14:textFill>
            <w14:solidFill>
              <w14:schemeClr w14:val="tx1"/>
            </w14:solidFill>
          </w14:textFill>
        </w:rPr>
        <w:t>57.6t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1FF76037">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w:t>
      </w:r>
      <w:r>
        <w:rPr>
          <w:rFonts w:hint="eastAsia"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，本项目施工现场距离周边已建集油阀组间、配水间距离约为0-1km，施工人员步行或乘施工车辆进入附近集油阀组间防渗旱厕，</w:t>
      </w:r>
      <w:r>
        <w:rPr>
          <w:rFonts w:hint="eastAsia"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7BACEC02">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3.4.2.2运营期</w:t>
      </w:r>
    </w:p>
    <w:p w14:paraId="0595FB25">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本项目为</w:t>
      </w:r>
      <w:r>
        <w:rPr>
          <w:rFonts w:hint="eastAsia" w:cs="Times New Roman"/>
          <w:snapToGrid w:val="0"/>
          <w:color w:val="000000" w:themeColor="text1"/>
          <w:sz w:val="24"/>
          <w:szCs w:val="20"/>
          <w:highlight w:val="none"/>
          <w:lang w:val="en-US" w:eastAsia="zh-CN" w:bidi="ar-SA"/>
          <w14:textFill>
            <w14:solidFill>
              <w14:schemeClr w14:val="tx1"/>
            </w14:solidFill>
          </w14:textFill>
        </w:rPr>
        <w:t>管道改造工程</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，不涉及运营期</w:t>
      </w:r>
      <w:r>
        <w:rPr>
          <w:rFonts w:hint="eastAsia" w:cs="Times New Roman"/>
          <w:snapToGrid w:val="0"/>
          <w:color w:val="000000" w:themeColor="text1"/>
          <w:sz w:val="24"/>
          <w:szCs w:val="20"/>
          <w:highlight w:val="none"/>
          <w:lang w:val="en-US" w:eastAsia="zh-CN" w:bidi="ar-SA"/>
          <w14:textFill>
            <w14:solidFill>
              <w14:schemeClr w14:val="tx1"/>
            </w14:solidFill>
          </w14:textFill>
        </w:rPr>
        <w:t>排水</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49FC08F">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3.4.2.3退役期</w:t>
      </w:r>
    </w:p>
    <w:p w14:paraId="541A2AA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退役期废水为废弃管道清洗废水。</w:t>
      </w:r>
    </w:p>
    <w:p w14:paraId="1AB013D4">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退役期管道清管用水量为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353t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，则管道清管</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废水</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335.4t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199C28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项目水平衡图见图3.4-1。</w:t>
      </w:r>
    </w:p>
    <w:p w14:paraId="16316EC7">
      <w:pPr>
        <w:keepNext w:val="0"/>
        <w:keepLines w:val="0"/>
        <w:pageBreakBefore w:val="0"/>
        <w:widowControl w:val="0"/>
        <w:kinsoku/>
        <w:wordWrap/>
        <w:topLinePunct w:val="0"/>
        <w:bidi w:val="0"/>
        <w:adjustRightInd/>
        <w:snapToGrid/>
        <w:spacing w:after="0" w:line="360" w:lineRule="auto"/>
        <w:jc w:val="cente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58180" cy="2386330"/>
            <wp:effectExtent l="0" t="0" r="13970"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758180" cy="2386330"/>
                    </a:xfrm>
                    <a:prstGeom prst="rect">
                      <a:avLst/>
                    </a:prstGeom>
                    <a:noFill/>
                    <a:ln>
                      <a:noFill/>
                    </a:ln>
                  </pic:spPr>
                </pic:pic>
              </a:graphicData>
            </a:graphic>
          </wp:inline>
        </w:drawing>
      </w:r>
    </w:p>
    <w:p w14:paraId="72ACE1E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82" w:firstLineChars="200"/>
        <w:jc w:val="center"/>
        <w:textAlignment w:val="auto"/>
        <w:rPr>
          <w:rFonts w:hint="default"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z w:val="24"/>
          <w:szCs w:val="20"/>
          <w:highlight w:val="none"/>
          <w:lang w:val="en-US" w:eastAsia="zh-CN" w:bidi="ar-SA"/>
          <w14:textFill>
            <w14:solidFill>
              <w14:schemeClr w14:val="tx1"/>
            </w14:solidFill>
          </w14:textFill>
        </w:rPr>
        <w:t>图3.4-1本项目水平衡图</w:t>
      </w:r>
    </w:p>
    <w:p w14:paraId="6339169D">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供电工程</w:t>
      </w:r>
    </w:p>
    <w:p w14:paraId="12EBFCB1">
      <w:pPr>
        <w:pStyle w:val="34"/>
        <w:keepNext w:val="0"/>
        <w:keepLines w:val="0"/>
        <w:pageBreakBefore w:val="0"/>
        <w:widowControl w:val="0"/>
        <w:kinsoku/>
        <w:wordWrap/>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本项目施工期用电依托</w:t>
      </w:r>
      <w:r>
        <w:rPr>
          <w:rFonts w:hint="eastAsia" w:cs="Times New Roman"/>
          <w:color w:val="000000" w:themeColor="text1"/>
          <w:kern w:val="0"/>
          <w:sz w:val="24"/>
          <w:szCs w:val="24"/>
          <w:highlight w:val="none"/>
          <w:lang w:val="en-US" w:eastAsia="zh-CN"/>
          <w14:textFill>
            <w14:solidFill>
              <w14:schemeClr w14:val="tx1"/>
            </w14:solidFill>
          </w14:textFill>
        </w:rPr>
        <w:t>第八采油厂</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已建油田供电线路。</w:t>
      </w:r>
    </w:p>
    <w:bookmarkEnd w:id="63"/>
    <w:bookmarkEnd w:id="64"/>
    <w:p w14:paraId="278C8DDF">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3.4.4供暖工程</w:t>
      </w:r>
    </w:p>
    <w:p w14:paraId="4F3E4997">
      <w:pPr>
        <w:keepNext w:val="0"/>
        <w:keepLines w:val="0"/>
        <w:pageBreakBefore w:val="0"/>
        <w:widowControl w:val="0"/>
        <w:kinsoku/>
        <w:wordWrap/>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施工期不设置施工营地，无需供暖</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EC41FFF">
      <w:pPr>
        <w:keepNext w:val="0"/>
        <w:keepLines w:val="0"/>
        <w:pageBreakBefore w:val="0"/>
        <w:widowControl w:val="0"/>
        <w:kinsoku/>
        <w:wordWrap/>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本项目运营期无需用电及供暖。</w:t>
      </w:r>
    </w:p>
    <w:p w14:paraId="712D3D06">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65" w:name="_Toc32602"/>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工艺流程及产污环节分析</w:t>
      </w:r>
      <w:bookmarkEnd w:id="65"/>
    </w:p>
    <w:p w14:paraId="37EDCCA3">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3.5.1原辅材料消耗</w:t>
      </w:r>
    </w:p>
    <w:p w14:paraId="13F691D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生产、生活用水量见公用工程分析。</w:t>
      </w:r>
    </w:p>
    <w:p w14:paraId="04E76FC0">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根据设计方案，本项目使用药芯焊丝焊接管道，利用二氧化碳气体</w:t>
      </w: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作为</w:t>
      </w: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保护气体，焊丝用量为</w:t>
      </w: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t。</w:t>
      </w:r>
    </w:p>
    <w:p w14:paraId="51BB6FC9">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本项目主要物料消耗表见表3.5-1。</w:t>
      </w:r>
    </w:p>
    <w:p w14:paraId="754C186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482" w:firstLineChars="200"/>
        <w:jc w:val="center"/>
        <w:textAlignment w:val="auto"/>
        <w:rPr>
          <w:rFonts w:hint="default" w:ascii="Times New Roman" w:hAnsi="Times New Roman" w:eastAsia="宋体" w:cs="Times New Roman"/>
          <w:b/>
          <w:bCs/>
          <w:snapToGrid w:val="0"/>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0"/>
          <w:highlight w:val="none"/>
          <w:lang w:val="en-US" w:eastAsia="zh-CN" w:bidi="ar-SA"/>
          <w14:textFill>
            <w14:solidFill>
              <w14:schemeClr w14:val="tx1"/>
            </w14:solidFill>
          </w14:textFill>
        </w:rPr>
        <w:t>表3.5-1本项目主要物料消耗表</w:t>
      </w:r>
    </w:p>
    <w:tbl>
      <w:tblPr>
        <w:tblStyle w:val="19"/>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285"/>
        <w:gridCol w:w="2821"/>
        <w:gridCol w:w="1320"/>
        <w:gridCol w:w="2005"/>
      </w:tblGrid>
      <w:tr w14:paraId="6CACB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tcBorders>
              <w:tl2br w:val="nil"/>
              <w:tr2bl w:val="nil"/>
            </w:tcBorders>
            <w:vAlign w:val="center"/>
          </w:tcPr>
          <w:p w14:paraId="0D9CE49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序号</w:t>
            </w:r>
          </w:p>
        </w:tc>
        <w:tc>
          <w:tcPr>
            <w:tcW w:w="1285" w:type="dxa"/>
            <w:tcBorders>
              <w:tl2br w:val="nil"/>
              <w:tr2bl w:val="nil"/>
            </w:tcBorders>
            <w:vAlign w:val="center"/>
          </w:tcPr>
          <w:p w14:paraId="530730A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时期</w:t>
            </w:r>
          </w:p>
        </w:tc>
        <w:tc>
          <w:tcPr>
            <w:tcW w:w="2821" w:type="dxa"/>
            <w:tcBorders>
              <w:tl2br w:val="nil"/>
              <w:tr2bl w:val="nil"/>
            </w:tcBorders>
            <w:vAlign w:val="center"/>
          </w:tcPr>
          <w:p w14:paraId="35106F4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项目</w:t>
            </w:r>
          </w:p>
        </w:tc>
        <w:tc>
          <w:tcPr>
            <w:tcW w:w="1320" w:type="dxa"/>
            <w:tcBorders>
              <w:tl2br w:val="nil"/>
              <w:tr2bl w:val="nil"/>
            </w:tcBorders>
            <w:vAlign w:val="center"/>
          </w:tcPr>
          <w:p w14:paraId="770BA45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原辅材料</w:t>
            </w:r>
          </w:p>
        </w:tc>
        <w:tc>
          <w:tcPr>
            <w:tcW w:w="2005" w:type="dxa"/>
            <w:tcBorders>
              <w:tl2br w:val="nil"/>
              <w:tr2bl w:val="nil"/>
            </w:tcBorders>
            <w:vAlign w:val="center"/>
          </w:tcPr>
          <w:p w14:paraId="686D420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总用量</w:t>
            </w:r>
          </w:p>
        </w:tc>
      </w:tr>
      <w:tr w14:paraId="7CB60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tcBorders>
              <w:tl2br w:val="nil"/>
              <w:tr2bl w:val="nil"/>
            </w:tcBorders>
            <w:vAlign w:val="center"/>
          </w:tcPr>
          <w:p w14:paraId="7FA3AEE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1</w:t>
            </w:r>
          </w:p>
        </w:tc>
        <w:tc>
          <w:tcPr>
            <w:tcW w:w="1285" w:type="dxa"/>
            <w:vMerge w:val="restart"/>
            <w:tcBorders>
              <w:tl2br w:val="nil"/>
              <w:tr2bl w:val="nil"/>
            </w:tcBorders>
            <w:vAlign w:val="center"/>
          </w:tcPr>
          <w:p w14:paraId="67742D3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施工期</w:t>
            </w:r>
          </w:p>
        </w:tc>
        <w:tc>
          <w:tcPr>
            <w:tcW w:w="2821" w:type="dxa"/>
            <w:tcBorders>
              <w:tl2br w:val="nil"/>
              <w:tr2bl w:val="nil"/>
            </w:tcBorders>
            <w:vAlign w:val="center"/>
          </w:tcPr>
          <w:p w14:paraId="294149A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t>废弃管道清管用水</w:t>
            </w:r>
          </w:p>
        </w:tc>
        <w:tc>
          <w:tcPr>
            <w:tcW w:w="1320" w:type="dxa"/>
            <w:tcBorders>
              <w:tl2br w:val="nil"/>
              <w:tr2bl w:val="nil"/>
            </w:tcBorders>
            <w:vAlign w:val="center"/>
          </w:tcPr>
          <w:p w14:paraId="70C113B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水</w:t>
            </w:r>
          </w:p>
        </w:tc>
        <w:tc>
          <w:tcPr>
            <w:tcW w:w="2005" w:type="dxa"/>
            <w:tcBorders>
              <w:tl2br w:val="nil"/>
              <w:tr2bl w:val="nil"/>
            </w:tcBorders>
            <w:vAlign w:val="center"/>
          </w:tcPr>
          <w:p w14:paraId="649E5B4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353t</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/施工期</w:t>
            </w:r>
          </w:p>
        </w:tc>
      </w:tr>
      <w:tr w14:paraId="75090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tcBorders>
              <w:tl2br w:val="nil"/>
              <w:tr2bl w:val="nil"/>
            </w:tcBorders>
            <w:vAlign w:val="center"/>
          </w:tcPr>
          <w:p w14:paraId="098C67C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2</w:t>
            </w:r>
          </w:p>
        </w:tc>
        <w:tc>
          <w:tcPr>
            <w:tcW w:w="1285" w:type="dxa"/>
            <w:vMerge w:val="continue"/>
            <w:tcBorders>
              <w:tl2br w:val="nil"/>
              <w:tr2bl w:val="nil"/>
            </w:tcBorders>
            <w:vAlign w:val="center"/>
          </w:tcPr>
          <w:p w14:paraId="19ADBF3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p>
        </w:tc>
        <w:tc>
          <w:tcPr>
            <w:tcW w:w="2821" w:type="dxa"/>
            <w:tcBorders>
              <w:tl2br w:val="nil"/>
              <w:tr2bl w:val="nil"/>
            </w:tcBorders>
            <w:vAlign w:val="center"/>
          </w:tcPr>
          <w:p w14:paraId="13F66A5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管道试压用水</w:t>
            </w:r>
          </w:p>
        </w:tc>
        <w:tc>
          <w:tcPr>
            <w:tcW w:w="1320" w:type="dxa"/>
            <w:tcBorders>
              <w:tl2br w:val="nil"/>
              <w:tr2bl w:val="nil"/>
            </w:tcBorders>
            <w:vAlign w:val="center"/>
          </w:tcPr>
          <w:p w14:paraId="1297809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水</w:t>
            </w:r>
          </w:p>
        </w:tc>
        <w:tc>
          <w:tcPr>
            <w:tcW w:w="2005" w:type="dxa"/>
            <w:tcBorders>
              <w:tl2br w:val="nil"/>
              <w:tr2bl w:val="nil"/>
            </w:tcBorders>
            <w:vAlign w:val="center"/>
          </w:tcPr>
          <w:p w14:paraId="2D61855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118t</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/施工期</w:t>
            </w:r>
          </w:p>
        </w:tc>
      </w:tr>
      <w:tr w14:paraId="11E22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7" w:type="dxa"/>
            <w:tcBorders>
              <w:tl2br w:val="nil"/>
              <w:tr2bl w:val="nil"/>
            </w:tcBorders>
            <w:vAlign w:val="center"/>
          </w:tcPr>
          <w:p w14:paraId="440CF7E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3</w:t>
            </w:r>
          </w:p>
        </w:tc>
        <w:tc>
          <w:tcPr>
            <w:tcW w:w="1285" w:type="dxa"/>
            <w:vMerge w:val="continue"/>
            <w:tcBorders>
              <w:tl2br w:val="nil"/>
              <w:tr2bl w:val="nil"/>
            </w:tcBorders>
            <w:vAlign w:val="center"/>
          </w:tcPr>
          <w:p w14:paraId="6909315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p>
        </w:tc>
        <w:tc>
          <w:tcPr>
            <w:tcW w:w="2821" w:type="dxa"/>
            <w:tcBorders>
              <w:tl2br w:val="nil"/>
              <w:tr2bl w:val="nil"/>
            </w:tcBorders>
            <w:vAlign w:val="center"/>
          </w:tcPr>
          <w:p w14:paraId="7235539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施工期生活用水</w:t>
            </w:r>
          </w:p>
        </w:tc>
        <w:tc>
          <w:tcPr>
            <w:tcW w:w="1320" w:type="dxa"/>
            <w:tcBorders>
              <w:tl2br w:val="nil"/>
              <w:tr2bl w:val="nil"/>
            </w:tcBorders>
            <w:vAlign w:val="center"/>
          </w:tcPr>
          <w:p w14:paraId="5097651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水</w:t>
            </w:r>
          </w:p>
        </w:tc>
        <w:tc>
          <w:tcPr>
            <w:tcW w:w="2005" w:type="dxa"/>
            <w:tcBorders>
              <w:tl2br w:val="nil"/>
              <w:tr2bl w:val="nil"/>
            </w:tcBorders>
            <w:vAlign w:val="center"/>
          </w:tcPr>
          <w:p w14:paraId="130A49F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72t</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/施工期</w:t>
            </w:r>
          </w:p>
        </w:tc>
      </w:tr>
      <w:tr w14:paraId="53FC2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7" w:type="dxa"/>
            <w:tcBorders>
              <w:tl2br w:val="nil"/>
              <w:tr2bl w:val="nil"/>
            </w:tcBorders>
            <w:vAlign w:val="center"/>
          </w:tcPr>
          <w:p w14:paraId="509A594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4</w:t>
            </w:r>
          </w:p>
        </w:tc>
        <w:tc>
          <w:tcPr>
            <w:tcW w:w="1285" w:type="dxa"/>
            <w:vMerge w:val="continue"/>
            <w:tcBorders>
              <w:tl2br w:val="nil"/>
              <w:tr2bl w:val="nil"/>
            </w:tcBorders>
            <w:vAlign w:val="center"/>
          </w:tcPr>
          <w:p w14:paraId="108FC19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p>
        </w:tc>
        <w:tc>
          <w:tcPr>
            <w:tcW w:w="2821" w:type="dxa"/>
            <w:tcBorders>
              <w:tl2br w:val="nil"/>
              <w:tr2bl w:val="nil"/>
            </w:tcBorders>
            <w:vAlign w:val="center"/>
          </w:tcPr>
          <w:p w14:paraId="432A342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管道焊接焊材</w:t>
            </w:r>
          </w:p>
        </w:tc>
        <w:tc>
          <w:tcPr>
            <w:tcW w:w="1320" w:type="dxa"/>
            <w:tcBorders>
              <w:tl2br w:val="nil"/>
              <w:tr2bl w:val="nil"/>
            </w:tcBorders>
            <w:vAlign w:val="center"/>
          </w:tcPr>
          <w:p w14:paraId="6BED2B5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焊丝</w:t>
            </w:r>
          </w:p>
        </w:tc>
        <w:tc>
          <w:tcPr>
            <w:tcW w:w="2005" w:type="dxa"/>
            <w:tcBorders>
              <w:tl2br w:val="nil"/>
              <w:tr2bl w:val="nil"/>
            </w:tcBorders>
            <w:vAlign w:val="center"/>
          </w:tcPr>
          <w:p w14:paraId="2D75A53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t/施工期</w:t>
            </w:r>
          </w:p>
        </w:tc>
      </w:tr>
      <w:tr w14:paraId="3E13C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857" w:type="dxa"/>
            <w:tcBorders>
              <w:tl2br w:val="nil"/>
              <w:tr2bl w:val="nil"/>
            </w:tcBorders>
            <w:vAlign w:val="center"/>
          </w:tcPr>
          <w:p w14:paraId="3E55A3D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5</w:t>
            </w:r>
          </w:p>
        </w:tc>
        <w:tc>
          <w:tcPr>
            <w:tcW w:w="1285" w:type="dxa"/>
            <w:tcBorders>
              <w:tl2br w:val="nil"/>
              <w:tr2bl w:val="nil"/>
            </w:tcBorders>
            <w:vAlign w:val="center"/>
          </w:tcPr>
          <w:p w14:paraId="4385C11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退役期</w:t>
            </w:r>
          </w:p>
        </w:tc>
        <w:tc>
          <w:tcPr>
            <w:tcW w:w="2821" w:type="dxa"/>
            <w:tcBorders>
              <w:tl2br w:val="nil"/>
              <w:tr2bl w:val="nil"/>
            </w:tcBorders>
            <w:vAlign w:val="center"/>
          </w:tcPr>
          <w:p w14:paraId="71A1A88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废弃管道清管用水</w:t>
            </w:r>
          </w:p>
        </w:tc>
        <w:tc>
          <w:tcPr>
            <w:tcW w:w="1320" w:type="dxa"/>
            <w:tcBorders>
              <w:tl2br w:val="nil"/>
              <w:tr2bl w:val="nil"/>
            </w:tcBorders>
            <w:vAlign w:val="center"/>
          </w:tcPr>
          <w:p w14:paraId="10B80F7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水</w:t>
            </w:r>
          </w:p>
        </w:tc>
        <w:tc>
          <w:tcPr>
            <w:tcW w:w="2005" w:type="dxa"/>
            <w:tcBorders>
              <w:tl2br w:val="nil"/>
              <w:tr2bl w:val="nil"/>
            </w:tcBorders>
            <w:vAlign w:val="center"/>
          </w:tcPr>
          <w:p w14:paraId="5A9BED9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353t</w:t>
            </w:r>
          </w:p>
        </w:tc>
      </w:tr>
    </w:tbl>
    <w:p w14:paraId="475F8769">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3.5.2施工期工艺流程及产污</w:t>
      </w:r>
    </w:p>
    <w:p w14:paraId="30622A5C">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3.5.2.1</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现有</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管道施工工艺流程及产污环节</w:t>
      </w:r>
    </w:p>
    <w:p w14:paraId="4CEE183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根据《报废油气长输管道处置技术规范》</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SY/T7413-2018），报废管道处置方式包括拆除和就地弃置两种。</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本项目采取将废弃管道两端封堵后埋于地下弃置。</w:t>
      </w:r>
    </w:p>
    <w:p w14:paraId="577050B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在施工前，项目拟更换管段停止含水原油、含油污水的输送作业。首先对现有</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进行全管段通球扫线，打开通球阀，投球，在用罐车充装的氮气高压推动下通球在</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内</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匀速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穿过，将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内含水原油、含油污水推入后续集输系统，达到管内清除残油的目的。</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然后，</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慢</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打开</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阀门进行扫线</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控制扫线压力≤2.5MPa</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，当管线末端见气无液体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或有明显气体流动声音10分钟以后</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时扫线</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合格</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结束，同时关闭两端阀门。通球扫线后关闭</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管道两端的截断阀，将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的两端切断，对废弃管道进行清洗。清洗完成后用罐车充装的氮气对管道进行吹扫，吹扫后将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两端封堵</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后</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埋于地下。</w:t>
      </w:r>
    </w:p>
    <w:p w14:paraId="340C7E6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输气管道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施工前</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进行全程氮气置换，达到停运条件后，再进行全管段通球清扫。</w:t>
      </w:r>
    </w:p>
    <w:p w14:paraId="5F7B2C4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项目现有</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施工工艺流程及产污详见图3.5-1。</w:t>
      </w:r>
    </w:p>
    <w:p w14:paraId="7D1C4AA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40" w:firstLineChars="200"/>
        <w:jc w:val="center"/>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91710" cy="4168775"/>
            <wp:effectExtent l="0" t="0" r="889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4791710" cy="4168775"/>
                    </a:xfrm>
                    <a:prstGeom prst="rect">
                      <a:avLst/>
                    </a:prstGeom>
                    <a:noFill/>
                    <a:ln>
                      <a:noFill/>
                    </a:ln>
                  </pic:spPr>
                </pic:pic>
              </a:graphicData>
            </a:graphic>
          </wp:inline>
        </w:drawing>
      </w:r>
    </w:p>
    <w:p w14:paraId="170EABBC">
      <w:pPr>
        <w:pStyle w:val="34"/>
        <w:keepNext w:val="0"/>
        <w:keepLines w:val="0"/>
        <w:pageBreakBefore w:val="0"/>
        <w:widowControl w:val="0"/>
        <w:numPr>
          <w:ilvl w:val="0"/>
          <w:numId w:val="0"/>
        </w:numPr>
        <w:kinsoku/>
        <w:wordWrap/>
        <w:topLinePunct w:val="0"/>
        <w:bidi w:val="0"/>
        <w:jc w:val="cente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color w:val="000000" w:themeColor="text1"/>
          <w:kern w:val="0"/>
          <w:sz w:val="24"/>
          <w:szCs w:val="24"/>
          <w:highlight w:val="none"/>
          <w:lang w:val="en-US" w:eastAsia="zh-CN" w:bidi="ar-SA"/>
          <w14:textFill>
            <w14:solidFill>
              <w14:schemeClr w14:val="tx1"/>
            </w14:solidFill>
          </w14:textFill>
        </w:rPr>
        <w:t>图3.5-1现有管道施工工艺流程及产污环节图</w:t>
      </w:r>
    </w:p>
    <w:p w14:paraId="7C0F3B2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本项目现有</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施工过程主要产污环节有管道焊接产生的焊接烟尘、施工机械及运输车辆排放的尾气，施工机械设备运行噪声、运输车辆产生的噪声，清洗废水，施工废料，以及施工人员产生的生活污水和生活垃圾。</w:t>
      </w:r>
    </w:p>
    <w:p w14:paraId="0F210C98">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3.5.2.2新建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管道施工工艺流程及产污环节</w:t>
      </w:r>
    </w:p>
    <w:p w14:paraId="289C7F5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新建管道施工程序为：测量定线，施工作业带清理，然后开挖管沟，穿越工程施工；运管、布管、再组焊管道、下沟管道，回填，清水试压，覆土回填、清理施工现场、植被恢复，管道施工产污节点图见图3.5-2。</w:t>
      </w:r>
    </w:p>
    <w:p w14:paraId="71BE6A9E">
      <w:pPr>
        <w:keepNext w:val="0"/>
        <w:keepLines w:val="0"/>
        <w:pageBreakBefore w:val="0"/>
        <w:widowControl w:val="0"/>
        <w:kinsoku/>
        <w:wordWrap/>
        <w:overflowPunct/>
        <w:topLinePunct w:val="0"/>
        <w:bidi w:val="0"/>
        <w:adjustRightInd w:val="0"/>
        <w:snapToGrid w:val="0"/>
        <w:spacing w:after="0" w:line="240" w:lineRule="auto"/>
        <w:jc w:val="center"/>
        <w:textAlignment w:val="auto"/>
        <w:rPr>
          <w:rFonts w:hint="default" w:ascii="Times New Roman" w:hAnsi="Times New Roman" w:eastAsia="微软雅黑" w:cs="Times New Roman"/>
          <w:color w:val="000000" w:themeColor="text1"/>
          <w:kern w:val="0"/>
          <w:sz w:val="22"/>
          <w:szCs w:val="22"/>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648325" cy="5229225"/>
            <wp:effectExtent l="0" t="0" r="9525"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4"/>
                    <a:stretch>
                      <a:fillRect/>
                    </a:stretch>
                  </pic:blipFill>
                  <pic:spPr>
                    <a:xfrm>
                      <a:off x="0" y="0"/>
                      <a:ext cx="5648325" cy="5229225"/>
                    </a:xfrm>
                    <a:prstGeom prst="rect">
                      <a:avLst/>
                    </a:prstGeom>
                    <a:noFill/>
                    <a:ln>
                      <a:noFill/>
                    </a:ln>
                  </pic:spPr>
                </pic:pic>
              </a:graphicData>
            </a:graphic>
          </wp:inline>
        </w:drawing>
      </w:r>
    </w:p>
    <w:p w14:paraId="752282DE">
      <w:pPr>
        <w:pStyle w:val="34"/>
        <w:keepNext w:val="0"/>
        <w:keepLines w:val="0"/>
        <w:pageBreakBefore w:val="0"/>
        <w:widowControl w:val="0"/>
        <w:numPr>
          <w:ilvl w:val="0"/>
          <w:numId w:val="0"/>
        </w:numPr>
        <w:kinsoku/>
        <w:wordWrap/>
        <w:topLinePunct w:val="0"/>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snapToGrid/>
          <w:color w:val="000000" w:themeColor="text1"/>
          <w:kern w:val="0"/>
          <w:sz w:val="24"/>
          <w:szCs w:val="24"/>
          <w:highlight w:val="none"/>
          <w:lang w:val="en-US" w:eastAsia="zh-CN" w:bidi="ar-SA"/>
          <w14:textFill>
            <w14:solidFill>
              <w14:schemeClr w14:val="tx1"/>
            </w14:solidFill>
          </w14:textFill>
        </w:rPr>
        <w:t>图3.5-2新建</w:t>
      </w:r>
      <w:r>
        <w:rPr>
          <w:rFonts w:hint="eastAsia" w:cs="Times New Roman"/>
          <w:b/>
          <w:snapToGrid/>
          <w:color w:val="000000" w:themeColor="text1"/>
          <w:kern w:val="0"/>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b/>
          <w:snapToGrid/>
          <w:color w:val="000000" w:themeColor="text1"/>
          <w:kern w:val="0"/>
          <w:sz w:val="24"/>
          <w:szCs w:val="24"/>
          <w:highlight w:val="none"/>
          <w:lang w:val="en-US" w:eastAsia="zh-CN" w:bidi="ar-SA"/>
          <w14:textFill>
            <w14:solidFill>
              <w14:schemeClr w14:val="tx1"/>
            </w14:solidFill>
          </w14:textFill>
        </w:rPr>
        <w:t>施工工艺流程及产污环节图</w:t>
      </w:r>
    </w:p>
    <w:p w14:paraId="462ABD70">
      <w:pPr>
        <w:pStyle w:val="3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①施工作业带清理</w:t>
      </w:r>
    </w:p>
    <w:p w14:paraId="450303FD">
      <w:pPr>
        <w:pStyle w:val="3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管沟开挖以机械开挖为主，施工初期，首先要对施工作业带进行清理和平整，进行布管、开挖管沟及焊接等施工作业。在场地清理过程中，施工带范围内的土壤、植被和农作物都将受到扰动和破坏，不过其造成的影响仅局限在施工带宽度的范围内，管道施工平面布置图见图</w:t>
      </w:r>
      <w:r>
        <w:rPr>
          <w:rFonts w:hint="default" w:ascii="Times New Roman" w:hAnsi="Times New Roman" w:cs="Times New Roman"/>
          <w:color w:val="000000" w:themeColor="text1"/>
          <w:highlight w:val="none"/>
          <w:lang w:val="en-US" w:eastAsia="zh-CN"/>
          <w14:textFill>
            <w14:solidFill>
              <w14:schemeClr w14:val="tx1"/>
            </w14:solidFill>
          </w14:textFill>
        </w:rPr>
        <w:t>3.5-3。</w:t>
      </w:r>
      <w:r>
        <w:rPr>
          <w:rFonts w:hint="default" w:ascii="Times New Roman" w:hAnsi="Times New Roman" w:cs="Times New Roman"/>
          <w:color w:val="000000" w:themeColor="text1"/>
          <w:highlight w:val="none"/>
          <w:lang w:eastAsia="zh-CN"/>
          <w14:textFill>
            <w14:solidFill>
              <w14:schemeClr w14:val="tx1"/>
            </w14:solidFill>
          </w14:textFill>
        </w:rPr>
        <w:t>施工作业面宽10m，其中施工便道宽</w:t>
      </w:r>
      <w:r>
        <w:rPr>
          <w:rFonts w:hint="default" w:ascii="Times New Roman" w:hAnsi="Times New Roman" w:cs="Times New Roman"/>
          <w:color w:val="000000" w:themeColor="text1"/>
          <w:highlight w:val="none"/>
          <w:lang w:val="en-US" w:eastAsia="zh-CN"/>
          <w14:textFill>
            <w14:solidFill>
              <w14:schemeClr w14:val="tx1"/>
            </w14:solidFill>
          </w14:textFill>
        </w:rPr>
        <w:t>4m，管沟带宽2m，置土带4m。</w:t>
      </w:r>
    </w:p>
    <w:p w14:paraId="6BB0CDE3">
      <w:pPr>
        <w:pStyle w:val="33"/>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975860" cy="1478280"/>
            <wp:effectExtent l="0" t="0" r="15240" b="762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5"/>
                    <a:stretch>
                      <a:fillRect/>
                    </a:stretch>
                  </pic:blipFill>
                  <pic:spPr>
                    <a:xfrm>
                      <a:off x="0" y="0"/>
                      <a:ext cx="4975860" cy="1478280"/>
                    </a:xfrm>
                    <a:prstGeom prst="rect">
                      <a:avLst/>
                    </a:prstGeom>
                    <a:noFill/>
                    <a:ln>
                      <a:noFill/>
                    </a:ln>
                  </pic:spPr>
                </pic:pic>
              </a:graphicData>
            </a:graphic>
          </wp:inline>
        </w:drawing>
      </w:r>
    </w:p>
    <w:p w14:paraId="4E797504">
      <w:pPr>
        <w:pStyle w:val="33"/>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snapToGrid/>
          <w:color w:val="000000" w:themeColor="text1"/>
          <w:sz w:val="24"/>
          <w:szCs w:val="22"/>
          <w:highlight w:val="none"/>
          <w:lang w:val="en-US" w:eastAsia="zh-CN" w:bidi="ar-SA"/>
          <w14:textFill>
            <w14:solidFill>
              <w14:schemeClr w14:val="tx1"/>
            </w14:solidFill>
          </w14:textFill>
        </w:rPr>
        <w:t>图3.5-</w:t>
      </w:r>
      <w:r>
        <w:rPr>
          <w:rFonts w:hint="default" w:ascii="Times New Roman" w:hAnsi="Times New Roman" w:cs="Times New Roman"/>
          <w:b/>
          <w:snapToGrid/>
          <w:color w:val="000000" w:themeColor="text1"/>
          <w:sz w:val="24"/>
          <w:szCs w:val="22"/>
          <w:highlight w:val="none"/>
          <w:lang w:val="en-US" w:eastAsia="zh-CN" w:bidi="ar-SA"/>
          <w14:textFill>
            <w14:solidFill>
              <w14:schemeClr w14:val="tx1"/>
            </w14:solidFill>
          </w14:textFill>
        </w:rPr>
        <w:t>3</w:t>
      </w:r>
      <w:r>
        <w:rPr>
          <w:rFonts w:hint="eastAsia" w:cs="Times New Roman"/>
          <w:b/>
          <w:snapToGrid/>
          <w:color w:val="000000" w:themeColor="text1"/>
          <w:sz w:val="24"/>
          <w:szCs w:val="22"/>
          <w:highlight w:val="none"/>
          <w:lang w:val="en-US" w:eastAsia="zh-CN" w:bidi="ar-SA"/>
          <w14:textFill>
            <w14:solidFill>
              <w14:schemeClr w14:val="tx1"/>
            </w14:solidFill>
          </w14:textFill>
        </w:rPr>
        <w:t>（1）</w:t>
      </w:r>
      <w:r>
        <w:rPr>
          <w:rFonts w:hint="default" w:ascii="Times New Roman" w:hAnsi="Times New Roman" w:eastAsia="宋体" w:cs="Times New Roman"/>
          <w:b/>
          <w:snapToGrid/>
          <w:color w:val="000000" w:themeColor="text1"/>
          <w:sz w:val="24"/>
          <w:szCs w:val="22"/>
          <w:highlight w:val="none"/>
          <w:lang w:val="en-US" w:eastAsia="zh-CN" w:bidi="ar-SA"/>
          <w14:textFill>
            <w14:solidFill>
              <w14:schemeClr w14:val="tx1"/>
            </w14:solidFill>
          </w14:textFill>
        </w:rPr>
        <w:t>管道施工平面布置图</w:t>
      </w:r>
    </w:p>
    <w:p w14:paraId="547AB72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ascii="Calibri" w:hAnsi="Calibri" w:eastAsia="宋体" w:cs="Times New Roman"/>
          <w:color w:val="000000" w:themeColor="text1"/>
          <w:kern w:val="2"/>
          <w:sz w:val="21"/>
          <w:szCs w:val="24"/>
          <w:highlight w:val="none"/>
          <w14:textFill>
            <w14:solidFill>
              <w14:schemeClr w14:val="tx1"/>
            </w14:solidFill>
          </w14:textFill>
        </w:rPr>
        <w:drawing>
          <wp:inline distT="0" distB="0" distL="114300" distR="114300">
            <wp:extent cx="4650105" cy="1379220"/>
            <wp:effectExtent l="0" t="0" r="17145"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6"/>
                    <a:stretch>
                      <a:fillRect/>
                    </a:stretch>
                  </pic:blipFill>
                  <pic:spPr>
                    <a:xfrm>
                      <a:off x="0" y="0"/>
                      <a:ext cx="4650105" cy="1379220"/>
                    </a:xfrm>
                    <a:prstGeom prst="rect">
                      <a:avLst/>
                    </a:prstGeom>
                    <a:noFill/>
                    <a:ln>
                      <a:noFill/>
                    </a:ln>
                  </pic:spPr>
                </pic:pic>
              </a:graphicData>
            </a:graphic>
          </wp:inline>
        </w:drawing>
      </w:r>
    </w:p>
    <w:p w14:paraId="1B218D5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t>图3.5-</w:t>
      </w:r>
      <w:r>
        <w:rPr>
          <w:rFonts w:hint="eastAsia"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t>3（2）</w:t>
      </w:r>
      <w:r>
        <w:rPr>
          <w:rFonts w:hint="default"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t xml:space="preserve">  管道施工平面布置图</w:t>
      </w:r>
    </w:p>
    <w:p w14:paraId="0E53DC6B">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②开挖管沟、穿越工程</w:t>
      </w:r>
    </w:p>
    <w:p w14:paraId="25C82B24">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项目管道采用沟埋方式敷设。项目一般地段管道施工采用大开挖方式施工，开挖施工采用人工和机械施工相结合的方式；特殊地段根据实际情况，施工采用</w:t>
      </w:r>
      <w:r>
        <w:rPr>
          <w:rFonts w:hint="eastAsia" w:cs="Times New Roman"/>
          <w:color w:val="000000" w:themeColor="text1"/>
          <w:highlight w:val="none"/>
          <w:lang w:val="en-US" w:eastAsia="zh-CN"/>
          <w14:textFill>
            <w14:solidFill>
              <w14:schemeClr w14:val="tx1"/>
            </w14:solidFill>
          </w14:textFill>
        </w:rPr>
        <w:t>定向钻</w:t>
      </w:r>
      <w:r>
        <w:rPr>
          <w:rFonts w:hint="default" w:ascii="Times New Roman" w:hAnsi="Times New Roman" w:cs="Times New Roman"/>
          <w:color w:val="000000" w:themeColor="text1"/>
          <w:highlight w:val="none"/>
          <w:lang w:eastAsia="zh-CN"/>
          <w14:textFill>
            <w14:solidFill>
              <w14:schemeClr w14:val="tx1"/>
            </w14:solidFill>
          </w14:textFill>
        </w:rPr>
        <w:t>施工方式。</w:t>
      </w:r>
    </w:p>
    <w:p w14:paraId="4806B02E">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③布管、焊接、防腐及阴极保护、下入管沟</w:t>
      </w:r>
    </w:p>
    <w:p w14:paraId="224D47EF">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开挖管沟后将新建管道运至施工现场，沿施管沟布管，然后对新建管道进行组装焊接、补口、探伤，然后下到管沟内。</w:t>
      </w:r>
    </w:p>
    <w:p w14:paraId="0566216F">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项目外购无缝钢管</w:t>
      </w:r>
      <w:r>
        <w:rPr>
          <w:rFonts w:hint="default" w:ascii="Times New Roman" w:hAnsi="Times New Roman" w:cs="Times New Roman"/>
          <w:color w:val="000000" w:themeColor="text1"/>
          <w:highlight w:val="none"/>
          <w:lang w:val="en-US" w:eastAsia="zh-CN"/>
          <w14:textFill>
            <w14:solidFill>
              <w14:schemeClr w14:val="tx1"/>
            </w14:solidFill>
          </w14:textFill>
        </w:rPr>
        <w:t>的</w:t>
      </w:r>
      <w:r>
        <w:rPr>
          <w:rFonts w:hint="default" w:ascii="Times New Roman" w:hAnsi="Times New Roman" w:cs="Times New Roman"/>
          <w:color w:val="000000" w:themeColor="text1"/>
          <w:highlight w:val="none"/>
          <w:lang w:eastAsia="zh-CN"/>
          <w14:textFill>
            <w14:solidFill>
              <w14:schemeClr w14:val="tx1"/>
            </w14:solidFill>
          </w14:textFill>
        </w:rPr>
        <w:t>管道防腐层均在工厂预制，不在现场施工。管道外防腐层采用溶剂型液体环氧树脂涂料，干膜总厚200um；埋地套管内外防腐采用环氧煤沥青涂料普通级防腐；防腐层补口采用一层聚乙烯胶粘带底漆，防腐层厚度不小于1.6mm。</w:t>
      </w:r>
    </w:p>
    <w:p w14:paraId="697D6E70">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④</w:t>
      </w:r>
      <w:r>
        <w:rPr>
          <w:rFonts w:hint="default" w:ascii="Times New Roman" w:hAnsi="Times New Roman" w:cs="Times New Roman"/>
          <w:color w:val="000000" w:themeColor="text1"/>
          <w:highlight w:val="none"/>
          <w:lang w:eastAsia="zh-CN"/>
          <w14:textFill>
            <w14:solidFill>
              <w14:schemeClr w14:val="tx1"/>
            </w14:solidFill>
          </w14:textFill>
        </w:rPr>
        <w:t>清管、试压、干燥</w:t>
      </w:r>
    </w:p>
    <w:p w14:paraId="6F7CD738">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管道在下沟回填后进行清管和试压。项目采用清管球（器）进行清管，清管次数不少于2次，以开口端不再排出杂物为合格。清管后用清水进行试压，</w:t>
      </w:r>
      <w:r>
        <w:rPr>
          <w:rFonts w:hint="default" w:ascii="Times New Roman" w:hAnsi="Times New Roman" w:cs="Times New Roman"/>
          <w:color w:val="000000" w:themeColor="text1"/>
          <w:highlight w:val="none"/>
          <w:lang w:val="en-US" w:eastAsia="zh-CN"/>
          <w14:textFill>
            <w14:solidFill>
              <w14:schemeClr w14:val="tx1"/>
            </w14:solidFill>
          </w14:textFill>
        </w:rPr>
        <w:t>由水罐车在管道一端注水，管道另一端接入另一台水罐车，同时管道与罐车接口处设有截断阀，注水时关闭截断阀，试压结束后，注水端水罐车停止注水，打开截断阀，起点处水罐车配套基本压力推送，将管道内残余水量推送至终点水罐车，并由罐车拉运至</w:t>
      </w:r>
      <w:r>
        <w:rPr>
          <w:rFonts w:hint="eastAsia" w:cs="Times New Roman"/>
          <w:color w:val="000000" w:themeColor="text1"/>
          <w:highlight w:val="none"/>
          <w:lang w:val="en-US" w:eastAsia="zh-CN"/>
          <w14:textFill>
            <w14:solidFill>
              <w14:schemeClr w14:val="tx1"/>
            </w14:solidFill>
          </w14:textFill>
        </w:rPr>
        <w:t>宋一联含油污水处理站</w:t>
      </w:r>
      <w:r>
        <w:rPr>
          <w:rFonts w:hint="default" w:ascii="Times New Roman" w:hAnsi="Times New Roman" w:cs="Times New Roman"/>
          <w:color w:val="000000" w:themeColor="text1"/>
          <w:highlight w:val="none"/>
          <w:lang w:val="en-US" w:eastAsia="zh-CN"/>
          <w14:textFill>
            <w14:solidFill>
              <w14:schemeClr w14:val="tx1"/>
            </w14:solidFill>
          </w14:textFill>
        </w:rPr>
        <w:t>处理。</w:t>
      </w:r>
      <w:r>
        <w:rPr>
          <w:rFonts w:hint="eastAsia" w:cs="Times New Roman"/>
          <w:color w:val="000000" w:themeColor="text1"/>
          <w:highlight w:val="none"/>
          <w:lang w:val="en-US" w:eastAsia="zh-CN"/>
          <w14:textFill>
            <w14:solidFill>
              <w14:schemeClr w14:val="tx1"/>
            </w14:solidFill>
          </w14:textFill>
        </w:rPr>
        <w:t>严密性试验</w:t>
      </w:r>
      <w:r>
        <w:rPr>
          <w:rFonts w:hint="default" w:ascii="Times New Roman" w:hAnsi="Times New Roman" w:cs="Times New Roman"/>
          <w:color w:val="000000" w:themeColor="text1"/>
          <w:highlight w:val="none"/>
          <w:lang w:eastAsia="zh-CN"/>
          <w14:textFill>
            <w14:solidFill>
              <w14:schemeClr w14:val="tx1"/>
            </w14:solidFill>
          </w14:textFill>
        </w:rPr>
        <w:t>合格后投入使用。</w:t>
      </w:r>
    </w:p>
    <w:p w14:paraId="0298890A">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定向钻穿越：</w:t>
      </w:r>
    </w:p>
    <w:p w14:paraId="2F06371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涉及定向钻穿越17处。</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定向钻施工分别在</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道路两侧</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进行。根据施工场地条件</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侧安装钻机，钻机中心线与确定的管道入土点和出土点的延伸线相吻合，围绕钻机安装泥浆泵、泥浆罐、柴油机、微机控制室、钻杆、冲洗管、泥浆坑、扩孔器和切削刀等器材。另一侧布置焊管托滚架，在钻孔完成后，应提前完成整根管道的组装焊接、探伤、试压、防腐补口等工作，并在入土点和出土点的延伸线上布置发送托管架或发送沟，摆放好管道，同时要挖好泥浆坑。</w:t>
      </w:r>
    </w:p>
    <w:p w14:paraId="07AD2E7B">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具体定向钻施工过程为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首先用泥浆通过钻杆推动钻头旋转破土前进，按照设计的管道穿越曲线钻导向孔。当钻杆进尺达十余根时，开始下冲洗管，并使钻杆与冲洗管交替钻进。在钻进过程中</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随时通过控向装置掌握钻头所处位置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通过调整弯管壳的方向，使导向孔符合设计曲线。导向孔完成和冲洗管出土后</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钻杆全部抽回</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冲洗管出土端，连接上切削刀、扩孔器、旋转接头和已预制好的管道，然后开始连续回拖，即在扩孔器扩孔的同时，将钻台上的卡盘向上移动，拉动扩孔器和管道前进，管道就逐渐地被敷设在扩大的孔中，直至管端在入土点露出，完成管道的穿越。定向钻施工过程中产生的少量钻孔和扩孔的泥屑均最终进入定向钻废弃泥浆作为一般工业固体废物处置。</w:t>
      </w:r>
    </w:p>
    <w:p w14:paraId="1EC5BC0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本项目定向钻穿越施工需在公路两侧分别设置钻机场地</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入土点</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和回托管场地</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出土点</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，钻机场地及回托管场地的总占地面积3000m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。定向钻穿越施工过程平面布置示意图见图3.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26E8380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114300" distR="114300">
            <wp:extent cx="5292725" cy="1402080"/>
            <wp:effectExtent l="0" t="0" r="3175" b="7620"/>
            <wp:docPr id="10"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34"/>
                    <pic:cNvPicPr>
                      <a:picLocks noChangeAspect="1"/>
                    </pic:cNvPicPr>
                  </pic:nvPicPr>
                  <pic:blipFill>
                    <a:blip r:embed="rId27"/>
                    <a:stretch>
                      <a:fillRect/>
                    </a:stretch>
                  </pic:blipFill>
                  <pic:spPr>
                    <a:xfrm>
                      <a:off x="0" y="0"/>
                      <a:ext cx="5292725" cy="1402080"/>
                    </a:xfrm>
                    <a:prstGeom prst="rect">
                      <a:avLst/>
                    </a:prstGeom>
                    <a:noFill/>
                    <a:ln>
                      <a:noFill/>
                    </a:ln>
                  </pic:spPr>
                </pic:pic>
              </a:graphicData>
            </a:graphic>
          </wp:inline>
        </w:drawing>
      </w:r>
    </w:p>
    <w:p w14:paraId="04F496A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t>图3.5-4（1）     定向钻施工示意图</w:t>
      </w:r>
    </w:p>
    <w:p w14:paraId="7B6EDFD0">
      <w:pPr>
        <w:keepNext w:val="0"/>
        <w:keepLines w:val="0"/>
        <w:pageBreakBefore w:val="0"/>
        <w:widowControl w:val="0"/>
        <w:kinsoku/>
        <w:wordWrap/>
        <w:overflowPunct/>
        <w:topLinePunct w:val="0"/>
        <w:autoSpaceDE/>
        <w:autoSpaceDN/>
        <w:bidi w:val="0"/>
        <w:adjustRightInd/>
        <w:snapToGrid/>
        <w:spacing w:after="0" w:line="240" w:lineRule="auto"/>
        <w:ind w:firstLine="440" w:firstLineChars="200"/>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561840" cy="3173730"/>
            <wp:effectExtent l="0" t="0" r="10160"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8"/>
                    <a:stretch>
                      <a:fillRect/>
                    </a:stretch>
                  </pic:blipFill>
                  <pic:spPr>
                    <a:xfrm>
                      <a:off x="0" y="0"/>
                      <a:ext cx="4561840" cy="3173730"/>
                    </a:xfrm>
                    <a:prstGeom prst="rect">
                      <a:avLst/>
                    </a:prstGeom>
                    <a:noFill/>
                    <a:ln>
                      <a:noFill/>
                    </a:ln>
                  </pic:spPr>
                </pic:pic>
              </a:graphicData>
            </a:graphic>
          </wp:inline>
        </w:drawing>
      </w:r>
    </w:p>
    <w:p w14:paraId="58AC9EB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pPr>
      <w:r>
        <w:rPr>
          <w:rFonts w:hint="eastAsia" w:ascii="Times New Roman" w:hAnsi="Times New Roman" w:eastAsia="宋体" w:cs="Times New Roman"/>
          <w:b/>
          <w:snapToGrid/>
          <w:color w:val="000000" w:themeColor="text1"/>
          <w:kern w:val="2"/>
          <w:sz w:val="24"/>
          <w:szCs w:val="22"/>
          <w:highlight w:val="none"/>
          <w:lang w:val="en-US" w:eastAsia="zh-CN" w:bidi="ar-SA"/>
          <w14:textFill>
            <w14:solidFill>
              <w14:schemeClr w14:val="tx1"/>
            </w14:solidFill>
          </w14:textFill>
        </w:rPr>
        <w:t>图3.5-4（2）     定向钻施工示意图</w:t>
      </w:r>
    </w:p>
    <w:p w14:paraId="434003D5">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定向钻施工中泥浆起护壁、润滑、冷却和冲洗钻头、清扫土屑、传递动力等作用，</w:t>
      </w:r>
      <w:r>
        <w:rPr>
          <w:rFonts w:hint="eastAsia" w:cs="Times New Roman"/>
          <w:snapToGrid w:val="0"/>
          <w:color w:val="000000" w:themeColor="text1"/>
          <w:sz w:val="24"/>
          <w:szCs w:val="20"/>
          <w:highlight w:val="none"/>
          <w:lang w:val="en-US" w:eastAsia="zh-CN" w:bidi="ar-SA"/>
          <w14:textFill>
            <w14:solidFill>
              <w14:schemeClr w14:val="tx1"/>
            </w14:solidFill>
          </w14:textFill>
        </w:rPr>
        <w:t>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一般主要为膨润土和清水、少量的添加剂</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羧甲基纤维素钠CMC</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等，无毒及无有害成分。定向钻施工过程中在穿越两端各开挖一个作业坑（一个作为</w:t>
      </w:r>
      <w:r>
        <w:rPr>
          <w:rFonts w:hint="eastAsia" w:cs="Times New Roman"/>
          <w:snapToGrid w:val="0"/>
          <w:color w:val="000000" w:themeColor="text1"/>
          <w:sz w:val="24"/>
          <w:szCs w:val="20"/>
          <w:highlight w:val="none"/>
          <w:lang w:val="en-US" w:eastAsia="zh-CN" w:bidi="ar-SA"/>
          <w14:textFill>
            <w14:solidFill>
              <w14:schemeClr w14:val="tx1"/>
            </w14:solidFill>
          </w14:textFill>
        </w:rPr>
        <w:t>起始</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作业坑、一个作为接收坑），每个作业坑长10m、宽10m、平均深度3m，项目在定向钻施工期间通过螺旋泵把回扩孔中的泥浆回收到防渗泥浆池</w:t>
      </w:r>
      <w:r>
        <w:rPr>
          <w:rFonts w:hint="eastAsia"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w:t>
      </w:r>
      <w:r>
        <w:rPr>
          <w:rFonts w:hint="eastAsia"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中</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经</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泥浆配置区内</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装的泥浆净化与回收装置处理后</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泥浆循环使用，有效降低了泥浆的使用量，在一定程度上提高了泥浆使用率。</w:t>
      </w:r>
    </w:p>
    <w:p w14:paraId="52E9CB4A">
      <w:pPr>
        <w:pStyle w:val="33"/>
        <w:keepNext w:val="0"/>
        <w:keepLines w:val="0"/>
        <w:pageBreakBefore w:val="0"/>
        <w:widowControl w:val="0"/>
        <w:kinsoku/>
        <w:wordWrap/>
        <w:overflowPunct/>
        <w:topLinePunct w:val="0"/>
        <w:autoSpaceDE/>
        <w:autoSpaceDN/>
        <w:bidi w:val="0"/>
        <w:spacing w:after="0" w:line="360" w:lineRule="auto"/>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本项目施工期管道定向钻施工会产生穿越工程废弃泥浆。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定向钻施工中泥浆起护壁、润滑、冷却和冲洗钻头、清扫土屑、传递动力等作用，</w:t>
      </w:r>
      <w:r>
        <w:rPr>
          <w:rFonts w:hint="eastAsia" w:cs="Times New Roman"/>
          <w:snapToGrid w:val="0"/>
          <w:color w:val="000000" w:themeColor="text1"/>
          <w:sz w:val="24"/>
          <w:szCs w:val="20"/>
          <w:highlight w:val="none"/>
          <w:lang w:val="en-US" w:eastAsia="zh-CN" w:bidi="ar-SA"/>
          <w14:textFill>
            <w14:solidFill>
              <w14:schemeClr w14:val="tx1"/>
            </w14:solidFill>
          </w14:textFill>
        </w:rPr>
        <w:t>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一般主要为膨润土和清水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少量的添加剂</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羧甲基纤维素钠CMC</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等，无毒及无有害成分。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防渗泥浆池铺设场地铺设1.5mm厚高密度聚乙烯膜构筑防渗层，由于定向钻产生的废弃泥浆，</w:t>
      </w:r>
      <w:r>
        <w:rPr>
          <w:rFonts w:hint="eastAsia" w:cs="Times New Roman"/>
          <w:snapToGrid w:val="0"/>
          <w:color w:val="000000" w:themeColor="text1"/>
          <w:sz w:val="24"/>
          <w:szCs w:val="20"/>
          <w:highlight w:val="none"/>
          <w:lang w:val="en-US" w:eastAsia="zh-CN" w:bidi="ar-SA"/>
          <w14:textFill>
            <w14:solidFill>
              <w14:schemeClr w14:val="tx1"/>
            </w14:solidFill>
          </w14:textFill>
        </w:rPr>
        <w:t>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一般主要为膨润土和清水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少量的添加剂</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羧甲基纤维素钠CMC</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等，无毒及无有害成分。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因此施工结束后，高密度聚乙烯膜回收循环使用。</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根据设计方案，本项目管线定向钻穿越公路、沟渠长度在10</w:t>
      </w:r>
      <w:r>
        <w:rPr>
          <w:rFonts w:hint="eastAsia" w:cs="Times New Roman"/>
          <w:b w:val="0"/>
          <w:bCs/>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120m之间，穿越共计</w:t>
      </w:r>
      <w:r>
        <w:rPr>
          <w:rFonts w:hint="eastAsia" w:cs="Times New Roman"/>
          <w:b w:val="0"/>
          <w:bCs/>
          <w:snapToGrid w:val="0"/>
          <w:color w:val="000000" w:themeColor="text1"/>
          <w:sz w:val="24"/>
          <w:szCs w:val="24"/>
          <w:highlight w:val="none"/>
          <w:lang w:val="en-US" w:eastAsia="zh-CN" w:bidi="ar-SA"/>
          <w14:textFill>
            <w14:solidFill>
              <w14:schemeClr w14:val="tx1"/>
            </w14:solidFill>
          </w14:textFill>
        </w:rPr>
        <w:t>17次</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，本项目管道每处定向钻施工时产生废弃泥浆约</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，则穿越工程产生的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废弃泥浆</w:t>
      </w:r>
      <w:r>
        <w:rPr>
          <w:rFonts w:hint="eastAsia" w:cs="Times New Roman"/>
          <w:b w:val="0"/>
          <w:bCs w:val="0"/>
          <w:color w:val="000000" w:themeColor="text1"/>
          <w:sz w:val="24"/>
          <w:szCs w:val="24"/>
          <w:highlight w:val="none"/>
          <w:lang w:val="en-US" w:eastAsia="zh-CN"/>
          <w14:textFill>
            <w14:solidFill>
              <w14:schemeClr w14:val="tx1"/>
            </w14:solidFill>
          </w14:textFill>
        </w:rPr>
        <w:t>68</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对照《固体废物分类与代码目录》（生态环境部2024年第4号），废物代码为900-0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-S</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71工程泥浆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经防渗泥浆池沉降后，上清液回收洒水降尘、固体部分用于井排路护坡。</w:t>
      </w:r>
    </w:p>
    <w:p w14:paraId="079EF09D">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3.5.3运营期工艺流程及影响因素分析</w:t>
      </w:r>
    </w:p>
    <w:p w14:paraId="65B863C9">
      <w:pPr>
        <w:pStyle w:val="34"/>
        <w:keepNext w:val="0"/>
        <w:keepLines w:val="0"/>
        <w:pageBreakBefore w:val="0"/>
        <w:widowControl w:val="0"/>
        <w:kinsoku/>
        <w:wordWrap/>
        <w:topLinePunct w:val="0"/>
        <w:autoSpaceDE/>
        <w:autoSpaceDN/>
        <w:bidi w:val="0"/>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本项目运营期集输</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采用密闭输送方式输送含水原油、含油污水和伴生气，</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在正常运行状况下无废气、废水、噪声和固体废物产生及排放，但运行过程存在潜在原油、污水及伴生气的泄漏及火灾爆炸的风险，可能对大气、地下水、土壤环境产生污染影响。</w:t>
      </w:r>
    </w:p>
    <w:p w14:paraId="3BE373DC">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3.5.4退役期工艺流程及影响因素分析</w:t>
      </w:r>
    </w:p>
    <w:p w14:paraId="6EBE290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本项目退役期主要是本次投产的</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陆续关闭，对</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内残留物进行推送至站场，清管时，</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起点处水罐车配套基本压力推送，</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清管废水推送至罐车，清水清管后采取两端封堵直埋，不挖出。</w:t>
      </w:r>
    </w:p>
    <w:p w14:paraId="158610C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本项目退役期产生主要污染物包括施工机械噪声、清管废水。退役期工艺流程及产污环节见图3.5-</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5F9771E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683760" cy="63436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9"/>
                    <a:srcRect t="26813"/>
                    <a:stretch>
                      <a:fillRect/>
                    </a:stretch>
                  </pic:blipFill>
                  <pic:spPr>
                    <a:xfrm>
                      <a:off x="0" y="0"/>
                      <a:ext cx="4683760" cy="634365"/>
                    </a:xfrm>
                    <a:prstGeom prst="rect">
                      <a:avLst/>
                    </a:prstGeom>
                    <a:noFill/>
                    <a:ln>
                      <a:noFill/>
                    </a:ln>
                  </pic:spPr>
                </pic:pic>
              </a:graphicData>
            </a:graphic>
          </wp:inline>
        </w:drawing>
      </w:r>
    </w:p>
    <w:p w14:paraId="42BAB223">
      <w:pPr>
        <w:pStyle w:val="36"/>
        <w:keepNext w:val="0"/>
        <w:keepLines w:val="0"/>
        <w:pageBreakBefore w:val="0"/>
        <w:widowControl w:val="0"/>
        <w:tabs>
          <w:tab w:val="left" w:pos="396"/>
        </w:tabs>
        <w:kinsoku/>
        <w:wordWrap/>
        <w:overflowPunct/>
        <w:topLinePunct w:val="0"/>
        <w:autoSpaceDE/>
        <w:autoSpaceDN/>
        <w:bidi w:val="0"/>
        <w:adjustRightInd/>
        <w:snapToGrid/>
        <w:spacing w:after="0" w:line="360" w:lineRule="auto"/>
        <w:ind w:left="0" w:leftChars="0" w:firstLine="0" w:firstLineChars="0"/>
        <w:jc w:val="center"/>
        <w:textAlignment w:val="auto"/>
        <w:outlineLvl w:val="9"/>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snapToGrid/>
          <w:color w:val="000000" w:themeColor="text1"/>
          <w:sz w:val="24"/>
          <w:szCs w:val="22"/>
          <w:highlight w:val="none"/>
          <w:lang w:val="en-US" w:eastAsia="zh-CN" w:bidi="ar-SA"/>
          <w14:textFill>
            <w14:solidFill>
              <w14:schemeClr w14:val="tx1"/>
            </w14:solidFill>
          </w14:textFill>
        </w:rPr>
        <w:t>图3.5-</w:t>
      </w:r>
      <w:r>
        <w:rPr>
          <w:rFonts w:hint="eastAsia" w:eastAsia="宋体" w:cs="Times New Roman"/>
          <w:b/>
          <w:snapToGrid/>
          <w:color w:val="000000" w:themeColor="text1"/>
          <w:sz w:val="24"/>
          <w:szCs w:val="22"/>
          <w:highlight w:val="none"/>
          <w:lang w:val="en-US" w:eastAsia="zh-CN" w:bidi="ar-SA"/>
          <w14:textFill>
            <w14:solidFill>
              <w14:schemeClr w14:val="tx1"/>
            </w14:solidFill>
          </w14:textFill>
        </w:rPr>
        <w:t>5</w:t>
      </w:r>
      <w:r>
        <w:rPr>
          <w:rFonts w:hint="default" w:ascii="Times New Roman" w:hAnsi="Times New Roman" w:eastAsia="宋体" w:cs="Times New Roman"/>
          <w:b/>
          <w:snapToGrid/>
          <w:color w:val="000000" w:themeColor="text1"/>
          <w:sz w:val="24"/>
          <w:szCs w:val="22"/>
          <w:highlight w:val="none"/>
          <w:lang w:val="en-US" w:eastAsia="zh-CN" w:bidi="ar-SA"/>
          <w14:textFill>
            <w14:solidFill>
              <w14:schemeClr w14:val="tx1"/>
            </w14:solidFill>
          </w14:textFill>
        </w:rPr>
        <w:t>退役期产污节点图</w:t>
      </w:r>
    </w:p>
    <w:p w14:paraId="7AE59ACF">
      <w:pPr>
        <w:keepNext w:val="0"/>
        <w:keepLines w:val="0"/>
        <w:pageBreakBefore w:val="0"/>
        <w:widowControl w:val="0"/>
        <w:kinsoku/>
        <w:wordWrap/>
        <w:overflowPunct w:val="0"/>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3.5.5生态影响因素分析</w:t>
      </w:r>
    </w:p>
    <w:p w14:paraId="094CB8F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本工程建设对生态的影响主要在施工期，管道施工</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临时占用12.56hm</w:t>
      </w:r>
      <w:r>
        <w:rPr>
          <w:rFonts w:hint="eastAsia"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草地（非基本草原）、12.12hm</w:t>
      </w:r>
      <w:r>
        <w:rPr>
          <w:rFonts w:hint="eastAsia"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耕地（基本农田）、0.1hm</w:t>
      </w:r>
      <w:r>
        <w:rPr>
          <w:rFonts w:hint="eastAsia"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林地</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其不利影响主要表现为：管沟开挖、施工机械、车辆和人员践踏等活动造成土壤扰动和植被的破坏。这种影响是短期可逆的。</w:t>
      </w:r>
    </w:p>
    <w:p w14:paraId="256A895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（1）管道敷设</w:t>
      </w:r>
    </w:p>
    <w:p w14:paraId="3A622C3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本工程管道施工作业带宽度约10m，其范围内的土壤和植被都可能受到扰动和破坏，尤其是管沟两侧2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3m内的植被破坏严重，土壤的结构、组成和理化性质发生改变，影响土壤和植被的恢复。</w:t>
      </w:r>
    </w:p>
    <w:p w14:paraId="3753AE7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（2）对土壤侵蚀的影响</w:t>
      </w:r>
    </w:p>
    <w:p w14:paraId="16AB292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施工对土地的开挖，造成土地裸露，加剧沿线的土壤风蚀。</w:t>
      </w:r>
    </w:p>
    <w:p w14:paraId="325B032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（3）对植被的影响</w:t>
      </w:r>
    </w:p>
    <w:p w14:paraId="0A96E614">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x等气体，可破坏敏感植物的叶组织，造成褪色伤斑。不过以上这些不利影响主要是短期的，随着施工期结束，这些影响也随之消失。</w:t>
      </w:r>
    </w:p>
    <w:p w14:paraId="2130078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（4）对水土流失重点治理区的影响</w:t>
      </w:r>
    </w:p>
    <w:p w14:paraId="0DA25E4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本项目</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部分更换的管道</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位于</w:t>
      </w:r>
      <w:r>
        <w:rPr>
          <w:rFonts w:hint="eastAsia"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黑龙江省绥化市安达市昌德镇、升平镇，大庆市大同区祝三乡</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大庆市大同区祝三乡</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属于市级水土流失重点</w:t>
      </w:r>
      <w:r>
        <w:rPr>
          <w:rFonts w:hint="eastAsia"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治理区</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。工程建设过程中的各种施工活动对原地貌和地表植被的扰动和破坏，会造成区域内的水土流失。</w:t>
      </w:r>
    </w:p>
    <w:p w14:paraId="46BCE8A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施工对土壤的扰动，使地面变</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得</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疏松，而活化、疏松的沙土容易形成扬尘天气，在大风的作用下会成为局部风沙源地，促进扬沙天气的形成，造成项目区比较严重的粉尘污染。当原地表植被遭到破坏和扰动后，形成较大面积的风蚀面，遇到风力吹袭便可形成</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挟</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沙风，</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挟</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沙风侵蚀力与净风</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相比</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大大增强，工程建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设过</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程中如不采取行之有效的防护措施，极易诱发土地沙化，降低周边土地生产力，破坏土地资源。工程建设扰动地表，破坏植被，致使项目区下垫面抗侵蚀能力下降，导致项目区土壤侵蚀强度增加，生态系统遭到破坏，生态环境恶化。总的来说，工程建设对周边环境带来一些不利影响，建设单位应及早落实水土保持各</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措施，减轻因工程建设造成的水土流失危害。</w:t>
      </w:r>
    </w:p>
    <w:p w14:paraId="03F7CA4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（5）对防沙治沙区的影响</w:t>
      </w:r>
    </w:p>
    <w:p w14:paraId="70A4C8A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所在区域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草地植被覆盖度较高，占地区域不存在裸露的盐碱地。本工程的建设活动会对地表植被造成破坏，在短期内出现局部裸地，土壤层次、结构发生了改变，若不及时恢复，由于水土流失加剧增加了土地沙化的可能性。因此施工期须严格落实各项生态保护措施及生态减缓措施，严格控制施工作业占地范围，施工结束后对施工场地地表植被进行恢复，路基边坡采取种草措施护坡固土，尽量减少工程建设对土地沙化的影响。</w:t>
      </w:r>
    </w:p>
    <w:p w14:paraId="122012B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运营期对生态系统的影响主要是管道穿孔泄漏对生态的影响。管道穿孔导致污油、污水喷溅到植物上或散落到土壤中，就会影响植物的光合作用，导致其生产力下降。</w:t>
      </w:r>
    </w:p>
    <w:p w14:paraId="0506EE0A">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退役期管道停用采取清扫后两段封堵直埋的方式，不进行开挖，减少对生态地表的扰动。</w:t>
      </w:r>
    </w:p>
    <w:p w14:paraId="733FA9A4">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66" w:name="_Toc5687"/>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3.6污染源源强核算</w:t>
      </w:r>
      <w:bookmarkEnd w:id="66"/>
    </w:p>
    <w:p w14:paraId="2894D3F9">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3.6.1施工期污染源源强核算</w:t>
      </w:r>
    </w:p>
    <w:p w14:paraId="0B5CC678">
      <w:pPr>
        <w:pStyle w:val="36"/>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3.6.1.1废气</w:t>
      </w:r>
    </w:p>
    <w:p w14:paraId="59B5B3D6">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施工期废气主要为地面施工时管沟开挖、土方堆填、车辆运输等过程中产生的粉尘、二次扬尘，管道焊接过程产生的焊接烟尘，以及施工设备和运输车辆尾气。</w:t>
      </w:r>
    </w:p>
    <w:p w14:paraId="6FAA6711">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施工扬尘</w:t>
      </w:r>
    </w:p>
    <w:p w14:paraId="02E2E79F">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①</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施工</w:t>
      </w:r>
    </w:p>
    <w:p w14:paraId="0301F240">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施工扬尘主要来自管道施工作业带平整、管沟开挖土方、材料运输、装卸等过程，其污染范围和程度与施工工艺、施工管理、土方含水率、气象条件、土方工程量等多种因素有关。本项目所在区域平坦空旷，大气扩散条件好。</w:t>
      </w:r>
    </w:p>
    <w:p w14:paraId="7B49B9D8">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根据《大气环境影响评价实用技术》（中国环境出版社）中北京市环境保护科学研</w:t>
      </w:r>
    </w:p>
    <w:p w14:paraId="0F61F315">
      <w:pPr>
        <w:keepNext w:val="0"/>
        <w:keepLines w:val="0"/>
        <w:pageBreakBefore w:val="0"/>
        <w:widowControl w:val="0"/>
        <w:kinsoku/>
        <w:wordWrap/>
        <w:topLinePunct w:val="0"/>
        <w:autoSpaceDE/>
        <w:autoSpaceDN/>
        <w:bidi w:val="0"/>
        <w:adjustRightInd w:val="0"/>
        <w:snapToGrid w:val="0"/>
        <w:spacing w:after="0" w:line="360" w:lineRule="auto"/>
        <w:ind w:left="0" w:leftChars="0" w:firstLine="0" w:firstLineChars="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究院对多个建筑施工场地的施工扬尘情况（包括清理渣土、土方挖掘、现场堆放、车辆</w:t>
      </w:r>
    </w:p>
    <w:p w14:paraId="27914B36">
      <w:pPr>
        <w:keepNext w:val="0"/>
        <w:keepLines w:val="0"/>
        <w:pageBreakBefore w:val="0"/>
        <w:widowControl w:val="0"/>
        <w:kinsoku/>
        <w:wordWrap/>
        <w:topLinePunct w:val="0"/>
        <w:autoSpaceDE/>
        <w:autoSpaceDN/>
        <w:bidi w:val="0"/>
        <w:adjustRightInd w:val="0"/>
        <w:snapToGrid w:val="0"/>
        <w:spacing w:after="0" w:line="360" w:lineRule="auto"/>
        <w:ind w:left="0" w:leftChars="0" w:firstLine="0" w:firstLineChars="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往来）进行现场监测的数据，具体见表3.6-1。</w:t>
      </w:r>
    </w:p>
    <w:p w14:paraId="2F53F420">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表3.6-1</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施工场地扬尘污染的颗粒物浓度值</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单位：mg/m</w:t>
      </w:r>
      <w:r>
        <w:rPr>
          <w:rFonts w:hint="default" w:ascii="Times New Roman" w:hAnsi="Times New Roman" w:eastAsia="宋体" w:cs="Times New Roman"/>
          <w:b/>
          <w:color w:val="000000" w:themeColor="text1"/>
          <w:sz w:val="24"/>
          <w:szCs w:val="22"/>
          <w:highlight w:val="none"/>
          <w:vertAlign w:val="superscript"/>
          <w:lang w:val="en-US" w:eastAsia="zh-CN" w:bidi="ar-SA"/>
          <w14:textFill>
            <w14:solidFill>
              <w14:schemeClr w14:val="tx1"/>
            </w14:solidFill>
          </w14:textFill>
        </w:rPr>
        <w:t>3</w:t>
      </w:r>
    </w:p>
    <w:tbl>
      <w:tblPr>
        <w:tblStyle w:val="19"/>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1500"/>
        <w:gridCol w:w="1650"/>
        <w:gridCol w:w="1275"/>
        <w:gridCol w:w="1290"/>
        <w:gridCol w:w="1360"/>
      </w:tblGrid>
      <w:tr w14:paraId="121D1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13" w:type="dxa"/>
            <w:vMerge w:val="restart"/>
            <w:tcBorders>
              <w:tl2br w:val="nil"/>
              <w:tr2bl w:val="nil"/>
            </w:tcBorders>
            <w:vAlign w:val="center"/>
          </w:tcPr>
          <w:p w14:paraId="14A4302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工程名称</w:t>
            </w:r>
          </w:p>
        </w:tc>
        <w:tc>
          <w:tcPr>
            <w:tcW w:w="1500" w:type="dxa"/>
            <w:vMerge w:val="restart"/>
            <w:tcBorders>
              <w:tl2br w:val="nil"/>
              <w:tr2bl w:val="nil"/>
            </w:tcBorders>
            <w:vAlign w:val="center"/>
          </w:tcPr>
          <w:p w14:paraId="471D731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工地内</w:t>
            </w:r>
          </w:p>
        </w:tc>
        <w:tc>
          <w:tcPr>
            <w:tcW w:w="1650" w:type="dxa"/>
            <w:tcBorders>
              <w:tl2br w:val="nil"/>
              <w:tr2bl w:val="nil"/>
            </w:tcBorders>
            <w:vAlign w:val="top"/>
          </w:tcPr>
          <w:p w14:paraId="0A00F45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工地上风向</w:t>
            </w:r>
          </w:p>
        </w:tc>
        <w:tc>
          <w:tcPr>
            <w:tcW w:w="3925" w:type="dxa"/>
            <w:gridSpan w:val="3"/>
            <w:tcBorders>
              <w:tl2br w:val="nil"/>
              <w:tr2bl w:val="nil"/>
            </w:tcBorders>
            <w:vAlign w:val="top"/>
          </w:tcPr>
          <w:p w14:paraId="26E05C2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工地下风向</w:t>
            </w:r>
          </w:p>
        </w:tc>
      </w:tr>
      <w:tr w14:paraId="17EBE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13" w:type="dxa"/>
            <w:vMerge w:val="continue"/>
            <w:tcBorders>
              <w:tl2br w:val="nil"/>
              <w:tr2bl w:val="nil"/>
            </w:tcBorders>
            <w:vAlign w:val="top"/>
          </w:tcPr>
          <w:p w14:paraId="0CDDF8D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1500" w:type="dxa"/>
            <w:vMerge w:val="continue"/>
            <w:tcBorders>
              <w:tl2br w:val="nil"/>
              <w:tr2bl w:val="nil"/>
            </w:tcBorders>
            <w:vAlign w:val="top"/>
          </w:tcPr>
          <w:p w14:paraId="69438899">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1650" w:type="dxa"/>
            <w:tcBorders>
              <w:tl2br w:val="nil"/>
              <w:tr2bl w:val="nil"/>
            </w:tcBorders>
            <w:vAlign w:val="top"/>
          </w:tcPr>
          <w:p w14:paraId="3832101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50m</w:t>
            </w:r>
          </w:p>
        </w:tc>
        <w:tc>
          <w:tcPr>
            <w:tcW w:w="1275" w:type="dxa"/>
            <w:tcBorders>
              <w:tl2br w:val="nil"/>
              <w:tr2bl w:val="nil"/>
            </w:tcBorders>
            <w:vAlign w:val="top"/>
          </w:tcPr>
          <w:p w14:paraId="7D2937E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50m</w:t>
            </w:r>
          </w:p>
        </w:tc>
        <w:tc>
          <w:tcPr>
            <w:tcW w:w="1290" w:type="dxa"/>
            <w:tcBorders>
              <w:tl2br w:val="nil"/>
              <w:tr2bl w:val="nil"/>
            </w:tcBorders>
            <w:vAlign w:val="top"/>
          </w:tcPr>
          <w:p w14:paraId="4591D3C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100m</w:t>
            </w:r>
          </w:p>
        </w:tc>
        <w:tc>
          <w:tcPr>
            <w:tcW w:w="1360" w:type="dxa"/>
            <w:tcBorders>
              <w:tl2br w:val="nil"/>
              <w:tr2bl w:val="nil"/>
            </w:tcBorders>
            <w:vAlign w:val="top"/>
          </w:tcPr>
          <w:p w14:paraId="6F8C61D2">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150m</w:t>
            </w:r>
          </w:p>
        </w:tc>
      </w:tr>
      <w:tr w14:paraId="32F0D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13" w:type="dxa"/>
            <w:tcBorders>
              <w:tl2br w:val="nil"/>
              <w:tr2bl w:val="nil"/>
            </w:tcBorders>
            <w:vAlign w:val="top"/>
          </w:tcPr>
          <w:p w14:paraId="6D7F77A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侨办工地</w:t>
            </w:r>
          </w:p>
        </w:tc>
        <w:tc>
          <w:tcPr>
            <w:tcW w:w="1500" w:type="dxa"/>
            <w:tcBorders>
              <w:tl2br w:val="nil"/>
              <w:tr2bl w:val="nil"/>
            </w:tcBorders>
            <w:vAlign w:val="top"/>
          </w:tcPr>
          <w:p w14:paraId="1569F57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0.759</w:t>
            </w:r>
          </w:p>
        </w:tc>
        <w:tc>
          <w:tcPr>
            <w:tcW w:w="1650" w:type="dxa"/>
            <w:tcBorders>
              <w:tl2br w:val="nil"/>
              <w:tr2bl w:val="nil"/>
            </w:tcBorders>
            <w:vAlign w:val="top"/>
          </w:tcPr>
          <w:p w14:paraId="6E7D20D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0.328</w:t>
            </w:r>
          </w:p>
        </w:tc>
        <w:tc>
          <w:tcPr>
            <w:tcW w:w="1275" w:type="dxa"/>
            <w:tcBorders>
              <w:tl2br w:val="nil"/>
              <w:tr2bl w:val="nil"/>
            </w:tcBorders>
            <w:vAlign w:val="top"/>
          </w:tcPr>
          <w:p w14:paraId="7FDCF92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0.502</w:t>
            </w:r>
          </w:p>
        </w:tc>
        <w:tc>
          <w:tcPr>
            <w:tcW w:w="1290" w:type="dxa"/>
            <w:tcBorders>
              <w:tl2br w:val="nil"/>
              <w:tr2bl w:val="nil"/>
            </w:tcBorders>
            <w:vAlign w:val="top"/>
          </w:tcPr>
          <w:p w14:paraId="2142E79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0.367</w:t>
            </w:r>
          </w:p>
        </w:tc>
        <w:tc>
          <w:tcPr>
            <w:tcW w:w="1360" w:type="dxa"/>
            <w:tcBorders>
              <w:tl2br w:val="nil"/>
              <w:tr2bl w:val="nil"/>
            </w:tcBorders>
            <w:vAlign w:val="top"/>
          </w:tcPr>
          <w:p w14:paraId="567E33A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0.336</w:t>
            </w:r>
          </w:p>
        </w:tc>
      </w:tr>
      <w:tr w14:paraId="06099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13" w:type="dxa"/>
            <w:tcBorders>
              <w:tl2br w:val="nil"/>
              <w:tr2bl w:val="nil"/>
            </w:tcBorders>
            <w:vAlign w:val="top"/>
          </w:tcPr>
          <w:p w14:paraId="227FD63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金属材料总公司工地</w:t>
            </w:r>
          </w:p>
        </w:tc>
        <w:tc>
          <w:tcPr>
            <w:tcW w:w="1500" w:type="dxa"/>
            <w:tcBorders>
              <w:tl2br w:val="nil"/>
              <w:tr2bl w:val="nil"/>
            </w:tcBorders>
            <w:vAlign w:val="top"/>
          </w:tcPr>
          <w:p w14:paraId="438FCC7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0.618</w:t>
            </w:r>
          </w:p>
        </w:tc>
        <w:tc>
          <w:tcPr>
            <w:tcW w:w="1650" w:type="dxa"/>
            <w:tcBorders>
              <w:tl2br w:val="nil"/>
              <w:tr2bl w:val="nil"/>
            </w:tcBorders>
            <w:vAlign w:val="top"/>
          </w:tcPr>
          <w:p w14:paraId="6AD6356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0.325</w:t>
            </w:r>
          </w:p>
        </w:tc>
        <w:tc>
          <w:tcPr>
            <w:tcW w:w="1275" w:type="dxa"/>
            <w:tcBorders>
              <w:tl2br w:val="nil"/>
              <w:tr2bl w:val="nil"/>
            </w:tcBorders>
            <w:vAlign w:val="top"/>
          </w:tcPr>
          <w:p w14:paraId="2E7BB88E">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0.472</w:t>
            </w:r>
          </w:p>
        </w:tc>
        <w:tc>
          <w:tcPr>
            <w:tcW w:w="1290" w:type="dxa"/>
            <w:tcBorders>
              <w:tl2br w:val="nil"/>
              <w:tr2bl w:val="nil"/>
            </w:tcBorders>
            <w:vAlign w:val="top"/>
          </w:tcPr>
          <w:p w14:paraId="50F8C9A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0.356</w:t>
            </w:r>
          </w:p>
        </w:tc>
        <w:tc>
          <w:tcPr>
            <w:tcW w:w="1360" w:type="dxa"/>
            <w:tcBorders>
              <w:tl2br w:val="nil"/>
              <w:tr2bl w:val="nil"/>
            </w:tcBorders>
            <w:vAlign w:val="top"/>
          </w:tcPr>
          <w:p w14:paraId="789F0D6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0.332</w:t>
            </w:r>
          </w:p>
        </w:tc>
      </w:tr>
      <w:tr w14:paraId="443CE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13" w:type="dxa"/>
            <w:tcBorders>
              <w:tl2br w:val="nil"/>
              <w:tr2bl w:val="nil"/>
            </w:tcBorders>
            <w:vAlign w:val="top"/>
          </w:tcPr>
          <w:p w14:paraId="682BE662">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广播电视部工地</w:t>
            </w:r>
          </w:p>
        </w:tc>
        <w:tc>
          <w:tcPr>
            <w:tcW w:w="1500" w:type="dxa"/>
            <w:tcBorders>
              <w:tl2br w:val="nil"/>
              <w:tr2bl w:val="nil"/>
            </w:tcBorders>
            <w:vAlign w:val="top"/>
          </w:tcPr>
          <w:p w14:paraId="1565BD9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0.596</w:t>
            </w:r>
          </w:p>
        </w:tc>
        <w:tc>
          <w:tcPr>
            <w:tcW w:w="1650" w:type="dxa"/>
            <w:tcBorders>
              <w:tl2br w:val="nil"/>
              <w:tr2bl w:val="nil"/>
            </w:tcBorders>
            <w:vAlign w:val="top"/>
          </w:tcPr>
          <w:p w14:paraId="757E0C2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0.311</w:t>
            </w:r>
          </w:p>
        </w:tc>
        <w:tc>
          <w:tcPr>
            <w:tcW w:w="1275" w:type="dxa"/>
            <w:tcBorders>
              <w:tl2br w:val="nil"/>
              <w:tr2bl w:val="nil"/>
            </w:tcBorders>
            <w:vAlign w:val="top"/>
          </w:tcPr>
          <w:p w14:paraId="06B774B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0.434</w:t>
            </w:r>
          </w:p>
        </w:tc>
        <w:tc>
          <w:tcPr>
            <w:tcW w:w="1290" w:type="dxa"/>
            <w:tcBorders>
              <w:tl2br w:val="nil"/>
              <w:tr2bl w:val="nil"/>
            </w:tcBorders>
            <w:vAlign w:val="top"/>
          </w:tcPr>
          <w:p w14:paraId="733D872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0.376</w:t>
            </w:r>
          </w:p>
        </w:tc>
        <w:tc>
          <w:tcPr>
            <w:tcW w:w="1360" w:type="dxa"/>
            <w:tcBorders>
              <w:tl2br w:val="nil"/>
              <w:tr2bl w:val="nil"/>
            </w:tcBorders>
            <w:vAlign w:val="top"/>
          </w:tcPr>
          <w:p w14:paraId="0896DCF9">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0.309</w:t>
            </w:r>
          </w:p>
        </w:tc>
      </w:tr>
      <w:tr w14:paraId="1F47B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13" w:type="dxa"/>
            <w:tcBorders>
              <w:tl2br w:val="nil"/>
              <w:tr2bl w:val="nil"/>
            </w:tcBorders>
            <w:vAlign w:val="top"/>
          </w:tcPr>
          <w:p w14:paraId="6172300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劲松小区工地</w:t>
            </w:r>
          </w:p>
        </w:tc>
        <w:tc>
          <w:tcPr>
            <w:tcW w:w="1500" w:type="dxa"/>
            <w:tcBorders>
              <w:tl2br w:val="nil"/>
              <w:tr2bl w:val="nil"/>
            </w:tcBorders>
            <w:vAlign w:val="top"/>
          </w:tcPr>
          <w:p w14:paraId="543B3DA2">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0.509</w:t>
            </w:r>
          </w:p>
        </w:tc>
        <w:tc>
          <w:tcPr>
            <w:tcW w:w="1650" w:type="dxa"/>
            <w:tcBorders>
              <w:tl2br w:val="nil"/>
              <w:tr2bl w:val="nil"/>
            </w:tcBorders>
            <w:vAlign w:val="top"/>
          </w:tcPr>
          <w:p w14:paraId="721AA8F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0.303</w:t>
            </w:r>
          </w:p>
        </w:tc>
        <w:tc>
          <w:tcPr>
            <w:tcW w:w="1275" w:type="dxa"/>
            <w:tcBorders>
              <w:tl2br w:val="nil"/>
              <w:tr2bl w:val="nil"/>
            </w:tcBorders>
            <w:vAlign w:val="top"/>
          </w:tcPr>
          <w:p w14:paraId="3560F04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0.538</w:t>
            </w:r>
          </w:p>
        </w:tc>
        <w:tc>
          <w:tcPr>
            <w:tcW w:w="1290" w:type="dxa"/>
            <w:tcBorders>
              <w:tl2br w:val="nil"/>
              <w:tr2bl w:val="nil"/>
            </w:tcBorders>
            <w:vAlign w:val="top"/>
          </w:tcPr>
          <w:p w14:paraId="309E3FC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0.465</w:t>
            </w:r>
          </w:p>
        </w:tc>
        <w:tc>
          <w:tcPr>
            <w:tcW w:w="1360" w:type="dxa"/>
            <w:tcBorders>
              <w:tl2br w:val="nil"/>
              <w:tr2bl w:val="nil"/>
            </w:tcBorders>
            <w:vAlign w:val="top"/>
          </w:tcPr>
          <w:p w14:paraId="3FC5C099">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0.314</w:t>
            </w:r>
          </w:p>
        </w:tc>
      </w:tr>
      <w:tr w14:paraId="11B81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3" w:type="dxa"/>
            <w:tcBorders>
              <w:tl2br w:val="nil"/>
              <w:tr2bl w:val="nil"/>
            </w:tcBorders>
            <w:vAlign w:val="top"/>
          </w:tcPr>
          <w:p w14:paraId="702A795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平均值</w:t>
            </w:r>
          </w:p>
        </w:tc>
        <w:tc>
          <w:tcPr>
            <w:tcW w:w="1500" w:type="dxa"/>
            <w:tcBorders>
              <w:tl2br w:val="nil"/>
              <w:tr2bl w:val="nil"/>
            </w:tcBorders>
            <w:vAlign w:val="top"/>
          </w:tcPr>
          <w:p w14:paraId="0C2EEB47">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0.6205</w:t>
            </w:r>
          </w:p>
        </w:tc>
        <w:tc>
          <w:tcPr>
            <w:tcW w:w="1650" w:type="dxa"/>
            <w:tcBorders>
              <w:tl2br w:val="nil"/>
              <w:tr2bl w:val="nil"/>
            </w:tcBorders>
            <w:vAlign w:val="top"/>
          </w:tcPr>
          <w:p w14:paraId="1992B6CF">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0.3167</w:t>
            </w:r>
          </w:p>
        </w:tc>
        <w:tc>
          <w:tcPr>
            <w:tcW w:w="1275" w:type="dxa"/>
            <w:tcBorders>
              <w:tl2br w:val="nil"/>
              <w:tr2bl w:val="nil"/>
            </w:tcBorders>
            <w:vAlign w:val="top"/>
          </w:tcPr>
          <w:p w14:paraId="63B4E97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0.4865</w:t>
            </w:r>
          </w:p>
        </w:tc>
        <w:tc>
          <w:tcPr>
            <w:tcW w:w="1290" w:type="dxa"/>
            <w:tcBorders>
              <w:tl2br w:val="nil"/>
              <w:tr2bl w:val="nil"/>
            </w:tcBorders>
            <w:vAlign w:val="top"/>
          </w:tcPr>
          <w:p w14:paraId="1B0033C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0.390</w:t>
            </w:r>
          </w:p>
        </w:tc>
        <w:tc>
          <w:tcPr>
            <w:tcW w:w="1360" w:type="dxa"/>
            <w:tcBorders>
              <w:tl2br w:val="nil"/>
              <w:tr2bl w:val="nil"/>
            </w:tcBorders>
            <w:vAlign w:val="top"/>
          </w:tcPr>
          <w:p w14:paraId="7E1B654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0.322</w:t>
            </w:r>
          </w:p>
        </w:tc>
      </w:tr>
    </w:tbl>
    <w:p w14:paraId="35CE76C8">
      <w:pPr>
        <w:keepNext w:val="0"/>
        <w:keepLines w:val="0"/>
        <w:pageBreakBefore w:val="0"/>
        <w:widowControl w:val="0"/>
        <w:kinsoku/>
        <w:wordWrap/>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项目施工工地的扬尘主要来自运输车辆的行驶、土方开挖、回填使用的材料的露天堆放产生，工地内的扬尘浓度在1mg/m</w:t>
      </w:r>
      <w:r>
        <w:rPr>
          <w:rFonts w:hint="default" w:ascii="Times New Roman" w:hAnsi="Times New Roman" w:eastAsia="宋体" w:cs="Times New Roman"/>
          <w:snapToGrid w:val="0"/>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以内。</w:t>
      </w:r>
    </w:p>
    <w:p w14:paraId="7D3BAF0C">
      <w:pPr>
        <w:keepNext w:val="0"/>
        <w:keepLines w:val="0"/>
        <w:pageBreakBefore w:val="0"/>
        <w:widowControl w:val="0"/>
        <w:kinsoku/>
        <w:wordWrap/>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14:textFill>
            <w14:solidFill>
              <w14:schemeClr w14:val="tx1"/>
            </w14:solidFill>
          </w14:textFill>
        </w:rPr>
        <w:t>施工面积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24.78hm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。参考土建工程现场扬尘实地</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监</w:t>
      </w:r>
      <w:r>
        <w:rPr>
          <w:rFonts w:hint="default" w:ascii="Times New Roman" w:hAnsi="Times New Roman" w:eastAsia="宋体" w:cs="Times New Roman"/>
          <w:color w:val="000000" w:themeColor="text1"/>
          <w:sz w:val="24"/>
          <w:szCs w:val="24"/>
          <w:highlight w:val="none"/>
          <w14:textFill>
            <w14:solidFill>
              <w14:schemeClr w14:val="tx1"/>
            </w14:solidFill>
          </w14:textFill>
        </w:rPr>
        <w:t>测结果</w:t>
      </w:r>
      <w:r>
        <w:rPr>
          <w:rFonts w:hint="default" w:ascii="Times New Roman" w:hAnsi="Times New Roman" w:eastAsia="宋体" w:cs="Times New Roman"/>
          <w:color w:val="000000" w:themeColor="text1"/>
          <w:spacing w:val="-58"/>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TSP产生</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系</w:t>
      </w:r>
      <w:r>
        <w:rPr>
          <w:rFonts w:hint="default" w:ascii="Times New Roman" w:hAnsi="Times New Roman" w:eastAsia="宋体" w:cs="Times New Roman"/>
          <w:color w:val="000000" w:themeColor="text1"/>
          <w:sz w:val="24"/>
          <w:szCs w:val="24"/>
          <w:highlight w:val="none"/>
          <w14:textFill>
            <w14:solidFill>
              <w14:schemeClr w14:val="tx1"/>
            </w14:solidFill>
          </w14:textFill>
        </w:rPr>
        <w:t>数为0.01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0.05m</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g</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s</w:t>
      </w:r>
      <w:r>
        <w:rPr>
          <w:rFonts w:hint="default" w:ascii="Times New Roman" w:hAnsi="Times New Roman" w:eastAsia="宋体" w:cs="Times New Roman"/>
          <w:color w:val="000000" w:themeColor="text1"/>
          <w:spacing w:val="-58"/>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考虑</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最</w:t>
      </w:r>
      <w:r>
        <w:rPr>
          <w:rFonts w:hint="default" w:ascii="Times New Roman" w:hAnsi="Times New Roman" w:eastAsia="宋体" w:cs="Times New Roman"/>
          <w:color w:val="000000" w:themeColor="text1"/>
          <w:sz w:val="24"/>
          <w:szCs w:val="24"/>
          <w:highlight w:val="none"/>
          <w14:textFill>
            <w14:solidFill>
              <w14:schemeClr w14:val="tx1"/>
            </w14:solidFill>
          </w14:textFill>
        </w:rPr>
        <w:t>不</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利</w:t>
      </w:r>
      <w:r>
        <w:rPr>
          <w:rFonts w:hint="default" w:ascii="Times New Roman" w:hAnsi="Times New Roman" w:eastAsia="宋体" w:cs="Times New Roman"/>
          <w:color w:val="000000" w:themeColor="text1"/>
          <w:sz w:val="24"/>
          <w:szCs w:val="24"/>
          <w:highlight w:val="none"/>
          <w14:textFill>
            <w14:solidFill>
              <w14:schemeClr w14:val="tx1"/>
            </w14:solidFill>
          </w14:textFill>
        </w:rPr>
        <w:t>情况</w:t>
      </w:r>
      <w:r>
        <w:rPr>
          <w:rFonts w:hint="default" w:ascii="Times New Roman" w:hAnsi="Times New Roman" w:eastAsia="宋体" w:cs="Times New Roman"/>
          <w:color w:val="000000" w:themeColor="text1"/>
          <w:spacing w:val="-56"/>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TSP产生</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系</w:t>
      </w:r>
      <w:r>
        <w:rPr>
          <w:rFonts w:hint="default" w:ascii="Times New Roman" w:hAnsi="Times New Roman" w:eastAsia="宋体" w:cs="Times New Roman"/>
          <w:color w:val="000000" w:themeColor="text1"/>
          <w:sz w:val="24"/>
          <w:szCs w:val="24"/>
          <w:highlight w:val="none"/>
          <w14:textFill>
            <w14:solidFill>
              <w14:schemeClr w14:val="tx1"/>
            </w14:solidFill>
          </w14:textFill>
        </w:rPr>
        <w:t>数取0.05m</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g</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s</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取</w:t>
      </w:r>
      <w:r>
        <w:rPr>
          <w:rFonts w:hint="default" w:ascii="Times New Roman" w:hAnsi="Times New Roman" w:eastAsia="宋体" w:cs="Times New Roman"/>
          <w:color w:val="000000" w:themeColor="text1"/>
          <w:sz w:val="24"/>
          <w:szCs w:val="24"/>
          <w:highlight w:val="none"/>
          <w14:textFill>
            <w14:solidFill>
              <w14:schemeClr w14:val="tx1"/>
            </w14:solidFill>
          </w14:textFill>
        </w:rPr>
        <w:t>施</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工</w:t>
      </w:r>
      <w:r>
        <w:rPr>
          <w:rFonts w:hint="default" w:ascii="Times New Roman" w:hAnsi="Times New Roman" w:eastAsia="宋体" w:cs="Times New Roman"/>
          <w:color w:val="000000" w:themeColor="text1"/>
          <w:sz w:val="24"/>
          <w:szCs w:val="24"/>
          <w:highlight w:val="none"/>
          <w14:textFill>
            <w14:solidFill>
              <w14:schemeClr w14:val="tx1"/>
            </w14:solidFill>
          </w14:textFill>
        </w:rPr>
        <w:t>现</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场的</w:t>
      </w:r>
      <w:r>
        <w:rPr>
          <w:rFonts w:hint="default" w:ascii="Times New Roman" w:hAnsi="Times New Roman" w:eastAsia="宋体" w:cs="Times New Roman"/>
          <w:color w:val="000000" w:themeColor="text1"/>
          <w:sz w:val="24"/>
          <w:szCs w:val="24"/>
          <w:highlight w:val="none"/>
          <w14:textFill>
            <w14:solidFill>
              <w14:schemeClr w14:val="tx1"/>
            </w14:solidFill>
          </w14:textFill>
        </w:rPr>
        <w:t>扰</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动</w:t>
      </w:r>
      <w:r>
        <w:rPr>
          <w:rFonts w:hint="default" w:ascii="Times New Roman" w:hAnsi="Times New Roman" w:eastAsia="宋体" w:cs="Times New Roman"/>
          <w:color w:val="000000" w:themeColor="text1"/>
          <w:sz w:val="24"/>
          <w:szCs w:val="24"/>
          <w:highlight w:val="none"/>
          <w14:textFill>
            <w14:solidFill>
              <w14:schemeClr w14:val="tx1"/>
            </w14:solidFill>
          </w14:textFill>
        </w:rPr>
        <w:t>面</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积</w:t>
      </w:r>
      <w:r>
        <w:rPr>
          <w:rFonts w:hint="default" w:ascii="Times New Roman" w:hAnsi="Times New Roman" w:eastAsia="宋体" w:cs="Times New Roman"/>
          <w:color w:val="000000" w:themeColor="text1"/>
          <w:sz w:val="24"/>
          <w:szCs w:val="24"/>
          <w:highlight w:val="none"/>
          <w14:textFill>
            <w14:solidFill>
              <w14:schemeClr w14:val="tx1"/>
            </w14:solidFill>
          </w14:textFill>
        </w:rPr>
        <w:t>为70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按</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每</w:t>
      </w:r>
      <w:r>
        <w:rPr>
          <w:rFonts w:hint="default" w:ascii="Times New Roman" w:hAnsi="Times New Roman" w:eastAsia="宋体" w:cs="Times New Roman"/>
          <w:color w:val="000000" w:themeColor="text1"/>
          <w:sz w:val="24"/>
          <w:szCs w:val="24"/>
          <w:highlight w:val="none"/>
          <w14:textFill>
            <w14:solidFill>
              <w14:schemeClr w14:val="tx1"/>
            </w14:solidFill>
          </w14:textFill>
        </w:rPr>
        <w:t>天</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施工</w:t>
      </w:r>
      <w:r>
        <w:rPr>
          <w:rFonts w:hint="default" w:ascii="Times New Roman" w:hAnsi="Times New Roman" w:eastAsia="宋体" w:cs="Times New Roman"/>
          <w:color w:val="000000" w:themeColor="text1"/>
          <w:sz w:val="24"/>
          <w:szCs w:val="24"/>
          <w:highlight w:val="none"/>
          <w14:textFill>
            <w14:solidFill>
              <w14:schemeClr w14:val="tx1"/>
            </w14:solidFill>
          </w14:textFill>
        </w:rPr>
        <w:t>时间8h</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计</w:t>
      </w:r>
      <w:r>
        <w:rPr>
          <w:rFonts w:hint="default" w:ascii="Times New Roman" w:hAnsi="Times New Roman" w:eastAsia="宋体" w:cs="Times New Roman"/>
          <w:color w:val="000000" w:themeColor="text1"/>
          <w:sz w:val="24"/>
          <w:szCs w:val="24"/>
          <w:highlight w:val="none"/>
          <w14:textFill>
            <w14:solidFill>
              <w14:schemeClr w14:val="tx1"/>
            </w14:solidFill>
          </w14:textFill>
        </w:rPr>
        <w:t>算</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施工扬尘产生量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356.8</w:t>
      </w:r>
      <w:r>
        <w:rPr>
          <w:rFonts w:hint="default" w:ascii="Times New Roman" w:hAnsi="Times New Roman" w:eastAsia="宋体" w:cs="Times New Roman"/>
          <w:color w:val="000000" w:themeColor="text1"/>
          <w:sz w:val="24"/>
          <w:szCs w:val="24"/>
          <w:highlight w:val="none"/>
          <w14:textFill>
            <w14:solidFill>
              <w14:schemeClr w14:val="tx1"/>
            </w14:solidFill>
          </w14:textFill>
        </w:rPr>
        <w:t>k</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g</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44.6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7A6F99C">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②运输车辆扬尘</w:t>
      </w:r>
    </w:p>
    <w:p w14:paraId="7633D416">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当车辆通过干燥且路况较差路段时，在行车道两侧扬尘的TSP浓度短期内可达8~10mg/m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。根据相关工程的现场模拟数据调查，施工时运输车辆下风向50m处的浓度约为11.63mg/m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1A9913FD">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（2）焊接烟尘</w:t>
      </w:r>
    </w:p>
    <w:p w14:paraId="07B834EE">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本项目在管道接口处进行焊接时，采用二氧化碳气体保护焊技术，使用药芯焊丝焊接，利用二氧化碳气体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作为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保护气体，焊接过程中，在高温电弧作用下，焊丝端部及其母材被熔化，溶液表面剧烈喷射由药皮焊芯产生的高温高压蒸汽并向四周扩散。当蒸汽进入周围空气中时，被冷却并氧化，部分结成固体微粒，形成由气体和固体微粒组成的焊接</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烟尘。焊接烟尘中的主要成分是金属氧化物。</w:t>
      </w:r>
    </w:p>
    <w:p w14:paraId="71FCA71B">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根据《排放源统计调查产排污核算方法和系数手册》（公告2021年第24号）中“33金属制品业等九个行业系数表中09焊接”中采用实芯焊丝焊接过程焊接烟尘产生系数为9.19kg/吨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原料。焊丝使用总量约为1t，本项目管道焊接施工过程中焊接烟尘产生量为0.01t。</w:t>
      </w:r>
    </w:p>
    <w:p w14:paraId="74DDA4E0">
      <w:pPr>
        <w:keepNext w:val="0"/>
        <w:keepLines w:val="0"/>
        <w:pageBreakBefore w:val="0"/>
        <w:widowControl w:val="0"/>
        <w:numPr>
          <w:ilvl w:val="0"/>
          <w:numId w:val="11"/>
        </w:numPr>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施工机械、运输车辆排放的尾气</w:t>
      </w:r>
    </w:p>
    <w:p w14:paraId="19FC8F71">
      <w:pPr>
        <w:pStyle w:val="34"/>
        <w:keepNext w:val="0"/>
        <w:keepLines w:val="0"/>
        <w:pageBreakBefore w:val="0"/>
        <w:widowControl w:val="0"/>
        <w:kinsoku/>
        <w:wordWrap/>
        <w:topLinePunct w:val="0"/>
        <w:autoSpaceDE/>
        <w:autoSpaceDN/>
        <w:bidi w:val="0"/>
        <w:adjustRightInd w:val="0"/>
        <w:snapToGrid w:val="0"/>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施工过程中主要包括推土机、挖沟机和各种运输车辆等，施工机械及运输车辆主要以柴油为燃料，都会产生一定量的废气，包括NO</w:t>
      </w:r>
      <w:r>
        <w:rPr>
          <w:rFonts w:hint="default" w:ascii="Times New Roman" w:hAnsi="Times New Roman" w:eastAsia="宋体" w:cs="Times New Roman"/>
          <w:snapToGrid w:val="0"/>
          <w:color w:val="000000" w:themeColor="text1"/>
          <w:sz w:val="24"/>
          <w:szCs w:val="20"/>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、CO、CmHn等。一般情况下，各污染源较分散且为流动性，污染物排放量不大，表现为局部和间歇性对局部地区环境的影响不大。</w:t>
      </w:r>
    </w:p>
    <w:p w14:paraId="692708AE">
      <w:pPr>
        <w:pStyle w:val="36"/>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3.6.1.2废水</w:t>
      </w:r>
    </w:p>
    <w:p w14:paraId="57BD3513">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施工期废水主要为废旧</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清洗废水、新建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试压废水及施工人员生活污水。</w:t>
      </w:r>
    </w:p>
    <w:p w14:paraId="65ED1ACF">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（1）废弃管道清管废水</w:t>
      </w:r>
    </w:p>
    <w:p w14:paraId="0C866F4C">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废弃管道清管用水量为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353t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，清管废水按用水量的95%计算，清管废水产生量为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335.4t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主要污染因子为石油类、SS，由罐车拉运至</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处理。</w:t>
      </w:r>
    </w:p>
    <w:p w14:paraId="50BDBDBA">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（2）新建管道试压废水</w:t>
      </w:r>
    </w:p>
    <w:p w14:paraId="2A99187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新建管道要进行试压作</w:t>
      </w:r>
      <w:r>
        <w:rPr>
          <w:rFonts w:hint="default" w:ascii="Times New Roman" w:hAnsi="Times New Roman" w:eastAsia="宋体" w:cs="Times New Roman"/>
          <w:snapToGrid w:val="0"/>
          <w:color w:val="000000" w:themeColor="text1"/>
          <w:sz w:val="24"/>
          <w:szCs w:val="21"/>
          <w:highlight w:val="none"/>
          <w:lang w:val="en-US" w:eastAsia="zh-CN" w:bidi="ar-SA"/>
          <w14:textFill>
            <w14:solidFill>
              <w14:schemeClr w14:val="tx1"/>
            </w14:solidFill>
          </w14:textFill>
        </w:rPr>
        <w:t>业，总用水量为</w:t>
      </w:r>
      <w:r>
        <w:rPr>
          <w:rFonts w:hint="eastAsia" w:ascii="Times New Roman" w:hAnsi="Times New Roman" w:eastAsia="宋体" w:cs="Times New Roman"/>
          <w:snapToGrid w:val="0"/>
          <w:color w:val="000000" w:themeColor="text1"/>
          <w:sz w:val="24"/>
          <w:szCs w:val="21"/>
          <w:highlight w:val="none"/>
          <w:lang w:val="en-US" w:eastAsia="zh-CN" w:bidi="ar-SA"/>
          <w14:textFill>
            <w14:solidFill>
              <w14:schemeClr w14:val="tx1"/>
            </w14:solidFill>
          </w14:textFill>
        </w:rPr>
        <w:t>118t</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试压废水按用水量的95%计算，</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试压废水产生量为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112.1t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，主要污染因子为SS，</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由罐车拉运至</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处理。</w:t>
      </w:r>
    </w:p>
    <w:p w14:paraId="46E622C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（3）生活污水</w:t>
      </w:r>
    </w:p>
    <w:p w14:paraId="38891B63">
      <w:pPr>
        <w:pStyle w:val="34"/>
        <w:keepNext w:val="0"/>
        <w:keepLines w:val="0"/>
        <w:pageBreakBefore w:val="0"/>
        <w:widowControl w:val="0"/>
        <w:kinsoku/>
        <w:wordWrap/>
        <w:topLinePunct w:val="0"/>
        <w:bidi w:val="0"/>
        <w:ind w:firstLine="480"/>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根据《黑龙江省地方标准用水定额》（DB23/T727-2021）中相关内容，农村居民生活用水定额为80L/人d。施工时间为</w:t>
      </w:r>
      <w:r>
        <w:rPr>
          <w:rFonts w:hint="eastAsia" w:cs="Times New Roman"/>
          <w:snapToGrid w:val="0"/>
          <w:color w:val="000000" w:themeColor="text1"/>
          <w:sz w:val="24"/>
          <w:szCs w:val="20"/>
          <w:highlight w:val="none"/>
          <w:lang w:val="en-US" w:eastAsia="zh-CN" w:bidi="ar-SA"/>
          <w14:textFill>
            <w14:solidFill>
              <w14:schemeClr w14:val="tx1"/>
            </w14:solidFill>
          </w14:textFill>
        </w:rPr>
        <w:t>30天</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，施工人数为</w:t>
      </w:r>
      <w:r>
        <w:rPr>
          <w:rFonts w:hint="eastAsia" w:cs="Times New Roman"/>
          <w:snapToGrid w:val="0"/>
          <w:color w:val="000000" w:themeColor="text1"/>
          <w:sz w:val="24"/>
          <w:szCs w:val="20"/>
          <w:highlight w:val="none"/>
          <w:lang w:val="en-US" w:eastAsia="zh-CN" w:bidi="ar-SA"/>
          <w14:textFill>
            <w14:solidFill>
              <w14:schemeClr w14:val="tx1"/>
            </w14:solidFill>
          </w14:textFill>
        </w:rPr>
        <w:t>30人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，则生活用水量为</w:t>
      </w:r>
      <w:r>
        <w:rPr>
          <w:rFonts w:hint="eastAsia" w:cs="Times New Roman"/>
          <w:snapToGrid w:val="0"/>
          <w:color w:val="000000" w:themeColor="text1"/>
          <w:sz w:val="24"/>
          <w:szCs w:val="20"/>
          <w:highlight w:val="none"/>
          <w:lang w:val="en-US" w:eastAsia="zh-CN" w:bidi="ar-SA"/>
          <w14:textFill>
            <w14:solidFill>
              <w14:schemeClr w14:val="tx1"/>
            </w14:solidFill>
          </w14:textFill>
        </w:rPr>
        <w:t>72t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。生活污水按用水量的80%计算，则本工程施工期产生生活污水</w:t>
      </w:r>
      <w:r>
        <w:rPr>
          <w:rFonts w:hint="eastAsia" w:cs="Times New Roman"/>
          <w:snapToGrid w:val="0"/>
          <w:color w:val="000000" w:themeColor="text1"/>
          <w:sz w:val="24"/>
          <w:szCs w:val="20"/>
          <w:highlight w:val="none"/>
          <w:lang w:val="en-US" w:eastAsia="zh-CN" w:bidi="ar-SA"/>
          <w14:textFill>
            <w14:solidFill>
              <w14:schemeClr w14:val="tx1"/>
            </w14:solidFill>
          </w14:textFill>
        </w:rPr>
        <w:t>57.6t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318D013">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w:t>
      </w:r>
      <w:r>
        <w:rPr>
          <w:rFonts w:hint="eastAsia"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4ECB3718">
      <w:pPr>
        <w:pStyle w:val="36"/>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3.6.1.3噪声</w:t>
      </w:r>
    </w:p>
    <w:p w14:paraId="3BC7FF43">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施工期产生的噪声主</w:t>
      </w:r>
      <w:r>
        <w:rPr>
          <w:rFonts w:hint="eastAsia" w:cs="Times New Roman"/>
          <w:color w:val="000000" w:themeColor="text1"/>
          <w:highlight w:val="none"/>
          <w:lang w:eastAsia="zh-CN"/>
          <w14:textFill>
            <w14:solidFill>
              <w14:schemeClr w14:val="tx1"/>
            </w14:solidFill>
          </w14:textFill>
        </w:rPr>
        <w:t>要是</w:t>
      </w:r>
      <w:r>
        <w:rPr>
          <w:rFonts w:hint="default" w:ascii="Times New Roman" w:hAnsi="Times New Roman" w:cs="Times New Roman"/>
          <w:color w:val="000000" w:themeColor="text1"/>
          <w:highlight w:val="none"/>
          <w14:textFill>
            <w14:solidFill>
              <w14:schemeClr w14:val="tx1"/>
            </w14:solidFill>
          </w14:textFill>
        </w:rPr>
        <w:t>施工机械和车辆运行噪声。具体排放情况见表</w:t>
      </w:r>
      <w:r>
        <w:rPr>
          <w:rFonts w:hint="default" w:ascii="Times New Roman" w:hAnsi="Times New Roman" w:cs="Times New Roman"/>
          <w:color w:val="000000" w:themeColor="text1"/>
          <w:highlight w:val="none"/>
          <w:lang w:val="en-US" w:eastAsia="zh-CN"/>
          <w14:textFill>
            <w14:solidFill>
              <w14:schemeClr w14:val="tx1"/>
            </w14:solidFill>
          </w14:textFill>
        </w:rPr>
        <w:t>3.6-</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p>
    <w:p w14:paraId="0271AC1F">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表3.6-</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bCs/>
          <w:color w:val="000000" w:themeColor="text1"/>
          <w:szCs w:val="24"/>
          <w:highlight w:val="none"/>
          <w14:textFill>
            <w14:solidFill>
              <w14:schemeClr w14:val="tx1"/>
            </w14:solidFill>
          </w14:textFill>
        </w:rPr>
        <w:t>施工机械噪声统计表</w:t>
      </w:r>
      <w:r>
        <w:rPr>
          <w:rFonts w:hint="default" w:ascii="Times New Roman" w:hAnsi="Times New Roman" w:cs="Times New Roman"/>
          <w:color w:val="000000" w:themeColor="text1"/>
          <w:highlight w:val="none"/>
          <w14:textFill>
            <w14:solidFill>
              <w14:schemeClr w14:val="tx1"/>
            </w14:solidFill>
          </w14:textFill>
        </w:rPr>
        <w:t>单位：dB（A）</w:t>
      </w:r>
    </w:p>
    <w:tbl>
      <w:tblPr>
        <w:tblStyle w:val="18"/>
        <w:tblW w:w="928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511"/>
        <w:gridCol w:w="2885"/>
        <w:gridCol w:w="2885"/>
      </w:tblGrid>
      <w:tr w14:paraId="7CF50B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511" w:type="dxa"/>
            <w:vAlign w:val="center"/>
          </w:tcPr>
          <w:p w14:paraId="6EB1E9D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kern w:val="2"/>
                <w:sz w:val="21"/>
                <w:szCs w:val="21"/>
                <w:highlight w:val="none"/>
                <w14:textFill>
                  <w14:solidFill>
                    <w14:schemeClr w14:val="tx1"/>
                  </w14:solidFill>
                </w14:textFill>
              </w:rPr>
              <w:t>设备名称</w:t>
            </w:r>
          </w:p>
        </w:tc>
        <w:tc>
          <w:tcPr>
            <w:tcW w:w="2885" w:type="dxa"/>
            <w:vAlign w:val="center"/>
          </w:tcPr>
          <w:p w14:paraId="3FAA1AA9">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lang w:val="en-US" w:eastAsia="zh-CN" w:bidi="ar-SA"/>
                <w14:textFill>
                  <w14:solidFill>
                    <w14:schemeClr w14:val="tx1"/>
                  </w14:solidFill>
                </w14:textFill>
              </w:rPr>
              <w:t>距声源（m）</w:t>
            </w:r>
          </w:p>
        </w:tc>
        <w:tc>
          <w:tcPr>
            <w:tcW w:w="2885" w:type="dxa"/>
            <w:vAlign w:val="center"/>
          </w:tcPr>
          <w:p w14:paraId="5C9F8CA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噪声值</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dB（A）</w:t>
            </w:r>
          </w:p>
        </w:tc>
      </w:tr>
      <w:tr w14:paraId="10960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511" w:type="dxa"/>
            <w:vAlign w:val="center"/>
          </w:tcPr>
          <w:p w14:paraId="70E0C1F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挖掘机</w:t>
            </w:r>
          </w:p>
        </w:tc>
        <w:tc>
          <w:tcPr>
            <w:tcW w:w="2885" w:type="dxa"/>
            <w:vAlign w:val="center"/>
          </w:tcPr>
          <w:p w14:paraId="093E89D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w:t>
            </w:r>
          </w:p>
        </w:tc>
        <w:tc>
          <w:tcPr>
            <w:tcW w:w="2885" w:type="dxa"/>
            <w:vAlign w:val="center"/>
          </w:tcPr>
          <w:p w14:paraId="3D41D15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82-90</w:t>
            </w:r>
          </w:p>
        </w:tc>
      </w:tr>
      <w:tr w14:paraId="474C0D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3511" w:type="dxa"/>
            <w:vAlign w:val="center"/>
          </w:tcPr>
          <w:p w14:paraId="69AA95D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吊装机</w:t>
            </w:r>
          </w:p>
        </w:tc>
        <w:tc>
          <w:tcPr>
            <w:tcW w:w="2885" w:type="dxa"/>
            <w:vAlign w:val="center"/>
          </w:tcPr>
          <w:p w14:paraId="161D50FF">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w:t>
            </w:r>
          </w:p>
        </w:tc>
        <w:tc>
          <w:tcPr>
            <w:tcW w:w="2885" w:type="dxa"/>
            <w:vAlign w:val="center"/>
          </w:tcPr>
          <w:p w14:paraId="23E3BB2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80-86</w:t>
            </w:r>
          </w:p>
        </w:tc>
      </w:tr>
      <w:tr w14:paraId="7337A7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3511" w:type="dxa"/>
            <w:vAlign w:val="center"/>
          </w:tcPr>
          <w:p w14:paraId="172C9F8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推土机</w:t>
            </w:r>
          </w:p>
        </w:tc>
        <w:tc>
          <w:tcPr>
            <w:tcW w:w="2885" w:type="dxa"/>
            <w:vAlign w:val="center"/>
          </w:tcPr>
          <w:p w14:paraId="74A032BB">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w:t>
            </w:r>
          </w:p>
        </w:tc>
        <w:tc>
          <w:tcPr>
            <w:tcW w:w="2885" w:type="dxa"/>
            <w:vAlign w:val="center"/>
          </w:tcPr>
          <w:p w14:paraId="292C67C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83-88</w:t>
            </w:r>
          </w:p>
        </w:tc>
      </w:tr>
      <w:tr w14:paraId="62D59C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3511" w:type="dxa"/>
            <w:vAlign w:val="center"/>
          </w:tcPr>
          <w:p w14:paraId="36ACA73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电焊机</w:t>
            </w:r>
          </w:p>
        </w:tc>
        <w:tc>
          <w:tcPr>
            <w:tcW w:w="2885" w:type="dxa"/>
            <w:vAlign w:val="center"/>
          </w:tcPr>
          <w:p w14:paraId="3CE4937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w:t>
            </w:r>
          </w:p>
        </w:tc>
        <w:tc>
          <w:tcPr>
            <w:tcW w:w="2885" w:type="dxa"/>
            <w:vAlign w:val="center"/>
          </w:tcPr>
          <w:p w14:paraId="0750DDC7">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90-96</w:t>
            </w:r>
          </w:p>
        </w:tc>
      </w:tr>
      <w:tr w14:paraId="4CBA6E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3511" w:type="dxa"/>
            <w:vAlign w:val="center"/>
          </w:tcPr>
          <w:p w14:paraId="3178EF5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重型运输车</w:t>
            </w:r>
          </w:p>
        </w:tc>
        <w:tc>
          <w:tcPr>
            <w:tcW w:w="2885" w:type="dxa"/>
            <w:vAlign w:val="center"/>
          </w:tcPr>
          <w:p w14:paraId="2365921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w:t>
            </w:r>
          </w:p>
        </w:tc>
        <w:tc>
          <w:tcPr>
            <w:tcW w:w="2885" w:type="dxa"/>
            <w:vAlign w:val="center"/>
          </w:tcPr>
          <w:p w14:paraId="70DF79E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82-90</w:t>
            </w:r>
          </w:p>
        </w:tc>
      </w:tr>
      <w:tr w14:paraId="605052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3511" w:type="dxa"/>
            <w:vAlign w:val="center"/>
          </w:tcPr>
          <w:p w14:paraId="6345351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定向钻</w:t>
            </w:r>
          </w:p>
        </w:tc>
        <w:tc>
          <w:tcPr>
            <w:tcW w:w="2885" w:type="dxa"/>
            <w:vAlign w:val="center"/>
          </w:tcPr>
          <w:p w14:paraId="6B3DF8B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5</w:t>
            </w:r>
          </w:p>
        </w:tc>
        <w:tc>
          <w:tcPr>
            <w:tcW w:w="2885" w:type="dxa"/>
            <w:vAlign w:val="center"/>
          </w:tcPr>
          <w:p w14:paraId="22F98C5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100</w:t>
            </w:r>
          </w:p>
        </w:tc>
      </w:tr>
    </w:tbl>
    <w:p w14:paraId="4750B5F3">
      <w:pPr>
        <w:pStyle w:val="36"/>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3.6.1.4固体废物</w:t>
      </w:r>
    </w:p>
    <w:p w14:paraId="40B58E0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bookmarkStart w:id="67" w:name="_Hlk70438339"/>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施工期固体废物主要</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管道施工废料、</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穿越工程废弃泥浆、</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施工人员生活垃圾。</w:t>
      </w:r>
    </w:p>
    <w:p w14:paraId="086A815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（1）管道施工废料</w:t>
      </w:r>
    </w:p>
    <w:p w14:paraId="64A5296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根据建设单位提供的资料，</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管道施工废料产生量以</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50</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kg/km管道计，本项目新建管道</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20.66</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km，施工废料产生量为</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1t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，主要为焊接施工中产生废焊条和管道防腐施工过程中产生的废防腐材料施工废料，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对照《固体废物分类与代码目录》（生态环境部2024年第4号），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废物代码为900-099-S59其他工业生产过程中产生的固体废物</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，拉运至</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工业固废填埋场处理。</w:t>
      </w:r>
    </w:p>
    <w:p w14:paraId="6A5C01E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穿越工程废弃泥浆</w:t>
      </w:r>
    </w:p>
    <w:p w14:paraId="6937FFAA">
      <w:pPr>
        <w:keepNext w:val="0"/>
        <w:keepLines w:val="0"/>
        <w:pageBreakBefore w:val="0"/>
        <w:widowControl w:val="0"/>
        <w:kinsoku/>
        <w:wordWrap/>
        <w:topLinePunct w:val="0"/>
        <w:bidi w:val="0"/>
        <w:adjustRightInd/>
        <w:snapToGrid/>
        <w:spacing w:after="0" w:line="360" w:lineRule="auto"/>
        <w:ind w:firstLine="480" w:firstLineChars="200"/>
        <w:jc w:val="both"/>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本项目施工期管道定向钻施工会产生穿越工程废弃泥浆。根据设计方案，本项目管线定向钻穿越公路、沟渠长度在10—120m之间，穿越共计17次，本项目管道每处定向钻施工时产生废弃泥浆约</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，则穿越工程产生的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废弃泥浆68m</w:t>
      </w:r>
      <w:r>
        <w:rPr>
          <w:rFonts w:hint="default" w:ascii="Times New Roman" w:hAnsi="Times New Roman" w:eastAsia="宋体" w:cs="Times New Roman"/>
          <w:b w:val="0"/>
          <w:bCs w:val="0"/>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防渗泥浆池铺设场地铺设1.5mm厚高密度聚乙烯膜构筑防渗层，由于定向钻产生的废弃泥浆，成分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一般主要为膨润土和清水等，无毒及无有害成分。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因此施工结束后，高密度聚乙烯膜回收循环使用。</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对照《固体废物分类与代码目录》（生态环境部2024年第4号），废物代码为900-0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-S</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71工程泥浆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经防渗泥浆池沉降后，上清液回收洒水降尘、固体部分用于井排路护坡。</w:t>
      </w:r>
    </w:p>
    <w:p w14:paraId="3A5EB96F">
      <w:pPr>
        <w:keepNext w:val="0"/>
        <w:keepLines w:val="0"/>
        <w:pageBreakBefore w:val="0"/>
        <w:widowControl w:val="0"/>
        <w:numPr>
          <w:ilvl w:val="0"/>
          <w:numId w:val="0"/>
        </w:numPr>
        <w:kinsoku/>
        <w:wordWrap/>
        <w:topLinePunct w:val="0"/>
        <w:bidi w:val="0"/>
        <w:adjustRightInd/>
        <w:snapToGrid/>
        <w:spacing w:after="0" w:line="360" w:lineRule="auto"/>
        <w:ind w:leftChars="200"/>
        <w:jc w:val="both"/>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（3）废旧设备 </w:t>
      </w:r>
    </w:p>
    <w:p w14:paraId="2FD10E15">
      <w:pPr>
        <w:keepNext w:val="0"/>
        <w:keepLines w:val="0"/>
        <w:pageBreakBefore w:val="0"/>
        <w:widowControl w:val="0"/>
        <w:numPr>
          <w:ilvl w:val="0"/>
          <w:numId w:val="0"/>
        </w:numPr>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施工期升一联转油放水站更换阴极保护装置1套。拆除的废旧设备送至第八采油厂资产库回收。</w:t>
      </w:r>
    </w:p>
    <w:p w14:paraId="628A18E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生活垃圾</w:t>
      </w:r>
    </w:p>
    <w:p w14:paraId="6E83D911">
      <w:pPr>
        <w:pStyle w:val="34"/>
        <w:keepNext w:val="0"/>
        <w:keepLines w:val="0"/>
        <w:pageBreakBefore w:val="0"/>
        <w:widowControl w:val="0"/>
        <w:kinsoku/>
        <w:wordWrap/>
        <w:overflowPunct/>
        <w:topLinePunct w:val="0"/>
        <w:autoSpaceDE/>
        <w:autoSpaceDN/>
        <w:bidi w:val="0"/>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生活垃圾按每人每天产生0.5kg估算，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施工时间为</w:t>
      </w:r>
      <w:r>
        <w:rPr>
          <w:rFonts w:hint="eastAsia" w:cs="Times New Roman"/>
          <w:snapToGrid w:val="0"/>
          <w:color w:val="000000" w:themeColor="text1"/>
          <w:sz w:val="24"/>
          <w:szCs w:val="20"/>
          <w:highlight w:val="none"/>
          <w:lang w:val="en-US" w:eastAsia="zh-CN" w:bidi="ar-SA"/>
          <w14:textFill>
            <w14:solidFill>
              <w14:schemeClr w14:val="tx1"/>
            </w14:solidFill>
          </w14:textFill>
        </w:rPr>
        <w:t>30天</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，施工人数为</w:t>
      </w:r>
      <w:r>
        <w:rPr>
          <w:rFonts w:hint="eastAsia" w:cs="Times New Roman"/>
          <w:snapToGrid w:val="0"/>
          <w:color w:val="000000" w:themeColor="text1"/>
          <w:sz w:val="24"/>
          <w:szCs w:val="20"/>
          <w:highlight w:val="none"/>
          <w:lang w:val="en-US" w:eastAsia="zh-CN" w:bidi="ar-SA"/>
          <w14:textFill>
            <w14:solidFill>
              <w14:schemeClr w14:val="tx1"/>
            </w14:solidFill>
          </w14:textFill>
        </w:rPr>
        <w:t>30人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，施工期生活垃圾总量为</w:t>
      </w:r>
      <w:r>
        <w:rPr>
          <w:rFonts w:hint="eastAsia" w:cs="Times New Roman"/>
          <w:snapToGrid w:val="0"/>
          <w:color w:val="000000" w:themeColor="text1"/>
          <w:sz w:val="24"/>
          <w:szCs w:val="20"/>
          <w:highlight w:val="none"/>
          <w:lang w:val="en-US" w:eastAsia="zh-CN" w:bidi="ar-SA"/>
          <w14:textFill>
            <w14:solidFill>
              <w14:schemeClr w14:val="tx1"/>
            </w14:solidFill>
          </w14:textFill>
        </w:rPr>
        <w:t>0.5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对照</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《固体废物分类与代码目录》（生态环境部2024年第4号），废物代码为900-099-S64，</w:t>
      </w:r>
      <w:r>
        <w:rPr>
          <w:rFonts w:hint="default" w:ascii="Times New Roman" w:hAnsi="Times New Roman" w:eastAsia="宋体" w:cs="Times New Roman"/>
          <w:color w:val="000000" w:themeColor="text1"/>
          <w:sz w:val="24"/>
          <w:szCs w:val="24"/>
          <w:highlight w:val="none"/>
          <w14:textFill>
            <w14:solidFill>
              <w14:schemeClr w14:val="tx1"/>
            </w14:solidFill>
          </w14:textFill>
        </w:rPr>
        <w:t>统一收集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拉运至大庆城控电力有限公司焚烧处理。</w:t>
      </w:r>
    </w:p>
    <w:bookmarkEnd w:id="67"/>
    <w:p w14:paraId="44DAD34B">
      <w:pPr>
        <w:pStyle w:val="36"/>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3.6.1.5施工期污染源源强核算统计</w:t>
      </w:r>
    </w:p>
    <w:p w14:paraId="74C17C63">
      <w:pPr>
        <w:pStyle w:val="36"/>
        <w:keepNext w:val="0"/>
        <w:keepLines w:val="0"/>
        <w:pageBreakBefore w:val="0"/>
        <w:widowControl w:val="0"/>
        <w:kinsoku/>
        <w:wordWrap/>
        <w:topLinePunct w:val="0"/>
        <w:bidi w:val="0"/>
        <w:ind w:firstLine="48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w:t>
      </w:r>
      <w:r>
        <w:rPr>
          <w:rFonts w:hint="default" w:ascii="Times New Roman" w:hAnsi="Times New Roman" w:cs="Times New Roman"/>
          <w:color w:val="000000" w:themeColor="text1"/>
          <w:highlight w:val="none"/>
          <w:lang w:eastAsia="zh-CN"/>
          <w14:textFill>
            <w14:solidFill>
              <w14:schemeClr w14:val="tx1"/>
            </w14:solidFill>
          </w14:textFill>
        </w:rPr>
        <w:t>废气</w:t>
      </w:r>
      <w:r>
        <w:rPr>
          <w:rFonts w:hint="default" w:ascii="Times New Roman" w:hAnsi="Times New Roman" w:cs="Times New Roman"/>
          <w:color w:val="000000" w:themeColor="text1"/>
          <w:highlight w:val="none"/>
          <w14:textFill>
            <w14:solidFill>
              <w14:schemeClr w14:val="tx1"/>
            </w14:solidFill>
          </w14:textFill>
        </w:rPr>
        <w:t>污染源源强核算结果及相关参数一览表</w:t>
      </w:r>
      <w:r>
        <w:rPr>
          <w:rFonts w:hint="default" w:ascii="Times New Roman" w:hAnsi="Times New Roman" w:cs="Times New Roman"/>
          <w:color w:val="000000" w:themeColor="text1"/>
          <w:highlight w:val="none"/>
          <w:lang w:eastAsia="zh-CN"/>
          <w14:textFill>
            <w14:solidFill>
              <w14:schemeClr w14:val="tx1"/>
            </w14:solidFill>
          </w14:textFill>
        </w:rPr>
        <w:t>见表</w:t>
      </w:r>
      <w:r>
        <w:rPr>
          <w:rFonts w:hint="default" w:ascii="Times New Roman" w:hAnsi="Times New Roman" w:cs="Times New Roman"/>
          <w:color w:val="000000" w:themeColor="text1"/>
          <w:highlight w:val="none"/>
          <w:lang w:val="en-US" w:eastAsia="zh-CN"/>
          <w14:textFill>
            <w14:solidFill>
              <w14:schemeClr w14:val="tx1"/>
            </w14:solidFill>
          </w14:textFill>
        </w:rPr>
        <w:t>3.6-</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施工期</w:t>
      </w:r>
      <w:r>
        <w:rPr>
          <w:rFonts w:hint="default" w:ascii="Times New Roman" w:hAnsi="Times New Roman" w:cs="Times New Roman"/>
          <w:color w:val="000000" w:themeColor="text1"/>
          <w:highlight w:val="none"/>
          <w:lang w:eastAsia="zh-CN"/>
          <w14:textFill>
            <w14:solidFill>
              <w14:schemeClr w14:val="tx1"/>
            </w14:solidFill>
          </w14:textFill>
        </w:rPr>
        <w:t>废水</w:t>
      </w:r>
      <w:r>
        <w:rPr>
          <w:rFonts w:hint="default" w:ascii="Times New Roman" w:hAnsi="Times New Roman" w:cs="Times New Roman"/>
          <w:color w:val="000000" w:themeColor="text1"/>
          <w:highlight w:val="none"/>
          <w14:textFill>
            <w14:solidFill>
              <w14:schemeClr w14:val="tx1"/>
            </w14:solidFill>
          </w14:textFill>
        </w:rPr>
        <w:t>污染源源强核算结果及相关参数一览表</w:t>
      </w:r>
      <w:r>
        <w:rPr>
          <w:rFonts w:hint="default" w:ascii="Times New Roman" w:hAnsi="Times New Roman" w:cs="Times New Roman"/>
          <w:color w:val="000000" w:themeColor="text1"/>
          <w:highlight w:val="none"/>
          <w:lang w:eastAsia="zh-CN"/>
          <w14:textFill>
            <w14:solidFill>
              <w14:schemeClr w14:val="tx1"/>
            </w14:solidFill>
          </w14:textFill>
        </w:rPr>
        <w:t>见表</w:t>
      </w:r>
      <w:r>
        <w:rPr>
          <w:rFonts w:hint="default" w:ascii="Times New Roman" w:hAnsi="Times New Roman" w:cs="Times New Roman"/>
          <w:color w:val="000000" w:themeColor="text1"/>
          <w:highlight w:val="none"/>
          <w:lang w:val="en-US" w:eastAsia="zh-CN"/>
          <w14:textFill>
            <w14:solidFill>
              <w14:schemeClr w14:val="tx1"/>
            </w14:solidFill>
          </w14:textFill>
        </w:rPr>
        <w:t>3.6-</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施工期</w:t>
      </w:r>
      <w:r>
        <w:rPr>
          <w:rFonts w:hint="default" w:ascii="Times New Roman" w:hAnsi="Times New Roman" w:cs="Times New Roman"/>
          <w:color w:val="000000" w:themeColor="text1"/>
          <w:highlight w:val="none"/>
          <w:lang w:eastAsia="zh-CN"/>
          <w14:textFill>
            <w14:solidFill>
              <w14:schemeClr w14:val="tx1"/>
            </w14:solidFill>
          </w14:textFill>
        </w:rPr>
        <w:t>噪声</w:t>
      </w:r>
      <w:r>
        <w:rPr>
          <w:rFonts w:hint="default" w:ascii="Times New Roman" w:hAnsi="Times New Roman" w:cs="Times New Roman"/>
          <w:color w:val="000000" w:themeColor="text1"/>
          <w:highlight w:val="none"/>
          <w14:textFill>
            <w14:solidFill>
              <w14:schemeClr w14:val="tx1"/>
            </w14:solidFill>
          </w14:textFill>
        </w:rPr>
        <w:t>污染源源强核算结果及相关参数一览表</w:t>
      </w:r>
      <w:r>
        <w:rPr>
          <w:rFonts w:hint="default" w:ascii="Times New Roman" w:hAnsi="Times New Roman" w:cs="Times New Roman"/>
          <w:color w:val="000000" w:themeColor="text1"/>
          <w:highlight w:val="none"/>
          <w:lang w:eastAsia="zh-CN"/>
          <w14:textFill>
            <w14:solidFill>
              <w14:schemeClr w14:val="tx1"/>
            </w14:solidFill>
          </w14:textFill>
        </w:rPr>
        <w:t>见表</w:t>
      </w:r>
      <w:r>
        <w:rPr>
          <w:rFonts w:hint="default" w:ascii="Times New Roman" w:hAnsi="Times New Roman" w:cs="Times New Roman"/>
          <w:color w:val="000000" w:themeColor="text1"/>
          <w:highlight w:val="none"/>
          <w:lang w:val="en-US" w:eastAsia="zh-CN"/>
          <w14:textFill>
            <w14:solidFill>
              <w14:schemeClr w14:val="tx1"/>
            </w14:solidFill>
          </w14:textFill>
        </w:rPr>
        <w:t>3.6-</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施工期</w:t>
      </w:r>
      <w:r>
        <w:rPr>
          <w:rFonts w:hint="default" w:ascii="Times New Roman" w:hAnsi="Times New Roman" w:cs="Times New Roman"/>
          <w:color w:val="000000" w:themeColor="text1"/>
          <w:highlight w:val="none"/>
          <w:lang w:eastAsia="zh-CN"/>
          <w14:textFill>
            <w14:solidFill>
              <w14:schemeClr w14:val="tx1"/>
            </w14:solidFill>
          </w14:textFill>
        </w:rPr>
        <w:t>固体废物</w:t>
      </w:r>
      <w:r>
        <w:rPr>
          <w:rFonts w:hint="default" w:ascii="Times New Roman" w:hAnsi="Times New Roman" w:cs="Times New Roman"/>
          <w:color w:val="000000" w:themeColor="text1"/>
          <w:highlight w:val="none"/>
          <w14:textFill>
            <w14:solidFill>
              <w14:schemeClr w14:val="tx1"/>
            </w14:solidFill>
          </w14:textFill>
        </w:rPr>
        <w:t>污染源源强核算结果及相关参数一览表</w:t>
      </w:r>
      <w:r>
        <w:rPr>
          <w:rFonts w:hint="default" w:ascii="Times New Roman" w:hAnsi="Times New Roman" w:cs="Times New Roman"/>
          <w:color w:val="000000" w:themeColor="text1"/>
          <w:highlight w:val="none"/>
          <w:lang w:eastAsia="zh-CN"/>
          <w14:textFill>
            <w14:solidFill>
              <w14:schemeClr w14:val="tx1"/>
            </w14:solidFill>
          </w14:textFill>
        </w:rPr>
        <w:t>见表</w:t>
      </w:r>
      <w:r>
        <w:rPr>
          <w:rFonts w:hint="default" w:ascii="Times New Roman" w:hAnsi="Times New Roman" w:cs="Times New Roman"/>
          <w:color w:val="000000" w:themeColor="text1"/>
          <w:highlight w:val="none"/>
          <w:lang w:val="en-US" w:eastAsia="zh-CN"/>
          <w14:textFill>
            <w14:solidFill>
              <w14:schemeClr w14:val="tx1"/>
            </w14:solidFill>
          </w14:textFill>
        </w:rPr>
        <w:t>3.6-</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0D216A05">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p>
    <w:p w14:paraId="0E931D97">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316F556B">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szCs w:val="21"/>
          <w:highlight w:val="none"/>
          <w14:textFill>
            <w14:solidFill>
              <w14:schemeClr w14:val="tx1"/>
            </w14:solidFill>
          </w14:textFill>
        </w:rPr>
        <w:t>3.6-</w:t>
      </w:r>
      <w:r>
        <w:rPr>
          <w:rFonts w:hint="eastAsia" w:cs="Times New Roman"/>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施工期废气污染源源强核算结果及相关参数一览表</w:t>
      </w:r>
    </w:p>
    <w:tbl>
      <w:tblPr>
        <w:tblStyle w:val="18"/>
        <w:tblW w:w="14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76"/>
        <w:gridCol w:w="967"/>
        <w:gridCol w:w="1328"/>
        <w:gridCol w:w="884"/>
        <w:gridCol w:w="1118"/>
        <w:gridCol w:w="1055"/>
        <w:gridCol w:w="1081"/>
        <w:gridCol w:w="691"/>
        <w:gridCol w:w="816"/>
        <w:gridCol w:w="950"/>
        <w:gridCol w:w="1106"/>
        <w:gridCol w:w="1075"/>
        <w:gridCol w:w="1052"/>
        <w:gridCol w:w="714"/>
      </w:tblGrid>
      <w:tr w14:paraId="14C85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restart"/>
            <w:vAlign w:val="center"/>
          </w:tcPr>
          <w:p w14:paraId="60037BA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工序</w:t>
            </w:r>
          </w:p>
        </w:tc>
        <w:tc>
          <w:tcPr>
            <w:tcW w:w="676" w:type="dxa"/>
            <w:vMerge w:val="restart"/>
            <w:vAlign w:val="center"/>
          </w:tcPr>
          <w:p w14:paraId="500CB8D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装置</w:t>
            </w:r>
          </w:p>
        </w:tc>
        <w:tc>
          <w:tcPr>
            <w:tcW w:w="967" w:type="dxa"/>
            <w:vMerge w:val="restart"/>
            <w:vAlign w:val="center"/>
          </w:tcPr>
          <w:p w14:paraId="6EED2102">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污染源</w:t>
            </w:r>
          </w:p>
        </w:tc>
        <w:tc>
          <w:tcPr>
            <w:tcW w:w="1328" w:type="dxa"/>
            <w:vMerge w:val="restart"/>
            <w:vAlign w:val="center"/>
          </w:tcPr>
          <w:p w14:paraId="10C2C9CE">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污染物</w:t>
            </w:r>
          </w:p>
        </w:tc>
        <w:tc>
          <w:tcPr>
            <w:tcW w:w="4138" w:type="dxa"/>
            <w:gridSpan w:val="4"/>
            <w:vAlign w:val="center"/>
          </w:tcPr>
          <w:p w14:paraId="76527B0A">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污染物产生</w:t>
            </w:r>
          </w:p>
        </w:tc>
        <w:tc>
          <w:tcPr>
            <w:tcW w:w="1507" w:type="dxa"/>
            <w:gridSpan w:val="2"/>
            <w:vAlign w:val="center"/>
          </w:tcPr>
          <w:p w14:paraId="1D5E5FDD">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治理措施</w:t>
            </w:r>
          </w:p>
        </w:tc>
        <w:tc>
          <w:tcPr>
            <w:tcW w:w="4183" w:type="dxa"/>
            <w:gridSpan w:val="4"/>
            <w:vAlign w:val="center"/>
          </w:tcPr>
          <w:p w14:paraId="62EED22F">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污染物排放</w:t>
            </w:r>
          </w:p>
        </w:tc>
        <w:tc>
          <w:tcPr>
            <w:tcW w:w="714" w:type="dxa"/>
            <w:vMerge w:val="restart"/>
            <w:vAlign w:val="center"/>
          </w:tcPr>
          <w:p w14:paraId="105FD49B">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排放时间/d</w:t>
            </w:r>
          </w:p>
        </w:tc>
      </w:tr>
      <w:tr w14:paraId="266F0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continue"/>
            <w:vAlign w:val="center"/>
          </w:tcPr>
          <w:p w14:paraId="6A664E3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76" w:type="dxa"/>
            <w:vMerge w:val="continue"/>
            <w:vAlign w:val="center"/>
          </w:tcPr>
          <w:p w14:paraId="71A7FB3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967" w:type="dxa"/>
            <w:vMerge w:val="continue"/>
            <w:vAlign w:val="center"/>
          </w:tcPr>
          <w:p w14:paraId="719A150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328" w:type="dxa"/>
            <w:vMerge w:val="continue"/>
            <w:vAlign w:val="center"/>
          </w:tcPr>
          <w:p w14:paraId="46743E55">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884" w:type="dxa"/>
            <w:vAlign w:val="center"/>
          </w:tcPr>
          <w:p w14:paraId="0331FC8C">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核算方法</w:t>
            </w:r>
          </w:p>
        </w:tc>
        <w:tc>
          <w:tcPr>
            <w:tcW w:w="1118" w:type="dxa"/>
            <w:vAlign w:val="center"/>
          </w:tcPr>
          <w:p w14:paraId="317FCD7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废气产生量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p>
        </w:tc>
        <w:tc>
          <w:tcPr>
            <w:tcW w:w="1055" w:type="dxa"/>
            <w:vAlign w:val="center"/>
          </w:tcPr>
          <w:p w14:paraId="63FC24AE">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产生浓度mg/m</w:t>
            </w:r>
            <w:r>
              <w:rPr>
                <w:rFonts w:hint="default" w:ascii="Times New Roman" w:hAnsi="Times New Roman" w:eastAsia="宋体" w:cs="Times New Roman"/>
                <w:b/>
                <w:bCs/>
                <w:color w:val="000000" w:themeColor="text1"/>
                <w:kern w:val="0"/>
                <w:sz w:val="21"/>
                <w:szCs w:val="21"/>
                <w:highlight w:val="none"/>
                <w:vertAlign w:val="superscript"/>
                <w14:textFill>
                  <w14:solidFill>
                    <w14:schemeClr w14:val="tx1"/>
                  </w14:solidFill>
                </w14:textFill>
              </w:rPr>
              <w:t>3</w:t>
            </w:r>
          </w:p>
        </w:tc>
        <w:tc>
          <w:tcPr>
            <w:tcW w:w="1081" w:type="dxa"/>
            <w:vAlign w:val="center"/>
          </w:tcPr>
          <w:p w14:paraId="0635A4D4">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产生量</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kg/h</w:t>
            </w:r>
          </w:p>
        </w:tc>
        <w:tc>
          <w:tcPr>
            <w:tcW w:w="691" w:type="dxa"/>
            <w:vAlign w:val="center"/>
          </w:tcPr>
          <w:p w14:paraId="6FCB1591">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工艺</w:t>
            </w:r>
          </w:p>
        </w:tc>
        <w:tc>
          <w:tcPr>
            <w:tcW w:w="816" w:type="dxa"/>
            <w:vAlign w:val="center"/>
          </w:tcPr>
          <w:p w14:paraId="113447D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效率/%</w:t>
            </w:r>
          </w:p>
        </w:tc>
        <w:tc>
          <w:tcPr>
            <w:tcW w:w="950" w:type="dxa"/>
            <w:vAlign w:val="center"/>
          </w:tcPr>
          <w:p w14:paraId="40FE1D8B">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核算方法</w:t>
            </w:r>
          </w:p>
        </w:tc>
        <w:tc>
          <w:tcPr>
            <w:tcW w:w="1106" w:type="dxa"/>
            <w:vAlign w:val="center"/>
          </w:tcPr>
          <w:p w14:paraId="098FA8DA">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废气排放量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p>
        </w:tc>
        <w:tc>
          <w:tcPr>
            <w:tcW w:w="1075" w:type="dxa"/>
            <w:vAlign w:val="center"/>
          </w:tcPr>
          <w:p w14:paraId="43E8E5B0">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bCs/>
                <w:color w:val="000000" w:themeColor="text1"/>
                <w:kern w:val="0"/>
                <w:sz w:val="21"/>
                <w:szCs w:val="21"/>
                <w:highlight w:val="none"/>
                <w:vertAlign w:val="superscript"/>
                <w14:textFill>
                  <w14:solidFill>
                    <w14:schemeClr w14:val="tx1"/>
                  </w14:solidFill>
                </w14:textFill>
              </w:rPr>
              <w:t>3</w:t>
            </w:r>
          </w:p>
        </w:tc>
        <w:tc>
          <w:tcPr>
            <w:tcW w:w="1052" w:type="dxa"/>
            <w:vAlign w:val="center"/>
          </w:tcPr>
          <w:p w14:paraId="3A47321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排放量</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kg/h</w:t>
            </w:r>
          </w:p>
        </w:tc>
        <w:tc>
          <w:tcPr>
            <w:tcW w:w="714" w:type="dxa"/>
            <w:vMerge w:val="continue"/>
            <w:vAlign w:val="center"/>
          </w:tcPr>
          <w:p w14:paraId="0867D80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27DBA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restart"/>
            <w:vAlign w:val="center"/>
          </w:tcPr>
          <w:p w14:paraId="5363FDB0">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676" w:type="dxa"/>
            <w:vAlign w:val="center"/>
          </w:tcPr>
          <w:p w14:paraId="030DF79D">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管道焊接</w:t>
            </w:r>
          </w:p>
        </w:tc>
        <w:tc>
          <w:tcPr>
            <w:tcW w:w="967" w:type="dxa"/>
            <w:vAlign w:val="center"/>
          </w:tcPr>
          <w:p w14:paraId="4F7D6215">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焊接</w:t>
            </w:r>
          </w:p>
          <w:p w14:paraId="31881A6D">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烟尘</w:t>
            </w:r>
          </w:p>
        </w:tc>
        <w:tc>
          <w:tcPr>
            <w:tcW w:w="1328" w:type="dxa"/>
            <w:vAlign w:val="center"/>
          </w:tcPr>
          <w:p w14:paraId="7B7CC681">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颗粒物</w:t>
            </w:r>
          </w:p>
        </w:tc>
        <w:tc>
          <w:tcPr>
            <w:tcW w:w="884" w:type="dxa"/>
            <w:vAlign w:val="center"/>
          </w:tcPr>
          <w:p w14:paraId="2AD7A62D">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系数法</w:t>
            </w:r>
          </w:p>
        </w:tc>
        <w:tc>
          <w:tcPr>
            <w:tcW w:w="1118" w:type="dxa"/>
            <w:vAlign w:val="center"/>
          </w:tcPr>
          <w:p w14:paraId="30D2423D">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55" w:type="dxa"/>
            <w:vAlign w:val="center"/>
          </w:tcPr>
          <w:p w14:paraId="389514EB">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81" w:type="dxa"/>
            <w:vAlign w:val="center"/>
          </w:tcPr>
          <w:p w14:paraId="4D779D5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少量</w:t>
            </w:r>
          </w:p>
        </w:tc>
        <w:tc>
          <w:tcPr>
            <w:tcW w:w="691" w:type="dxa"/>
            <w:vAlign w:val="center"/>
          </w:tcPr>
          <w:p w14:paraId="6172B4F0">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直排</w:t>
            </w:r>
          </w:p>
        </w:tc>
        <w:tc>
          <w:tcPr>
            <w:tcW w:w="816" w:type="dxa"/>
            <w:vAlign w:val="center"/>
          </w:tcPr>
          <w:p w14:paraId="24019DB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950" w:type="dxa"/>
            <w:vAlign w:val="center"/>
          </w:tcPr>
          <w:p w14:paraId="099D6D57">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系数法</w:t>
            </w:r>
          </w:p>
        </w:tc>
        <w:tc>
          <w:tcPr>
            <w:tcW w:w="1106" w:type="dxa"/>
            <w:vAlign w:val="center"/>
          </w:tcPr>
          <w:p w14:paraId="49F6A6CC">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75" w:type="dxa"/>
            <w:vAlign w:val="center"/>
          </w:tcPr>
          <w:p w14:paraId="34F06F04">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52" w:type="dxa"/>
            <w:vAlign w:val="center"/>
          </w:tcPr>
          <w:p w14:paraId="33D0919D">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少量</w:t>
            </w:r>
          </w:p>
        </w:tc>
        <w:tc>
          <w:tcPr>
            <w:tcW w:w="714" w:type="dxa"/>
            <w:vAlign w:val="center"/>
          </w:tcPr>
          <w:p w14:paraId="7E10590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h</w:t>
            </w:r>
          </w:p>
        </w:tc>
      </w:tr>
      <w:tr w14:paraId="495FD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continue"/>
            <w:vAlign w:val="center"/>
          </w:tcPr>
          <w:p w14:paraId="7B219FF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76" w:type="dxa"/>
            <w:vMerge w:val="restart"/>
            <w:vAlign w:val="center"/>
          </w:tcPr>
          <w:p w14:paraId="7BCE6C6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施工机械</w:t>
            </w:r>
          </w:p>
        </w:tc>
        <w:tc>
          <w:tcPr>
            <w:tcW w:w="967" w:type="dxa"/>
            <w:vMerge w:val="restart"/>
            <w:vAlign w:val="center"/>
          </w:tcPr>
          <w:p w14:paraId="10DBB42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车辆</w:t>
            </w:r>
          </w:p>
          <w:p w14:paraId="6DAF48FA">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尾气</w:t>
            </w:r>
          </w:p>
        </w:tc>
        <w:tc>
          <w:tcPr>
            <w:tcW w:w="1328" w:type="dxa"/>
            <w:vAlign w:val="center"/>
          </w:tcPr>
          <w:p w14:paraId="02B42CE4">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颗粒物</w:t>
            </w:r>
          </w:p>
        </w:tc>
        <w:tc>
          <w:tcPr>
            <w:tcW w:w="4138" w:type="dxa"/>
            <w:gridSpan w:val="4"/>
            <w:vMerge w:val="restart"/>
            <w:vAlign w:val="center"/>
          </w:tcPr>
          <w:p w14:paraId="36D3E310">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由于车辆数量和每辆车行驶的公里数不易确定</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故</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不对其进行定量计算</w:t>
            </w:r>
          </w:p>
        </w:tc>
        <w:tc>
          <w:tcPr>
            <w:tcW w:w="1507" w:type="dxa"/>
            <w:gridSpan w:val="2"/>
            <w:vMerge w:val="restart"/>
            <w:vAlign w:val="center"/>
          </w:tcPr>
          <w:p w14:paraId="04E09C89">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车辆和施工机械选用优质汽油及柴油</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尾气达标排放</w:t>
            </w:r>
          </w:p>
        </w:tc>
        <w:tc>
          <w:tcPr>
            <w:tcW w:w="950" w:type="dxa"/>
            <w:vMerge w:val="restart"/>
            <w:vAlign w:val="center"/>
          </w:tcPr>
          <w:p w14:paraId="588CBD1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106" w:type="dxa"/>
            <w:vMerge w:val="restart"/>
            <w:vAlign w:val="center"/>
          </w:tcPr>
          <w:p w14:paraId="72B65329">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75" w:type="dxa"/>
            <w:vMerge w:val="restart"/>
            <w:vAlign w:val="center"/>
          </w:tcPr>
          <w:p w14:paraId="7D5523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52" w:type="dxa"/>
            <w:vMerge w:val="restart"/>
            <w:vAlign w:val="center"/>
          </w:tcPr>
          <w:p w14:paraId="3DD43DA4">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714" w:type="dxa"/>
            <w:vMerge w:val="restart"/>
            <w:vAlign w:val="center"/>
          </w:tcPr>
          <w:p w14:paraId="3B6ED887">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30</w:t>
            </w:r>
          </w:p>
        </w:tc>
      </w:tr>
      <w:tr w14:paraId="6652C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continue"/>
            <w:vAlign w:val="center"/>
          </w:tcPr>
          <w:p w14:paraId="0C5E5CEE">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76" w:type="dxa"/>
            <w:vMerge w:val="continue"/>
            <w:vAlign w:val="center"/>
          </w:tcPr>
          <w:p w14:paraId="2C76E109">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67" w:type="dxa"/>
            <w:vMerge w:val="continue"/>
            <w:vAlign w:val="center"/>
          </w:tcPr>
          <w:p w14:paraId="595D4A2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28" w:type="dxa"/>
            <w:vAlign w:val="center"/>
          </w:tcPr>
          <w:p w14:paraId="79B71CD5">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CO</w:t>
            </w:r>
          </w:p>
        </w:tc>
        <w:tc>
          <w:tcPr>
            <w:tcW w:w="4138" w:type="dxa"/>
            <w:gridSpan w:val="4"/>
            <w:vMerge w:val="continue"/>
            <w:vAlign w:val="center"/>
          </w:tcPr>
          <w:p w14:paraId="1962FA7B">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07" w:type="dxa"/>
            <w:gridSpan w:val="2"/>
            <w:vMerge w:val="continue"/>
            <w:vAlign w:val="center"/>
          </w:tcPr>
          <w:p w14:paraId="2ECF700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50" w:type="dxa"/>
            <w:vMerge w:val="continue"/>
            <w:vAlign w:val="center"/>
          </w:tcPr>
          <w:p w14:paraId="11A04E7A">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6" w:type="dxa"/>
            <w:vMerge w:val="continue"/>
            <w:vAlign w:val="center"/>
          </w:tcPr>
          <w:p w14:paraId="262B97FF">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75" w:type="dxa"/>
            <w:vMerge w:val="continue"/>
            <w:vAlign w:val="center"/>
          </w:tcPr>
          <w:p w14:paraId="143BD8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52" w:type="dxa"/>
            <w:vMerge w:val="continue"/>
            <w:vAlign w:val="center"/>
          </w:tcPr>
          <w:p w14:paraId="4BC123DE">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14" w:type="dxa"/>
            <w:vMerge w:val="continue"/>
            <w:vAlign w:val="center"/>
          </w:tcPr>
          <w:p w14:paraId="7B1CD66F">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32EE8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continue"/>
            <w:vAlign w:val="center"/>
          </w:tcPr>
          <w:p w14:paraId="1379050E">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76" w:type="dxa"/>
            <w:vMerge w:val="continue"/>
            <w:vAlign w:val="center"/>
          </w:tcPr>
          <w:p w14:paraId="3FBDF644">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67" w:type="dxa"/>
            <w:vMerge w:val="continue"/>
            <w:vAlign w:val="center"/>
          </w:tcPr>
          <w:p w14:paraId="0E4D87E2">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328" w:type="dxa"/>
            <w:vAlign w:val="center"/>
          </w:tcPr>
          <w:p w14:paraId="1FEC6FAC">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THC</w:t>
            </w:r>
          </w:p>
        </w:tc>
        <w:tc>
          <w:tcPr>
            <w:tcW w:w="4138" w:type="dxa"/>
            <w:gridSpan w:val="4"/>
            <w:vMerge w:val="continue"/>
            <w:vAlign w:val="center"/>
          </w:tcPr>
          <w:p w14:paraId="0AFD82B3">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07" w:type="dxa"/>
            <w:gridSpan w:val="2"/>
            <w:vMerge w:val="continue"/>
            <w:vAlign w:val="center"/>
          </w:tcPr>
          <w:p w14:paraId="5B734C74">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50" w:type="dxa"/>
            <w:vMerge w:val="continue"/>
            <w:vAlign w:val="center"/>
          </w:tcPr>
          <w:p w14:paraId="18F191FC">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06" w:type="dxa"/>
            <w:vMerge w:val="continue"/>
            <w:vAlign w:val="center"/>
          </w:tcPr>
          <w:p w14:paraId="5FC5F87A">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75" w:type="dxa"/>
            <w:vMerge w:val="continue"/>
            <w:vAlign w:val="center"/>
          </w:tcPr>
          <w:p w14:paraId="33F86D9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52" w:type="dxa"/>
            <w:vMerge w:val="continue"/>
            <w:vAlign w:val="center"/>
          </w:tcPr>
          <w:p w14:paraId="1BD5D05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14" w:type="dxa"/>
            <w:vMerge w:val="continue"/>
            <w:vAlign w:val="center"/>
          </w:tcPr>
          <w:p w14:paraId="790C4C16">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7DB78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96" w:type="dxa"/>
            <w:vMerge w:val="continue"/>
            <w:vAlign w:val="center"/>
          </w:tcPr>
          <w:p w14:paraId="669CE4C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76" w:type="dxa"/>
            <w:vAlign w:val="center"/>
          </w:tcPr>
          <w:p w14:paraId="70902E7C">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施工场地</w:t>
            </w:r>
          </w:p>
        </w:tc>
        <w:tc>
          <w:tcPr>
            <w:tcW w:w="967" w:type="dxa"/>
            <w:vAlign w:val="center"/>
          </w:tcPr>
          <w:p w14:paraId="31BF131C">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w:t>
            </w:r>
          </w:p>
          <w:p w14:paraId="5B190F85">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扬尘</w:t>
            </w:r>
          </w:p>
        </w:tc>
        <w:tc>
          <w:tcPr>
            <w:tcW w:w="1328" w:type="dxa"/>
            <w:vAlign w:val="center"/>
          </w:tcPr>
          <w:p w14:paraId="135D05D1">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颗粒物</w:t>
            </w:r>
          </w:p>
        </w:tc>
        <w:tc>
          <w:tcPr>
            <w:tcW w:w="884" w:type="dxa"/>
            <w:vAlign w:val="center"/>
          </w:tcPr>
          <w:p w14:paraId="114EF517">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系数法</w:t>
            </w:r>
          </w:p>
        </w:tc>
        <w:tc>
          <w:tcPr>
            <w:tcW w:w="1118" w:type="dxa"/>
            <w:vAlign w:val="center"/>
          </w:tcPr>
          <w:p w14:paraId="44118CD2">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55" w:type="dxa"/>
            <w:vAlign w:val="center"/>
          </w:tcPr>
          <w:p w14:paraId="3AD53561">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81" w:type="dxa"/>
            <w:vAlign w:val="center"/>
          </w:tcPr>
          <w:p w14:paraId="1FE5FB7A">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356.8</w:t>
            </w:r>
          </w:p>
        </w:tc>
        <w:tc>
          <w:tcPr>
            <w:tcW w:w="1507" w:type="dxa"/>
            <w:gridSpan w:val="2"/>
            <w:vAlign w:val="center"/>
          </w:tcPr>
          <w:p w14:paraId="44223D00">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洒水抑尘</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车辆苫盖</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，降尘</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70%</w:t>
            </w:r>
          </w:p>
        </w:tc>
        <w:tc>
          <w:tcPr>
            <w:tcW w:w="950" w:type="dxa"/>
            <w:vAlign w:val="center"/>
          </w:tcPr>
          <w:p w14:paraId="342C5288">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106" w:type="dxa"/>
            <w:vAlign w:val="center"/>
          </w:tcPr>
          <w:p w14:paraId="219D9E3E">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1075" w:type="dxa"/>
            <w:vAlign w:val="center"/>
          </w:tcPr>
          <w:p w14:paraId="529607A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小于1.0</w:t>
            </w:r>
          </w:p>
        </w:tc>
        <w:tc>
          <w:tcPr>
            <w:tcW w:w="1052" w:type="dxa"/>
            <w:vAlign w:val="center"/>
          </w:tcPr>
          <w:p w14:paraId="0A55A14B">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44.6</w:t>
            </w:r>
          </w:p>
        </w:tc>
        <w:tc>
          <w:tcPr>
            <w:tcW w:w="714" w:type="dxa"/>
            <w:vAlign w:val="center"/>
          </w:tcPr>
          <w:p w14:paraId="49F559E5">
            <w:pPr>
              <w:keepNext w:val="0"/>
              <w:keepLines w:val="0"/>
              <w:pageBreakBefore w:val="0"/>
              <w:widowControl w:val="0"/>
              <w:kinsoku/>
              <w:wordWrap/>
              <w:overflowPunct/>
              <w:topLinePunct w:val="0"/>
              <w:autoSpaceDE/>
              <w:autoSpaceDN/>
              <w:bidi w:val="0"/>
              <w:adjustRightInd w:val="0"/>
              <w:snapToGrid w:val="0"/>
              <w:spacing w:after="0" w:line="240" w:lineRule="auto"/>
              <w:jc w:val="center"/>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30</w:t>
            </w:r>
          </w:p>
        </w:tc>
      </w:tr>
    </w:tbl>
    <w:p w14:paraId="197FDACC">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表3.6-</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default" w:ascii="Times New Roman" w:hAnsi="Times New Roman" w:cs="Times New Roman"/>
          <w:color w:val="000000" w:themeColor="text1"/>
          <w:highlight w:val="none"/>
          <w14:textFill>
            <w14:solidFill>
              <w14:schemeClr w14:val="tx1"/>
            </w14:solidFill>
          </w14:textFill>
        </w:rPr>
        <w:t>废水污染源源强核算结果及相关参数一览表</w:t>
      </w:r>
    </w:p>
    <w:tbl>
      <w:tblPr>
        <w:tblStyle w:val="18"/>
        <w:tblW w:w="14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56"/>
        <w:gridCol w:w="640"/>
        <w:gridCol w:w="890"/>
        <w:gridCol w:w="390"/>
        <w:gridCol w:w="920"/>
        <w:gridCol w:w="870"/>
        <w:gridCol w:w="930"/>
        <w:gridCol w:w="4140"/>
        <w:gridCol w:w="660"/>
        <w:gridCol w:w="760"/>
        <w:gridCol w:w="760"/>
        <w:gridCol w:w="729"/>
        <w:gridCol w:w="581"/>
        <w:gridCol w:w="622"/>
      </w:tblGrid>
      <w:tr w14:paraId="38891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72" w:type="dxa"/>
            <w:vMerge w:val="restart"/>
            <w:vAlign w:val="center"/>
          </w:tcPr>
          <w:p w14:paraId="727D46A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工序</w:t>
            </w:r>
          </w:p>
        </w:tc>
        <w:tc>
          <w:tcPr>
            <w:tcW w:w="656" w:type="dxa"/>
            <w:vMerge w:val="restart"/>
            <w:vAlign w:val="center"/>
          </w:tcPr>
          <w:p w14:paraId="519AD3E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装置</w:t>
            </w:r>
          </w:p>
        </w:tc>
        <w:tc>
          <w:tcPr>
            <w:tcW w:w="640" w:type="dxa"/>
            <w:vMerge w:val="restart"/>
            <w:vAlign w:val="center"/>
          </w:tcPr>
          <w:p w14:paraId="6CF9CE6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污染源</w:t>
            </w:r>
          </w:p>
        </w:tc>
        <w:tc>
          <w:tcPr>
            <w:tcW w:w="890" w:type="dxa"/>
            <w:vMerge w:val="restart"/>
            <w:vAlign w:val="center"/>
          </w:tcPr>
          <w:p w14:paraId="364D14F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污染物</w:t>
            </w:r>
          </w:p>
        </w:tc>
        <w:tc>
          <w:tcPr>
            <w:tcW w:w="3110" w:type="dxa"/>
            <w:gridSpan w:val="4"/>
            <w:vAlign w:val="center"/>
          </w:tcPr>
          <w:p w14:paraId="1EFA464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污染物产生</w:t>
            </w:r>
          </w:p>
        </w:tc>
        <w:tc>
          <w:tcPr>
            <w:tcW w:w="4800" w:type="dxa"/>
            <w:gridSpan w:val="2"/>
            <w:vAlign w:val="center"/>
          </w:tcPr>
          <w:p w14:paraId="4A6E3A9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治理措施%</w:t>
            </w:r>
          </w:p>
        </w:tc>
        <w:tc>
          <w:tcPr>
            <w:tcW w:w="2830" w:type="dxa"/>
            <w:gridSpan w:val="4"/>
            <w:vAlign w:val="center"/>
          </w:tcPr>
          <w:p w14:paraId="7BA9D3C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污染物排放</w:t>
            </w:r>
          </w:p>
        </w:tc>
        <w:tc>
          <w:tcPr>
            <w:tcW w:w="622" w:type="dxa"/>
            <w:vMerge w:val="restart"/>
            <w:vAlign w:val="center"/>
          </w:tcPr>
          <w:p w14:paraId="55AA384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排放时间</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/d</w:t>
            </w:r>
          </w:p>
        </w:tc>
      </w:tr>
      <w:tr w14:paraId="58B38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72" w:type="dxa"/>
            <w:vMerge w:val="continue"/>
            <w:vAlign w:val="center"/>
          </w:tcPr>
          <w:p w14:paraId="264BC8A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656" w:type="dxa"/>
            <w:vMerge w:val="continue"/>
            <w:vAlign w:val="center"/>
          </w:tcPr>
          <w:p w14:paraId="62887C7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640" w:type="dxa"/>
            <w:vMerge w:val="continue"/>
            <w:vAlign w:val="center"/>
          </w:tcPr>
          <w:p w14:paraId="5D81915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890" w:type="dxa"/>
            <w:vMerge w:val="continue"/>
            <w:vAlign w:val="center"/>
          </w:tcPr>
          <w:p w14:paraId="1F8C756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390" w:type="dxa"/>
            <w:vAlign w:val="center"/>
          </w:tcPr>
          <w:p w14:paraId="1BA387D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核算方法</w:t>
            </w:r>
          </w:p>
        </w:tc>
        <w:tc>
          <w:tcPr>
            <w:tcW w:w="920" w:type="dxa"/>
            <w:vAlign w:val="center"/>
          </w:tcPr>
          <w:p w14:paraId="23EF468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废水产生量</w:t>
            </w: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t</w:t>
            </w:r>
          </w:p>
        </w:tc>
        <w:tc>
          <w:tcPr>
            <w:tcW w:w="870" w:type="dxa"/>
            <w:vAlign w:val="center"/>
          </w:tcPr>
          <w:p w14:paraId="7F452AA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产生浓度</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g/L</w:t>
            </w:r>
          </w:p>
        </w:tc>
        <w:tc>
          <w:tcPr>
            <w:tcW w:w="930" w:type="dxa"/>
            <w:vAlign w:val="center"/>
          </w:tcPr>
          <w:p w14:paraId="62A7F6C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产生量t</w:t>
            </w:r>
          </w:p>
        </w:tc>
        <w:tc>
          <w:tcPr>
            <w:tcW w:w="4140" w:type="dxa"/>
            <w:vAlign w:val="center"/>
          </w:tcPr>
          <w:p w14:paraId="6B3083C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工艺</w:t>
            </w:r>
          </w:p>
        </w:tc>
        <w:tc>
          <w:tcPr>
            <w:tcW w:w="660" w:type="dxa"/>
            <w:vAlign w:val="center"/>
          </w:tcPr>
          <w:p w14:paraId="2A667941">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效率/%</w:t>
            </w:r>
          </w:p>
        </w:tc>
        <w:tc>
          <w:tcPr>
            <w:tcW w:w="760" w:type="dxa"/>
            <w:vAlign w:val="center"/>
          </w:tcPr>
          <w:p w14:paraId="08DAA7E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核算方法</w:t>
            </w:r>
          </w:p>
        </w:tc>
        <w:tc>
          <w:tcPr>
            <w:tcW w:w="760" w:type="dxa"/>
            <w:vAlign w:val="center"/>
          </w:tcPr>
          <w:p w14:paraId="1F42C9B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废水排放量</w:t>
            </w: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t</w:t>
            </w:r>
          </w:p>
        </w:tc>
        <w:tc>
          <w:tcPr>
            <w:tcW w:w="729" w:type="dxa"/>
            <w:vAlign w:val="center"/>
          </w:tcPr>
          <w:p w14:paraId="44FE57F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排放浓度mg/L</w:t>
            </w:r>
          </w:p>
        </w:tc>
        <w:tc>
          <w:tcPr>
            <w:tcW w:w="581" w:type="dxa"/>
            <w:vAlign w:val="center"/>
          </w:tcPr>
          <w:p w14:paraId="7B4CB1C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排放量t</w:t>
            </w:r>
          </w:p>
        </w:tc>
        <w:tc>
          <w:tcPr>
            <w:tcW w:w="622" w:type="dxa"/>
            <w:vMerge w:val="continue"/>
            <w:vAlign w:val="center"/>
          </w:tcPr>
          <w:p w14:paraId="6A28DBB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48A8B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restart"/>
            <w:vAlign w:val="center"/>
          </w:tcPr>
          <w:p w14:paraId="658E1E0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管道拆除</w:t>
            </w:r>
          </w:p>
        </w:tc>
        <w:tc>
          <w:tcPr>
            <w:tcW w:w="656" w:type="dxa"/>
            <w:vMerge w:val="restart"/>
            <w:vAlign w:val="center"/>
          </w:tcPr>
          <w:p w14:paraId="679E47D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废旧管道</w:t>
            </w:r>
          </w:p>
        </w:tc>
        <w:tc>
          <w:tcPr>
            <w:tcW w:w="640" w:type="dxa"/>
            <w:vMerge w:val="restart"/>
            <w:vAlign w:val="center"/>
          </w:tcPr>
          <w:p w14:paraId="04AFA79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清管废水</w:t>
            </w:r>
          </w:p>
        </w:tc>
        <w:tc>
          <w:tcPr>
            <w:tcW w:w="890" w:type="dxa"/>
            <w:vAlign w:val="center"/>
          </w:tcPr>
          <w:p w14:paraId="0E15715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石油类</w:t>
            </w:r>
          </w:p>
        </w:tc>
        <w:tc>
          <w:tcPr>
            <w:tcW w:w="390" w:type="dxa"/>
            <w:vMerge w:val="restart"/>
            <w:vAlign w:val="center"/>
          </w:tcPr>
          <w:p w14:paraId="612854B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系数法</w:t>
            </w:r>
          </w:p>
        </w:tc>
        <w:tc>
          <w:tcPr>
            <w:tcW w:w="920" w:type="dxa"/>
            <w:vMerge w:val="restart"/>
            <w:vAlign w:val="center"/>
          </w:tcPr>
          <w:p w14:paraId="0524F12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335.4</w:t>
            </w:r>
          </w:p>
        </w:tc>
        <w:tc>
          <w:tcPr>
            <w:tcW w:w="870" w:type="dxa"/>
            <w:vAlign w:val="center"/>
          </w:tcPr>
          <w:p w14:paraId="434E904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100</w:t>
            </w:r>
          </w:p>
        </w:tc>
        <w:tc>
          <w:tcPr>
            <w:tcW w:w="930" w:type="dxa"/>
            <w:vAlign w:val="center"/>
          </w:tcPr>
          <w:p w14:paraId="1193FCD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034</w:t>
            </w:r>
          </w:p>
        </w:tc>
        <w:tc>
          <w:tcPr>
            <w:tcW w:w="4140" w:type="dxa"/>
            <w:vMerge w:val="restart"/>
            <w:vAlign w:val="center"/>
          </w:tcPr>
          <w:p w14:paraId="2949DFC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由罐车拉运至</w:t>
            </w: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处理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，达标后</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回注地下开采油层，不外排</w:t>
            </w:r>
          </w:p>
        </w:tc>
        <w:tc>
          <w:tcPr>
            <w:tcW w:w="660" w:type="dxa"/>
            <w:vMerge w:val="restart"/>
            <w:vAlign w:val="center"/>
          </w:tcPr>
          <w:p w14:paraId="17EB697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100</w:t>
            </w:r>
          </w:p>
        </w:tc>
        <w:tc>
          <w:tcPr>
            <w:tcW w:w="760" w:type="dxa"/>
            <w:vMerge w:val="restart"/>
            <w:vAlign w:val="center"/>
          </w:tcPr>
          <w:p w14:paraId="7ECBDE4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类比法</w:t>
            </w:r>
          </w:p>
        </w:tc>
        <w:tc>
          <w:tcPr>
            <w:tcW w:w="760" w:type="dxa"/>
            <w:vMerge w:val="restart"/>
            <w:vAlign w:val="center"/>
          </w:tcPr>
          <w:p w14:paraId="1DDF68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729" w:type="dxa"/>
            <w:vAlign w:val="center"/>
          </w:tcPr>
          <w:p w14:paraId="5228061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581" w:type="dxa"/>
            <w:vAlign w:val="center"/>
          </w:tcPr>
          <w:p w14:paraId="3CCB58B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22" w:type="dxa"/>
            <w:vMerge w:val="restart"/>
            <w:vAlign w:val="center"/>
          </w:tcPr>
          <w:p w14:paraId="1CE0694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r>
      <w:tr w14:paraId="6FC8E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72" w:type="dxa"/>
            <w:vMerge w:val="continue"/>
            <w:vAlign w:val="center"/>
          </w:tcPr>
          <w:p w14:paraId="670C0A5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56" w:type="dxa"/>
            <w:vMerge w:val="continue"/>
            <w:vAlign w:val="center"/>
          </w:tcPr>
          <w:p w14:paraId="4BD7289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40" w:type="dxa"/>
            <w:vMerge w:val="continue"/>
            <w:vAlign w:val="center"/>
          </w:tcPr>
          <w:p w14:paraId="5D38BD8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890" w:type="dxa"/>
            <w:vAlign w:val="center"/>
          </w:tcPr>
          <w:p w14:paraId="0BD7829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SS</w:t>
            </w:r>
          </w:p>
        </w:tc>
        <w:tc>
          <w:tcPr>
            <w:tcW w:w="390" w:type="dxa"/>
            <w:vMerge w:val="continue"/>
            <w:vAlign w:val="center"/>
          </w:tcPr>
          <w:p w14:paraId="351D5DC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920" w:type="dxa"/>
            <w:vMerge w:val="continue"/>
            <w:vAlign w:val="center"/>
          </w:tcPr>
          <w:p w14:paraId="08BF97D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870" w:type="dxa"/>
            <w:vAlign w:val="center"/>
          </w:tcPr>
          <w:p w14:paraId="1CF73E7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w:t>
            </w:r>
          </w:p>
        </w:tc>
        <w:tc>
          <w:tcPr>
            <w:tcW w:w="930" w:type="dxa"/>
            <w:vAlign w:val="center"/>
          </w:tcPr>
          <w:p w14:paraId="4EB1F0F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w:t>
            </w:r>
          </w:p>
        </w:tc>
        <w:tc>
          <w:tcPr>
            <w:tcW w:w="4140" w:type="dxa"/>
            <w:vMerge w:val="continue"/>
            <w:vAlign w:val="center"/>
          </w:tcPr>
          <w:p w14:paraId="4753931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660" w:type="dxa"/>
            <w:vMerge w:val="continue"/>
            <w:vAlign w:val="center"/>
          </w:tcPr>
          <w:p w14:paraId="575D597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60" w:type="dxa"/>
            <w:vMerge w:val="continue"/>
            <w:vAlign w:val="center"/>
          </w:tcPr>
          <w:p w14:paraId="605412E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60" w:type="dxa"/>
            <w:vMerge w:val="continue"/>
            <w:vAlign w:val="center"/>
          </w:tcPr>
          <w:p w14:paraId="454814B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29" w:type="dxa"/>
            <w:vAlign w:val="center"/>
          </w:tcPr>
          <w:p w14:paraId="568415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581" w:type="dxa"/>
            <w:vAlign w:val="center"/>
          </w:tcPr>
          <w:p w14:paraId="77D82A8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22" w:type="dxa"/>
            <w:vMerge w:val="continue"/>
            <w:vAlign w:val="center"/>
          </w:tcPr>
          <w:p w14:paraId="54768F6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61AA0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2" w:type="dxa"/>
            <w:tcBorders>
              <w:tl2br w:val="nil"/>
              <w:tr2bl w:val="nil"/>
            </w:tcBorders>
            <w:vAlign w:val="center"/>
          </w:tcPr>
          <w:p w14:paraId="12583FF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管道试压</w:t>
            </w:r>
          </w:p>
        </w:tc>
        <w:tc>
          <w:tcPr>
            <w:tcW w:w="656" w:type="dxa"/>
            <w:tcBorders>
              <w:tl2br w:val="nil"/>
              <w:tr2bl w:val="nil"/>
            </w:tcBorders>
            <w:vAlign w:val="center"/>
          </w:tcPr>
          <w:p w14:paraId="5B51864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管道</w:t>
            </w:r>
          </w:p>
        </w:tc>
        <w:tc>
          <w:tcPr>
            <w:tcW w:w="640" w:type="dxa"/>
            <w:tcBorders>
              <w:tl2br w:val="nil"/>
              <w:tr2bl w:val="nil"/>
            </w:tcBorders>
            <w:vAlign w:val="center"/>
          </w:tcPr>
          <w:p w14:paraId="5316B20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试压废水</w:t>
            </w:r>
          </w:p>
        </w:tc>
        <w:tc>
          <w:tcPr>
            <w:tcW w:w="890" w:type="dxa"/>
            <w:tcBorders>
              <w:tl2br w:val="nil"/>
              <w:tr2bl w:val="nil"/>
            </w:tcBorders>
            <w:vAlign w:val="center"/>
          </w:tcPr>
          <w:p w14:paraId="5352107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SS</w:t>
            </w:r>
          </w:p>
        </w:tc>
        <w:tc>
          <w:tcPr>
            <w:tcW w:w="390" w:type="dxa"/>
            <w:vMerge w:val="continue"/>
            <w:tcBorders>
              <w:tl2br w:val="nil"/>
              <w:tr2bl w:val="nil"/>
            </w:tcBorders>
            <w:vAlign w:val="center"/>
          </w:tcPr>
          <w:p w14:paraId="2E00B4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920" w:type="dxa"/>
            <w:tcBorders>
              <w:tl2br w:val="nil"/>
              <w:tr2bl w:val="nil"/>
            </w:tcBorders>
            <w:vAlign w:val="center"/>
          </w:tcPr>
          <w:p w14:paraId="2002BC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112.1</w:t>
            </w:r>
          </w:p>
        </w:tc>
        <w:tc>
          <w:tcPr>
            <w:tcW w:w="870" w:type="dxa"/>
            <w:tcBorders>
              <w:tl2br w:val="nil"/>
              <w:tr2bl w:val="nil"/>
            </w:tcBorders>
            <w:vAlign w:val="center"/>
          </w:tcPr>
          <w:p w14:paraId="11B9889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10</w:t>
            </w:r>
          </w:p>
        </w:tc>
        <w:tc>
          <w:tcPr>
            <w:tcW w:w="930" w:type="dxa"/>
            <w:tcBorders>
              <w:tl2br w:val="nil"/>
              <w:tr2bl w:val="nil"/>
            </w:tcBorders>
            <w:vAlign w:val="center"/>
          </w:tcPr>
          <w:p w14:paraId="3E5154D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01</w:t>
            </w:r>
          </w:p>
        </w:tc>
        <w:tc>
          <w:tcPr>
            <w:tcW w:w="4140" w:type="dxa"/>
            <w:vMerge w:val="continue"/>
            <w:tcBorders>
              <w:tl2br w:val="nil"/>
              <w:tr2bl w:val="nil"/>
            </w:tcBorders>
            <w:vAlign w:val="center"/>
          </w:tcPr>
          <w:p w14:paraId="52FDA2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660" w:type="dxa"/>
            <w:tcBorders>
              <w:tl2br w:val="nil"/>
              <w:tr2bl w:val="nil"/>
            </w:tcBorders>
            <w:vAlign w:val="center"/>
          </w:tcPr>
          <w:p w14:paraId="69E6B79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100</w:t>
            </w:r>
          </w:p>
        </w:tc>
        <w:tc>
          <w:tcPr>
            <w:tcW w:w="760" w:type="dxa"/>
            <w:vMerge w:val="continue"/>
            <w:tcBorders>
              <w:tl2br w:val="nil"/>
              <w:tr2bl w:val="nil"/>
            </w:tcBorders>
            <w:vAlign w:val="center"/>
          </w:tcPr>
          <w:p w14:paraId="7FE168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760" w:type="dxa"/>
            <w:tcBorders>
              <w:tl2br w:val="nil"/>
              <w:tr2bl w:val="nil"/>
            </w:tcBorders>
            <w:vAlign w:val="center"/>
          </w:tcPr>
          <w:p w14:paraId="3C1D566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729" w:type="dxa"/>
            <w:tcBorders>
              <w:tl2br w:val="nil"/>
              <w:tr2bl w:val="nil"/>
            </w:tcBorders>
            <w:vAlign w:val="center"/>
          </w:tcPr>
          <w:p w14:paraId="2332D66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581" w:type="dxa"/>
            <w:tcBorders>
              <w:tl2br w:val="nil"/>
              <w:tr2bl w:val="nil"/>
            </w:tcBorders>
            <w:vAlign w:val="center"/>
          </w:tcPr>
          <w:p w14:paraId="3B0F908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22" w:type="dxa"/>
            <w:tcBorders>
              <w:tl2br w:val="nil"/>
              <w:tr2bl w:val="nil"/>
            </w:tcBorders>
            <w:vAlign w:val="center"/>
          </w:tcPr>
          <w:p w14:paraId="425965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6</w:t>
            </w:r>
          </w:p>
        </w:tc>
      </w:tr>
      <w:tr w14:paraId="53D66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72" w:type="dxa"/>
            <w:vMerge w:val="restart"/>
            <w:tcBorders>
              <w:tl2br w:val="nil"/>
              <w:tr2bl w:val="nil"/>
            </w:tcBorders>
            <w:vAlign w:val="center"/>
          </w:tcPr>
          <w:p w14:paraId="10D762F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员工生活</w:t>
            </w:r>
          </w:p>
        </w:tc>
        <w:tc>
          <w:tcPr>
            <w:tcW w:w="656" w:type="dxa"/>
            <w:vMerge w:val="restart"/>
            <w:tcBorders>
              <w:tl2br w:val="nil"/>
              <w:tr2bl w:val="nil"/>
            </w:tcBorders>
            <w:vAlign w:val="center"/>
          </w:tcPr>
          <w:p w14:paraId="22CB4A4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员工</w:t>
            </w:r>
          </w:p>
        </w:tc>
        <w:tc>
          <w:tcPr>
            <w:tcW w:w="640" w:type="dxa"/>
            <w:vMerge w:val="restart"/>
            <w:tcBorders>
              <w:tl2br w:val="nil"/>
              <w:tr2bl w:val="nil"/>
            </w:tcBorders>
            <w:vAlign w:val="center"/>
          </w:tcPr>
          <w:p w14:paraId="4AD744C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生活污水</w:t>
            </w:r>
          </w:p>
        </w:tc>
        <w:tc>
          <w:tcPr>
            <w:tcW w:w="890" w:type="dxa"/>
            <w:tcBorders>
              <w:tl2br w:val="nil"/>
              <w:tr2bl w:val="nil"/>
            </w:tcBorders>
            <w:vAlign w:val="center"/>
          </w:tcPr>
          <w:p w14:paraId="35B2BF7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COD</w:t>
            </w:r>
          </w:p>
        </w:tc>
        <w:tc>
          <w:tcPr>
            <w:tcW w:w="390" w:type="dxa"/>
            <w:vMerge w:val="restart"/>
            <w:tcBorders>
              <w:tl2br w:val="nil"/>
              <w:tr2bl w:val="nil"/>
            </w:tcBorders>
            <w:vAlign w:val="center"/>
          </w:tcPr>
          <w:p w14:paraId="7128A79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类比法</w:t>
            </w:r>
          </w:p>
        </w:tc>
        <w:tc>
          <w:tcPr>
            <w:tcW w:w="920" w:type="dxa"/>
            <w:vMerge w:val="restart"/>
            <w:tcBorders>
              <w:tl2br w:val="nil"/>
              <w:tr2bl w:val="nil"/>
            </w:tcBorders>
            <w:vAlign w:val="center"/>
          </w:tcPr>
          <w:p w14:paraId="7CA341E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57.6</w:t>
            </w:r>
          </w:p>
        </w:tc>
        <w:tc>
          <w:tcPr>
            <w:tcW w:w="870" w:type="dxa"/>
            <w:tcBorders>
              <w:tl2br w:val="nil"/>
              <w:tr2bl w:val="nil"/>
            </w:tcBorders>
            <w:vAlign w:val="center"/>
          </w:tcPr>
          <w:p w14:paraId="05557E4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300</w:t>
            </w:r>
          </w:p>
        </w:tc>
        <w:tc>
          <w:tcPr>
            <w:tcW w:w="930" w:type="dxa"/>
            <w:tcBorders>
              <w:tl2br w:val="nil"/>
              <w:tr2bl w:val="nil"/>
            </w:tcBorders>
            <w:vAlign w:val="center"/>
          </w:tcPr>
          <w:p w14:paraId="66AF837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w:t>
            </w:r>
          </w:p>
        </w:tc>
        <w:tc>
          <w:tcPr>
            <w:tcW w:w="4140" w:type="dxa"/>
            <w:vMerge w:val="restart"/>
            <w:tcBorders>
              <w:tl2br w:val="nil"/>
              <w:tr2bl w:val="nil"/>
            </w:tcBorders>
            <w:vAlign w:val="center"/>
          </w:tcPr>
          <w:p w14:paraId="577D00B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施工期生活污水</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，本项目施工现场距离周边已建集油阀组间、配水间距离约为0-1km，施工人员步行或乘施工车辆进入附近集油阀组间防渗旱厕，</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用罐车抽排至高平4号污水站，排入大庆市净源环保科技有限公司处理达标后排放。</w:t>
            </w:r>
          </w:p>
        </w:tc>
        <w:tc>
          <w:tcPr>
            <w:tcW w:w="660" w:type="dxa"/>
            <w:vMerge w:val="restart"/>
            <w:tcBorders>
              <w:tl2br w:val="nil"/>
              <w:tr2bl w:val="nil"/>
            </w:tcBorders>
            <w:vAlign w:val="center"/>
          </w:tcPr>
          <w:p w14:paraId="1098A1D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p>
        </w:tc>
        <w:tc>
          <w:tcPr>
            <w:tcW w:w="760" w:type="dxa"/>
            <w:vMerge w:val="continue"/>
            <w:tcBorders>
              <w:tl2br w:val="nil"/>
              <w:tr2bl w:val="nil"/>
            </w:tcBorders>
            <w:vAlign w:val="center"/>
          </w:tcPr>
          <w:p w14:paraId="67102E6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760" w:type="dxa"/>
            <w:vMerge w:val="restart"/>
            <w:tcBorders>
              <w:tl2br w:val="nil"/>
              <w:tr2bl w:val="nil"/>
            </w:tcBorders>
            <w:vAlign w:val="center"/>
          </w:tcPr>
          <w:p w14:paraId="7806474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729" w:type="dxa"/>
            <w:vMerge w:val="restart"/>
            <w:tcBorders>
              <w:tl2br w:val="nil"/>
              <w:tr2bl w:val="nil"/>
            </w:tcBorders>
            <w:vAlign w:val="center"/>
          </w:tcPr>
          <w:p w14:paraId="45E0230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581" w:type="dxa"/>
            <w:vMerge w:val="restart"/>
            <w:tcBorders>
              <w:tl2br w:val="nil"/>
              <w:tr2bl w:val="nil"/>
            </w:tcBorders>
            <w:vAlign w:val="center"/>
          </w:tcPr>
          <w:p w14:paraId="375C084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w:t>
            </w:r>
          </w:p>
        </w:tc>
        <w:tc>
          <w:tcPr>
            <w:tcW w:w="622" w:type="dxa"/>
            <w:vMerge w:val="restart"/>
            <w:tcBorders>
              <w:tl2br w:val="nil"/>
              <w:tr2bl w:val="nil"/>
            </w:tcBorders>
            <w:vAlign w:val="center"/>
          </w:tcPr>
          <w:p w14:paraId="597C30F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30</w:t>
            </w:r>
          </w:p>
        </w:tc>
      </w:tr>
      <w:tr w14:paraId="724AB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2" w:type="dxa"/>
            <w:vMerge w:val="continue"/>
            <w:tcBorders>
              <w:tl2br w:val="nil"/>
              <w:tr2bl w:val="nil"/>
            </w:tcBorders>
            <w:vAlign w:val="center"/>
          </w:tcPr>
          <w:p w14:paraId="306E95D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56" w:type="dxa"/>
            <w:vMerge w:val="continue"/>
            <w:tcBorders>
              <w:tl2br w:val="nil"/>
              <w:tr2bl w:val="nil"/>
            </w:tcBorders>
            <w:vAlign w:val="center"/>
          </w:tcPr>
          <w:p w14:paraId="0D2DC7D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0" w:type="dxa"/>
            <w:vMerge w:val="continue"/>
            <w:tcBorders>
              <w:tl2br w:val="nil"/>
              <w:tr2bl w:val="nil"/>
            </w:tcBorders>
            <w:vAlign w:val="center"/>
          </w:tcPr>
          <w:p w14:paraId="7456990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90" w:type="dxa"/>
            <w:tcBorders>
              <w:tl2br w:val="nil"/>
              <w:tr2bl w:val="nil"/>
            </w:tcBorders>
            <w:vAlign w:val="center"/>
          </w:tcPr>
          <w:p w14:paraId="7CEF756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SS</w:t>
            </w:r>
          </w:p>
        </w:tc>
        <w:tc>
          <w:tcPr>
            <w:tcW w:w="390" w:type="dxa"/>
            <w:vMerge w:val="continue"/>
            <w:tcBorders>
              <w:tl2br w:val="nil"/>
              <w:tr2bl w:val="nil"/>
            </w:tcBorders>
            <w:vAlign w:val="center"/>
          </w:tcPr>
          <w:p w14:paraId="007EC76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20" w:type="dxa"/>
            <w:vMerge w:val="continue"/>
            <w:tcBorders>
              <w:tl2br w:val="nil"/>
              <w:tr2bl w:val="nil"/>
            </w:tcBorders>
            <w:vAlign w:val="center"/>
          </w:tcPr>
          <w:p w14:paraId="52A3149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870" w:type="dxa"/>
            <w:tcBorders>
              <w:tl2br w:val="nil"/>
              <w:tr2bl w:val="nil"/>
            </w:tcBorders>
            <w:vAlign w:val="center"/>
          </w:tcPr>
          <w:p w14:paraId="5195DBF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150</w:t>
            </w:r>
          </w:p>
        </w:tc>
        <w:tc>
          <w:tcPr>
            <w:tcW w:w="930" w:type="dxa"/>
            <w:tcBorders>
              <w:tl2br w:val="nil"/>
              <w:tr2bl w:val="nil"/>
            </w:tcBorders>
            <w:vAlign w:val="center"/>
          </w:tcPr>
          <w:p w14:paraId="5323814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09</w:t>
            </w:r>
          </w:p>
        </w:tc>
        <w:tc>
          <w:tcPr>
            <w:tcW w:w="4140" w:type="dxa"/>
            <w:vMerge w:val="continue"/>
            <w:tcBorders>
              <w:tl2br w:val="nil"/>
              <w:tr2bl w:val="nil"/>
            </w:tcBorders>
            <w:vAlign w:val="center"/>
          </w:tcPr>
          <w:p w14:paraId="641BAC4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60" w:type="dxa"/>
            <w:vMerge w:val="continue"/>
            <w:tcBorders>
              <w:tl2br w:val="nil"/>
              <w:tr2bl w:val="nil"/>
            </w:tcBorders>
            <w:vAlign w:val="center"/>
          </w:tcPr>
          <w:p w14:paraId="1695E87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60" w:type="dxa"/>
            <w:vMerge w:val="continue"/>
            <w:tcBorders>
              <w:tl2br w:val="nil"/>
              <w:tr2bl w:val="nil"/>
            </w:tcBorders>
            <w:vAlign w:val="center"/>
          </w:tcPr>
          <w:p w14:paraId="24A30E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60" w:type="dxa"/>
            <w:vMerge w:val="continue"/>
            <w:tcBorders>
              <w:tl2br w:val="nil"/>
              <w:tr2bl w:val="nil"/>
            </w:tcBorders>
            <w:vAlign w:val="center"/>
          </w:tcPr>
          <w:p w14:paraId="074F1B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29" w:type="dxa"/>
            <w:vMerge w:val="continue"/>
            <w:tcBorders>
              <w:tl2br w:val="nil"/>
              <w:tr2bl w:val="nil"/>
            </w:tcBorders>
            <w:vAlign w:val="center"/>
          </w:tcPr>
          <w:p w14:paraId="70BF339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81" w:type="dxa"/>
            <w:vMerge w:val="continue"/>
            <w:tcBorders>
              <w:tl2br w:val="nil"/>
              <w:tr2bl w:val="nil"/>
            </w:tcBorders>
            <w:vAlign w:val="center"/>
          </w:tcPr>
          <w:p w14:paraId="3A01E5A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22" w:type="dxa"/>
            <w:vMerge w:val="continue"/>
            <w:tcBorders>
              <w:tl2br w:val="nil"/>
              <w:tr2bl w:val="nil"/>
            </w:tcBorders>
            <w:vAlign w:val="center"/>
          </w:tcPr>
          <w:p w14:paraId="179045C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760E9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2" w:type="dxa"/>
            <w:vMerge w:val="continue"/>
            <w:tcBorders>
              <w:tl2br w:val="nil"/>
              <w:tr2bl w:val="nil"/>
            </w:tcBorders>
            <w:vAlign w:val="center"/>
          </w:tcPr>
          <w:p w14:paraId="26C8AE5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56" w:type="dxa"/>
            <w:vMerge w:val="continue"/>
            <w:tcBorders>
              <w:tl2br w:val="nil"/>
              <w:tr2bl w:val="nil"/>
            </w:tcBorders>
            <w:vAlign w:val="center"/>
          </w:tcPr>
          <w:p w14:paraId="7991C39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0" w:type="dxa"/>
            <w:vMerge w:val="continue"/>
            <w:tcBorders>
              <w:tl2br w:val="nil"/>
              <w:tr2bl w:val="nil"/>
            </w:tcBorders>
            <w:vAlign w:val="center"/>
          </w:tcPr>
          <w:p w14:paraId="7F361B3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90" w:type="dxa"/>
            <w:tcBorders>
              <w:tl2br w:val="nil"/>
              <w:tr2bl w:val="nil"/>
            </w:tcBorders>
            <w:vAlign w:val="center"/>
          </w:tcPr>
          <w:p w14:paraId="42C4961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NH</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-N</w:t>
            </w:r>
          </w:p>
        </w:tc>
        <w:tc>
          <w:tcPr>
            <w:tcW w:w="390" w:type="dxa"/>
            <w:vMerge w:val="continue"/>
            <w:tcBorders>
              <w:tl2br w:val="nil"/>
              <w:tr2bl w:val="nil"/>
            </w:tcBorders>
            <w:vAlign w:val="center"/>
          </w:tcPr>
          <w:p w14:paraId="6972BBE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20" w:type="dxa"/>
            <w:vMerge w:val="continue"/>
            <w:tcBorders>
              <w:tl2br w:val="nil"/>
              <w:tr2bl w:val="nil"/>
            </w:tcBorders>
            <w:vAlign w:val="center"/>
          </w:tcPr>
          <w:p w14:paraId="7EF3FCE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870" w:type="dxa"/>
            <w:tcBorders>
              <w:tl2br w:val="nil"/>
              <w:tr2bl w:val="nil"/>
            </w:tcBorders>
            <w:vAlign w:val="center"/>
          </w:tcPr>
          <w:p w14:paraId="4808E2D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30</w:t>
            </w:r>
          </w:p>
        </w:tc>
        <w:tc>
          <w:tcPr>
            <w:tcW w:w="930" w:type="dxa"/>
            <w:tcBorders>
              <w:tl2br w:val="nil"/>
              <w:tr2bl w:val="nil"/>
            </w:tcBorders>
            <w:vAlign w:val="center"/>
          </w:tcPr>
          <w:p w14:paraId="29B3979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4140" w:type="dxa"/>
            <w:vMerge w:val="continue"/>
            <w:tcBorders>
              <w:tl2br w:val="nil"/>
              <w:tr2bl w:val="nil"/>
            </w:tcBorders>
            <w:vAlign w:val="center"/>
          </w:tcPr>
          <w:p w14:paraId="5EF5FAD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60" w:type="dxa"/>
            <w:vMerge w:val="continue"/>
            <w:tcBorders>
              <w:tl2br w:val="nil"/>
              <w:tr2bl w:val="nil"/>
            </w:tcBorders>
            <w:vAlign w:val="center"/>
          </w:tcPr>
          <w:p w14:paraId="712828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60" w:type="dxa"/>
            <w:vMerge w:val="continue"/>
            <w:tcBorders>
              <w:tl2br w:val="nil"/>
              <w:tr2bl w:val="nil"/>
            </w:tcBorders>
            <w:vAlign w:val="center"/>
          </w:tcPr>
          <w:p w14:paraId="5C5A68F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60" w:type="dxa"/>
            <w:vMerge w:val="continue"/>
            <w:tcBorders>
              <w:tl2br w:val="nil"/>
              <w:tr2bl w:val="nil"/>
            </w:tcBorders>
            <w:vAlign w:val="center"/>
          </w:tcPr>
          <w:p w14:paraId="148F1BC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729" w:type="dxa"/>
            <w:vMerge w:val="continue"/>
            <w:tcBorders>
              <w:tl2br w:val="nil"/>
              <w:tr2bl w:val="nil"/>
            </w:tcBorders>
            <w:vAlign w:val="center"/>
          </w:tcPr>
          <w:p w14:paraId="43E3078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81" w:type="dxa"/>
            <w:vMerge w:val="continue"/>
            <w:tcBorders>
              <w:tl2br w:val="nil"/>
              <w:tr2bl w:val="nil"/>
            </w:tcBorders>
            <w:vAlign w:val="center"/>
          </w:tcPr>
          <w:p w14:paraId="0DC9649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22" w:type="dxa"/>
            <w:vMerge w:val="continue"/>
            <w:tcBorders>
              <w:tl2br w:val="nil"/>
              <w:tr2bl w:val="nil"/>
            </w:tcBorders>
            <w:vAlign w:val="center"/>
          </w:tcPr>
          <w:p w14:paraId="7A2DE82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bl>
    <w:p w14:paraId="52B4303B">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p>
    <w:p w14:paraId="12F216B2">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表3.6-</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施工期</w:t>
      </w:r>
      <w:r>
        <w:rPr>
          <w:rFonts w:hint="default" w:ascii="Times New Roman" w:hAnsi="Times New Roman" w:cs="Times New Roman"/>
          <w:color w:val="000000" w:themeColor="text1"/>
          <w:highlight w:val="none"/>
          <w:lang w:val="en-US" w:eastAsia="zh-CN"/>
          <w14:textFill>
            <w14:solidFill>
              <w14:schemeClr w14:val="tx1"/>
            </w14:solidFill>
          </w14:textFill>
        </w:rPr>
        <w:t>噪声</w:t>
      </w:r>
      <w:r>
        <w:rPr>
          <w:rFonts w:hint="default" w:ascii="Times New Roman" w:hAnsi="Times New Roman" w:cs="Times New Roman"/>
          <w:color w:val="000000" w:themeColor="text1"/>
          <w:highlight w:val="none"/>
          <w14:textFill>
            <w14:solidFill>
              <w14:schemeClr w14:val="tx1"/>
            </w14:solidFill>
          </w14:textFill>
        </w:rPr>
        <w:t>污染源源强核算结果及相关参数一览表单位：dB（A）</w:t>
      </w:r>
    </w:p>
    <w:tbl>
      <w:tblPr>
        <w:tblStyle w:val="18"/>
        <w:tblW w:w="14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643"/>
        <w:gridCol w:w="1513"/>
        <w:gridCol w:w="1633"/>
        <w:gridCol w:w="1124"/>
        <w:gridCol w:w="913"/>
        <w:gridCol w:w="1843"/>
        <w:gridCol w:w="1402"/>
        <w:gridCol w:w="1530"/>
        <w:gridCol w:w="1317"/>
        <w:gridCol w:w="954"/>
      </w:tblGrid>
      <w:tr w14:paraId="11D0E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restart"/>
            <w:vAlign w:val="center"/>
          </w:tcPr>
          <w:p w14:paraId="015FB7D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工序</w:t>
            </w:r>
          </w:p>
        </w:tc>
        <w:tc>
          <w:tcPr>
            <w:tcW w:w="643" w:type="dxa"/>
            <w:vMerge w:val="restart"/>
            <w:vAlign w:val="center"/>
          </w:tcPr>
          <w:p w14:paraId="53420681">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装置</w:t>
            </w:r>
          </w:p>
        </w:tc>
        <w:tc>
          <w:tcPr>
            <w:tcW w:w="1513" w:type="dxa"/>
            <w:vMerge w:val="restart"/>
            <w:vAlign w:val="center"/>
          </w:tcPr>
          <w:p w14:paraId="2C77570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噪声源</w:t>
            </w:r>
          </w:p>
        </w:tc>
        <w:tc>
          <w:tcPr>
            <w:tcW w:w="1633" w:type="dxa"/>
            <w:vMerge w:val="restart"/>
            <w:vAlign w:val="center"/>
          </w:tcPr>
          <w:p w14:paraId="3D3F15D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声源类型</w:t>
            </w:r>
          </w:p>
        </w:tc>
        <w:tc>
          <w:tcPr>
            <w:tcW w:w="2037" w:type="dxa"/>
            <w:gridSpan w:val="2"/>
            <w:vAlign w:val="center"/>
          </w:tcPr>
          <w:p w14:paraId="1A4ED501">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噪声源强</w:t>
            </w:r>
          </w:p>
        </w:tc>
        <w:tc>
          <w:tcPr>
            <w:tcW w:w="3245" w:type="dxa"/>
            <w:gridSpan w:val="2"/>
            <w:vAlign w:val="center"/>
          </w:tcPr>
          <w:p w14:paraId="1B2A65E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降噪措施</w:t>
            </w:r>
          </w:p>
        </w:tc>
        <w:tc>
          <w:tcPr>
            <w:tcW w:w="2847" w:type="dxa"/>
            <w:gridSpan w:val="2"/>
            <w:vAlign w:val="center"/>
          </w:tcPr>
          <w:p w14:paraId="3CF8426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噪声值排放</w:t>
            </w:r>
          </w:p>
        </w:tc>
        <w:tc>
          <w:tcPr>
            <w:tcW w:w="954" w:type="dxa"/>
            <w:vMerge w:val="restart"/>
            <w:vAlign w:val="center"/>
          </w:tcPr>
          <w:p w14:paraId="24BBAF8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持续时间</w:t>
            </w:r>
          </w:p>
        </w:tc>
      </w:tr>
      <w:tr w14:paraId="451D1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continue"/>
            <w:vAlign w:val="center"/>
          </w:tcPr>
          <w:p w14:paraId="08F4C6E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43" w:type="dxa"/>
            <w:vMerge w:val="continue"/>
            <w:vAlign w:val="center"/>
          </w:tcPr>
          <w:p w14:paraId="2A429E6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513" w:type="dxa"/>
            <w:vMerge w:val="continue"/>
            <w:vAlign w:val="center"/>
          </w:tcPr>
          <w:p w14:paraId="1F5F27A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633" w:type="dxa"/>
            <w:vMerge w:val="continue"/>
            <w:vAlign w:val="center"/>
          </w:tcPr>
          <w:p w14:paraId="5BE3FF4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24" w:type="dxa"/>
            <w:vAlign w:val="center"/>
          </w:tcPr>
          <w:p w14:paraId="531D637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核算方法</w:t>
            </w:r>
          </w:p>
        </w:tc>
        <w:tc>
          <w:tcPr>
            <w:tcW w:w="913" w:type="dxa"/>
            <w:vAlign w:val="center"/>
          </w:tcPr>
          <w:p w14:paraId="53434EFA">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噪声值</w:t>
            </w:r>
          </w:p>
        </w:tc>
        <w:tc>
          <w:tcPr>
            <w:tcW w:w="1843" w:type="dxa"/>
            <w:vAlign w:val="center"/>
          </w:tcPr>
          <w:p w14:paraId="341D224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工艺</w:t>
            </w:r>
          </w:p>
        </w:tc>
        <w:tc>
          <w:tcPr>
            <w:tcW w:w="1402" w:type="dxa"/>
            <w:vAlign w:val="center"/>
          </w:tcPr>
          <w:p w14:paraId="07EA94A1">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降噪效果</w:t>
            </w:r>
          </w:p>
        </w:tc>
        <w:tc>
          <w:tcPr>
            <w:tcW w:w="1530" w:type="dxa"/>
            <w:vAlign w:val="center"/>
          </w:tcPr>
          <w:p w14:paraId="0E9A8E8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核算方法</w:t>
            </w:r>
          </w:p>
        </w:tc>
        <w:tc>
          <w:tcPr>
            <w:tcW w:w="1317" w:type="dxa"/>
            <w:vAlign w:val="center"/>
          </w:tcPr>
          <w:p w14:paraId="645D3656">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噪声值</w:t>
            </w:r>
          </w:p>
        </w:tc>
        <w:tc>
          <w:tcPr>
            <w:tcW w:w="954" w:type="dxa"/>
            <w:vMerge w:val="continue"/>
            <w:vAlign w:val="center"/>
          </w:tcPr>
          <w:p w14:paraId="0C63F7D3">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6229E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restart"/>
            <w:tcBorders>
              <w:top w:val="single" w:color="auto" w:sz="2" w:space="0"/>
            </w:tcBorders>
            <w:vAlign w:val="center"/>
          </w:tcPr>
          <w:p w14:paraId="702C81C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643" w:type="dxa"/>
            <w:vMerge w:val="restart"/>
            <w:tcBorders>
              <w:top w:val="single" w:color="auto" w:sz="2" w:space="0"/>
            </w:tcBorders>
            <w:vAlign w:val="center"/>
          </w:tcPr>
          <w:p w14:paraId="00DFC58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w:t>
            </w:r>
          </w:p>
          <w:p w14:paraId="13E18B51">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机械</w:t>
            </w:r>
          </w:p>
        </w:tc>
        <w:tc>
          <w:tcPr>
            <w:tcW w:w="1513" w:type="dxa"/>
            <w:tcBorders>
              <w:top w:val="single" w:color="auto" w:sz="2" w:space="0"/>
            </w:tcBorders>
            <w:vAlign w:val="center"/>
          </w:tcPr>
          <w:p w14:paraId="6A3E1D3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挖掘机</w:t>
            </w:r>
          </w:p>
        </w:tc>
        <w:tc>
          <w:tcPr>
            <w:tcW w:w="1633" w:type="dxa"/>
            <w:vAlign w:val="top"/>
          </w:tcPr>
          <w:p w14:paraId="64C35714">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流动声源</w:t>
            </w:r>
          </w:p>
        </w:tc>
        <w:tc>
          <w:tcPr>
            <w:tcW w:w="1124" w:type="dxa"/>
            <w:vAlign w:val="top"/>
          </w:tcPr>
          <w:p w14:paraId="6BE4BA27">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913" w:type="dxa"/>
            <w:tcBorders>
              <w:top w:val="single" w:color="auto" w:sz="2" w:space="0"/>
            </w:tcBorders>
            <w:vAlign w:val="center"/>
          </w:tcPr>
          <w:p w14:paraId="6E2A25E9">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82-90</w:t>
            </w:r>
          </w:p>
        </w:tc>
        <w:tc>
          <w:tcPr>
            <w:tcW w:w="1843" w:type="dxa"/>
            <w:vMerge w:val="restart"/>
            <w:tcBorders>
              <w:top w:val="single" w:color="auto" w:sz="2" w:space="0"/>
            </w:tcBorders>
            <w:vAlign w:val="center"/>
          </w:tcPr>
          <w:p w14:paraId="16BC1BF9">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选用低噪声设备、定期维护保养</w:t>
            </w:r>
          </w:p>
        </w:tc>
        <w:tc>
          <w:tcPr>
            <w:tcW w:w="1402" w:type="dxa"/>
            <w:tcBorders>
              <w:top w:val="single" w:color="auto" w:sz="2" w:space="0"/>
            </w:tcBorders>
            <w:vAlign w:val="top"/>
          </w:tcPr>
          <w:p w14:paraId="5EAF529C">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w:t>
            </w:r>
          </w:p>
        </w:tc>
        <w:tc>
          <w:tcPr>
            <w:tcW w:w="1530" w:type="dxa"/>
            <w:vAlign w:val="top"/>
          </w:tcPr>
          <w:p w14:paraId="03F90E2C">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1317" w:type="dxa"/>
            <w:vAlign w:val="center"/>
          </w:tcPr>
          <w:p w14:paraId="1CEE08DF">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82-90</w:t>
            </w:r>
          </w:p>
        </w:tc>
        <w:tc>
          <w:tcPr>
            <w:tcW w:w="954" w:type="dxa"/>
            <w:vMerge w:val="restart"/>
            <w:vAlign w:val="center"/>
          </w:tcPr>
          <w:p w14:paraId="2194080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d</w:t>
            </w:r>
          </w:p>
        </w:tc>
      </w:tr>
      <w:tr w14:paraId="1A4FA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continue"/>
            <w:vAlign w:val="center"/>
          </w:tcPr>
          <w:p w14:paraId="28CA2E8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3" w:type="dxa"/>
            <w:vMerge w:val="continue"/>
            <w:vAlign w:val="center"/>
          </w:tcPr>
          <w:p w14:paraId="21D874C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13" w:type="dxa"/>
            <w:vAlign w:val="center"/>
          </w:tcPr>
          <w:p w14:paraId="3F7CA04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吊装机</w:t>
            </w:r>
          </w:p>
        </w:tc>
        <w:tc>
          <w:tcPr>
            <w:tcW w:w="1633" w:type="dxa"/>
            <w:vAlign w:val="top"/>
          </w:tcPr>
          <w:p w14:paraId="3C242F8D">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流动声源</w:t>
            </w:r>
          </w:p>
        </w:tc>
        <w:tc>
          <w:tcPr>
            <w:tcW w:w="1124" w:type="dxa"/>
            <w:vAlign w:val="top"/>
          </w:tcPr>
          <w:p w14:paraId="34DA2775">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913" w:type="dxa"/>
            <w:vAlign w:val="center"/>
          </w:tcPr>
          <w:p w14:paraId="0CC4610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80-86</w:t>
            </w:r>
          </w:p>
        </w:tc>
        <w:tc>
          <w:tcPr>
            <w:tcW w:w="1843" w:type="dxa"/>
            <w:vMerge w:val="continue"/>
            <w:vAlign w:val="center"/>
          </w:tcPr>
          <w:p w14:paraId="1796731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402" w:type="dxa"/>
            <w:vAlign w:val="top"/>
          </w:tcPr>
          <w:p w14:paraId="795A0CD0">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w:t>
            </w:r>
          </w:p>
        </w:tc>
        <w:tc>
          <w:tcPr>
            <w:tcW w:w="1530" w:type="dxa"/>
            <w:vAlign w:val="top"/>
          </w:tcPr>
          <w:p w14:paraId="62F5088F">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1317" w:type="dxa"/>
            <w:vAlign w:val="center"/>
          </w:tcPr>
          <w:p w14:paraId="498B6A1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80-86</w:t>
            </w:r>
          </w:p>
        </w:tc>
        <w:tc>
          <w:tcPr>
            <w:tcW w:w="954" w:type="dxa"/>
            <w:vMerge w:val="continue"/>
            <w:vAlign w:val="center"/>
          </w:tcPr>
          <w:p w14:paraId="49A83F1B">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70182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continue"/>
            <w:vAlign w:val="center"/>
          </w:tcPr>
          <w:p w14:paraId="3C9D409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3" w:type="dxa"/>
            <w:vMerge w:val="continue"/>
            <w:vAlign w:val="center"/>
          </w:tcPr>
          <w:p w14:paraId="6F47C505">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13" w:type="dxa"/>
            <w:vAlign w:val="center"/>
          </w:tcPr>
          <w:p w14:paraId="1F6BE9A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推土机</w:t>
            </w:r>
          </w:p>
        </w:tc>
        <w:tc>
          <w:tcPr>
            <w:tcW w:w="1633" w:type="dxa"/>
            <w:vAlign w:val="top"/>
          </w:tcPr>
          <w:p w14:paraId="167A9E63">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流动声源</w:t>
            </w:r>
          </w:p>
        </w:tc>
        <w:tc>
          <w:tcPr>
            <w:tcW w:w="1124" w:type="dxa"/>
            <w:vAlign w:val="top"/>
          </w:tcPr>
          <w:p w14:paraId="7DE4E22A">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913" w:type="dxa"/>
            <w:vAlign w:val="center"/>
          </w:tcPr>
          <w:p w14:paraId="790CBEB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83-88</w:t>
            </w:r>
          </w:p>
        </w:tc>
        <w:tc>
          <w:tcPr>
            <w:tcW w:w="1843" w:type="dxa"/>
            <w:vMerge w:val="continue"/>
            <w:vAlign w:val="center"/>
          </w:tcPr>
          <w:p w14:paraId="7EEB4E5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402" w:type="dxa"/>
            <w:vAlign w:val="top"/>
          </w:tcPr>
          <w:p w14:paraId="3DCC3CFA">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w:t>
            </w:r>
          </w:p>
        </w:tc>
        <w:tc>
          <w:tcPr>
            <w:tcW w:w="1530" w:type="dxa"/>
            <w:vAlign w:val="top"/>
          </w:tcPr>
          <w:p w14:paraId="443E0F4A">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1317" w:type="dxa"/>
            <w:vAlign w:val="center"/>
          </w:tcPr>
          <w:p w14:paraId="0C56E4D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83-88</w:t>
            </w:r>
          </w:p>
        </w:tc>
        <w:tc>
          <w:tcPr>
            <w:tcW w:w="954" w:type="dxa"/>
            <w:vMerge w:val="continue"/>
            <w:vAlign w:val="center"/>
          </w:tcPr>
          <w:p w14:paraId="1A7FE01E">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3AF6D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337" w:type="dxa"/>
            <w:vMerge w:val="continue"/>
            <w:vAlign w:val="center"/>
          </w:tcPr>
          <w:p w14:paraId="1088ED47">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3" w:type="dxa"/>
            <w:vMerge w:val="continue"/>
            <w:vAlign w:val="center"/>
          </w:tcPr>
          <w:p w14:paraId="5511092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13" w:type="dxa"/>
            <w:vAlign w:val="center"/>
          </w:tcPr>
          <w:p w14:paraId="3A18B5F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电焊机</w:t>
            </w:r>
          </w:p>
        </w:tc>
        <w:tc>
          <w:tcPr>
            <w:tcW w:w="1633" w:type="dxa"/>
            <w:vAlign w:val="top"/>
          </w:tcPr>
          <w:p w14:paraId="1270FF54">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流动声源</w:t>
            </w:r>
          </w:p>
        </w:tc>
        <w:tc>
          <w:tcPr>
            <w:tcW w:w="1124" w:type="dxa"/>
            <w:vAlign w:val="top"/>
          </w:tcPr>
          <w:p w14:paraId="6D6E26FB">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913" w:type="dxa"/>
            <w:vAlign w:val="center"/>
          </w:tcPr>
          <w:p w14:paraId="1A15386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90-96</w:t>
            </w:r>
          </w:p>
        </w:tc>
        <w:tc>
          <w:tcPr>
            <w:tcW w:w="1843" w:type="dxa"/>
            <w:vMerge w:val="continue"/>
            <w:vAlign w:val="center"/>
          </w:tcPr>
          <w:p w14:paraId="6F342FF8">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402" w:type="dxa"/>
            <w:vAlign w:val="top"/>
          </w:tcPr>
          <w:p w14:paraId="7DCB6308">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w:t>
            </w:r>
          </w:p>
        </w:tc>
        <w:tc>
          <w:tcPr>
            <w:tcW w:w="1530" w:type="dxa"/>
            <w:vAlign w:val="top"/>
          </w:tcPr>
          <w:p w14:paraId="5173CA01">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1317" w:type="dxa"/>
            <w:vAlign w:val="center"/>
          </w:tcPr>
          <w:p w14:paraId="550F1157">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90-96</w:t>
            </w:r>
          </w:p>
        </w:tc>
        <w:tc>
          <w:tcPr>
            <w:tcW w:w="954" w:type="dxa"/>
            <w:vMerge w:val="continue"/>
            <w:vAlign w:val="center"/>
          </w:tcPr>
          <w:p w14:paraId="6D246594">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18AF4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continue"/>
            <w:vAlign w:val="center"/>
          </w:tcPr>
          <w:p w14:paraId="5D899E3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3" w:type="dxa"/>
            <w:vMerge w:val="continue"/>
            <w:vAlign w:val="center"/>
          </w:tcPr>
          <w:p w14:paraId="057B703D">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13" w:type="dxa"/>
            <w:vAlign w:val="center"/>
          </w:tcPr>
          <w:p w14:paraId="112BCBFE">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重型运输车</w:t>
            </w:r>
          </w:p>
        </w:tc>
        <w:tc>
          <w:tcPr>
            <w:tcW w:w="1633" w:type="dxa"/>
            <w:vAlign w:val="top"/>
          </w:tcPr>
          <w:p w14:paraId="6C33770A">
            <w:pPr>
              <w:pStyle w:val="49"/>
              <w:keepNext w:val="0"/>
              <w:keepLines w:val="0"/>
              <w:pageBreakBefore w:val="0"/>
              <w:widowControl w:val="0"/>
              <w:kinsoku/>
              <w:wordWrap/>
              <w:topLinePunct w:val="0"/>
              <w:bidi w:val="0"/>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流动声源</w:t>
            </w:r>
          </w:p>
        </w:tc>
        <w:tc>
          <w:tcPr>
            <w:tcW w:w="1124" w:type="dxa"/>
            <w:vAlign w:val="top"/>
          </w:tcPr>
          <w:p w14:paraId="125D6261">
            <w:pPr>
              <w:pStyle w:val="49"/>
              <w:keepNext w:val="0"/>
              <w:keepLines w:val="0"/>
              <w:pageBreakBefore w:val="0"/>
              <w:widowControl w:val="0"/>
              <w:kinsoku/>
              <w:wordWrap/>
              <w:topLinePunct w:val="0"/>
              <w:bidi w:val="0"/>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913" w:type="dxa"/>
            <w:vAlign w:val="center"/>
          </w:tcPr>
          <w:p w14:paraId="360AA11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82-90</w:t>
            </w:r>
          </w:p>
        </w:tc>
        <w:tc>
          <w:tcPr>
            <w:tcW w:w="1843" w:type="dxa"/>
            <w:vMerge w:val="continue"/>
            <w:vAlign w:val="center"/>
          </w:tcPr>
          <w:p w14:paraId="3938BD1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402" w:type="dxa"/>
            <w:vAlign w:val="top"/>
          </w:tcPr>
          <w:p w14:paraId="36F2AE19">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w:t>
            </w:r>
          </w:p>
        </w:tc>
        <w:tc>
          <w:tcPr>
            <w:tcW w:w="1530" w:type="dxa"/>
            <w:vAlign w:val="top"/>
          </w:tcPr>
          <w:p w14:paraId="063AD4A4">
            <w:pPr>
              <w:pStyle w:val="49"/>
              <w:keepNext w:val="0"/>
              <w:keepLines w:val="0"/>
              <w:pageBreakBefore w:val="0"/>
              <w:widowControl w:val="0"/>
              <w:kinsoku/>
              <w:wordWrap/>
              <w:topLinePunct w:val="0"/>
              <w:bidi w:val="0"/>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1317" w:type="dxa"/>
            <w:vAlign w:val="center"/>
          </w:tcPr>
          <w:p w14:paraId="3C39BC7E">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82-90</w:t>
            </w:r>
          </w:p>
        </w:tc>
        <w:tc>
          <w:tcPr>
            <w:tcW w:w="954" w:type="dxa"/>
            <w:vMerge w:val="continue"/>
            <w:vAlign w:val="center"/>
          </w:tcPr>
          <w:p w14:paraId="5C2736B0">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4B115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37" w:type="dxa"/>
            <w:vMerge w:val="continue"/>
            <w:vAlign w:val="center"/>
          </w:tcPr>
          <w:p w14:paraId="2F8747DC">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643" w:type="dxa"/>
            <w:vMerge w:val="continue"/>
            <w:vAlign w:val="center"/>
          </w:tcPr>
          <w:p w14:paraId="4A6CE98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513" w:type="dxa"/>
            <w:vAlign w:val="center"/>
          </w:tcPr>
          <w:p w14:paraId="7A2C27A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定向钻</w:t>
            </w:r>
          </w:p>
        </w:tc>
        <w:tc>
          <w:tcPr>
            <w:tcW w:w="1633" w:type="dxa"/>
            <w:vAlign w:val="top"/>
          </w:tcPr>
          <w:p w14:paraId="6770F31F">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流动声源</w:t>
            </w:r>
          </w:p>
        </w:tc>
        <w:tc>
          <w:tcPr>
            <w:tcW w:w="1124" w:type="dxa"/>
            <w:vAlign w:val="top"/>
          </w:tcPr>
          <w:p w14:paraId="3907222B">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913" w:type="dxa"/>
            <w:vAlign w:val="center"/>
          </w:tcPr>
          <w:p w14:paraId="2132A42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100</w:t>
            </w:r>
          </w:p>
        </w:tc>
        <w:tc>
          <w:tcPr>
            <w:tcW w:w="1843" w:type="dxa"/>
            <w:vMerge w:val="continue"/>
            <w:vAlign w:val="center"/>
          </w:tcPr>
          <w:p w14:paraId="03B79F9F">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402" w:type="dxa"/>
            <w:vAlign w:val="top"/>
          </w:tcPr>
          <w:p w14:paraId="5F3F3522">
            <w:pPr>
              <w:keepNext w:val="0"/>
              <w:keepLines w:val="0"/>
              <w:pageBreakBefore w:val="0"/>
              <w:widowControl w:val="0"/>
              <w:kinsoku/>
              <w:wordWrap/>
              <w:topLinePunct w:val="0"/>
              <w:bidi w:val="0"/>
              <w:adjustRightInd/>
              <w:snapToGrid/>
              <w:spacing w:after="0"/>
              <w:ind w:left="0" w:leftChars="0" w:firstLine="0" w:firstLineChars="0"/>
              <w:contextualSpacing/>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w:t>
            </w:r>
          </w:p>
        </w:tc>
        <w:tc>
          <w:tcPr>
            <w:tcW w:w="1530" w:type="dxa"/>
            <w:vAlign w:val="top"/>
          </w:tcPr>
          <w:p w14:paraId="214928E8">
            <w:pPr>
              <w:pStyle w:val="49"/>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类比法</w:t>
            </w:r>
          </w:p>
        </w:tc>
        <w:tc>
          <w:tcPr>
            <w:tcW w:w="1317" w:type="dxa"/>
            <w:vAlign w:val="center"/>
          </w:tcPr>
          <w:p w14:paraId="5EFCACA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100</w:t>
            </w:r>
          </w:p>
        </w:tc>
        <w:tc>
          <w:tcPr>
            <w:tcW w:w="954" w:type="dxa"/>
            <w:vMerge w:val="continue"/>
            <w:vAlign w:val="center"/>
          </w:tcPr>
          <w:p w14:paraId="752FFA62">
            <w:pPr>
              <w:keepNext w:val="0"/>
              <w:keepLines w:val="0"/>
              <w:pageBreakBefore w:val="0"/>
              <w:widowControl w:val="0"/>
              <w:kinsoku/>
              <w:wordWrap/>
              <w:topLinePunct w:val="0"/>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bl>
    <w:p w14:paraId="70B5F9FB">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表3.6-</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bCs/>
          <w:color w:val="000000" w:themeColor="text1"/>
          <w:szCs w:val="24"/>
          <w:highlight w:val="none"/>
          <w14:textFill>
            <w14:solidFill>
              <w14:schemeClr w14:val="tx1"/>
            </w14:solidFill>
          </w14:textFill>
        </w:rPr>
        <w:t>施工固体废物源强统计表</w:t>
      </w:r>
    </w:p>
    <w:tbl>
      <w:tblPr>
        <w:tblStyle w:val="18"/>
        <w:tblW w:w="142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60"/>
        <w:gridCol w:w="1770"/>
        <w:gridCol w:w="1129"/>
        <w:gridCol w:w="708"/>
        <w:gridCol w:w="2229"/>
        <w:gridCol w:w="825"/>
        <w:gridCol w:w="1905"/>
        <w:gridCol w:w="3848"/>
      </w:tblGrid>
      <w:tr w14:paraId="4EE5A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0" w:type="dxa"/>
            <w:vMerge w:val="restart"/>
            <w:vAlign w:val="center"/>
          </w:tcPr>
          <w:p w14:paraId="32CD789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工序</w:t>
            </w:r>
          </w:p>
        </w:tc>
        <w:tc>
          <w:tcPr>
            <w:tcW w:w="1160" w:type="dxa"/>
            <w:vMerge w:val="restart"/>
            <w:vAlign w:val="center"/>
          </w:tcPr>
          <w:p w14:paraId="715B67B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装置</w:t>
            </w:r>
          </w:p>
        </w:tc>
        <w:tc>
          <w:tcPr>
            <w:tcW w:w="1770" w:type="dxa"/>
            <w:vMerge w:val="restart"/>
            <w:vAlign w:val="center"/>
          </w:tcPr>
          <w:p w14:paraId="5B6210E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固体废物名称</w:t>
            </w:r>
          </w:p>
        </w:tc>
        <w:tc>
          <w:tcPr>
            <w:tcW w:w="1129" w:type="dxa"/>
            <w:vMerge w:val="restart"/>
            <w:vAlign w:val="center"/>
          </w:tcPr>
          <w:p w14:paraId="060732B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固废属性</w:t>
            </w:r>
          </w:p>
        </w:tc>
        <w:tc>
          <w:tcPr>
            <w:tcW w:w="2937" w:type="dxa"/>
            <w:gridSpan w:val="2"/>
            <w:vAlign w:val="center"/>
          </w:tcPr>
          <w:p w14:paraId="52CF992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产生情况</w:t>
            </w:r>
          </w:p>
        </w:tc>
        <w:tc>
          <w:tcPr>
            <w:tcW w:w="2730" w:type="dxa"/>
            <w:gridSpan w:val="2"/>
            <w:vAlign w:val="center"/>
          </w:tcPr>
          <w:p w14:paraId="1D603B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处置措施</w:t>
            </w:r>
          </w:p>
        </w:tc>
        <w:tc>
          <w:tcPr>
            <w:tcW w:w="3848" w:type="dxa"/>
            <w:vMerge w:val="restart"/>
            <w:vAlign w:val="center"/>
          </w:tcPr>
          <w:p w14:paraId="114B874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最终去向</w:t>
            </w:r>
          </w:p>
        </w:tc>
      </w:tr>
      <w:tr w14:paraId="6FB33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0" w:type="dxa"/>
            <w:vMerge w:val="continue"/>
            <w:tcBorders>
              <w:bottom w:val="single" w:color="auto" w:sz="2" w:space="0"/>
            </w:tcBorders>
            <w:vAlign w:val="center"/>
          </w:tcPr>
          <w:p w14:paraId="0766D26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60" w:type="dxa"/>
            <w:vMerge w:val="continue"/>
            <w:tcBorders>
              <w:bottom w:val="single" w:color="auto" w:sz="2" w:space="0"/>
            </w:tcBorders>
            <w:vAlign w:val="center"/>
          </w:tcPr>
          <w:p w14:paraId="0BA6D8B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770" w:type="dxa"/>
            <w:vMerge w:val="continue"/>
            <w:vAlign w:val="center"/>
          </w:tcPr>
          <w:p w14:paraId="5F8F2E7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29" w:type="dxa"/>
            <w:vMerge w:val="continue"/>
            <w:vAlign w:val="center"/>
          </w:tcPr>
          <w:p w14:paraId="53FD14E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708" w:type="dxa"/>
            <w:vAlign w:val="center"/>
          </w:tcPr>
          <w:p w14:paraId="6B75C26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核算方法</w:t>
            </w:r>
          </w:p>
        </w:tc>
        <w:tc>
          <w:tcPr>
            <w:tcW w:w="2229" w:type="dxa"/>
            <w:vAlign w:val="center"/>
          </w:tcPr>
          <w:p w14:paraId="0BD4E88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产生量</w:t>
            </w:r>
          </w:p>
        </w:tc>
        <w:tc>
          <w:tcPr>
            <w:tcW w:w="825" w:type="dxa"/>
            <w:vAlign w:val="center"/>
          </w:tcPr>
          <w:p w14:paraId="75082D7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核算方法</w:t>
            </w:r>
          </w:p>
        </w:tc>
        <w:tc>
          <w:tcPr>
            <w:tcW w:w="1905" w:type="dxa"/>
            <w:vAlign w:val="center"/>
          </w:tcPr>
          <w:p w14:paraId="5209569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处置量</w:t>
            </w:r>
          </w:p>
        </w:tc>
        <w:tc>
          <w:tcPr>
            <w:tcW w:w="3848" w:type="dxa"/>
            <w:vMerge w:val="continue"/>
            <w:vAlign w:val="center"/>
          </w:tcPr>
          <w:p w14:paraId="45B309E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20655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0" w:type="dxa"/>
            <w:vMerge w:val="restart"/>
            <w:tcBorders>
              <w:top w:val="single" w:color="auto" w:sz="2" w:space="0"/>
            </w:tcBorders>
            <w:vAlign w:val="center"/>
          </w:tcPr>
          <w:p w14:paraId="2EA4947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160" w:type="dxa"/>
            <w:vMerge w:val="restart"/>
            <w:tcBorders>
              <w:top w:val="single" w:color="auto" w:sz="2" w:space="0"/>
            </w:tcBorders>
            <w:vAlign w:val="center"/>
          </w:tcPr>
          <w:p w14:paraId="5026E8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管道施工</w:t>
            </w:r>
          </w:p>
        </w:tc>
        <w:tc>
          <w:tcPr>
            <w:tcW w:w="1770" w:type="dxa"/>
            <w:tcBorders>
              <w:top w:val="single" w:color="auto" w:sz="2" w:space="0"/>
            </w:tcBorders>
            <w:vAlign w:val="center"/>
          </w:tcPr>
          <w:p w14:paraId="37DFD62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管道施工废料</w:t>
            </w:r>
          </w:p>
        </w:tc>
        <w:tc>
          <w:tcPr>
            <w:tcW w:w="1129" w:type="dxa"/>
            <w:tcBorders>
              <w:top w:val="single" w:color="auto" w:sz="2" w:space="0"/>
            </w:tcBorders>
            <w:vAlign w:val="center"/>
          </w:tcPr>
          <w:p w14:paraId="1343C1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工业固废</w:t>
            </w:r>
          </w:p>
        </w:tc>
        <w:tc>
          <w:tcPr>
            <w:tcW w:w="708" w:type="dxa"/>
            <w:vMerge w:val="restart"/>
            <w:tcBorders>
              <w:top w:val="single" w:color="auto" w:sz="2" w:space="0"/>
            </w:tcBorders>
            <w:vAlign w:val="center"/>
          </w:tcPr>
          <w:p w14:paraId="312A2D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类比法</w:t>
            </w:r>
          </w:p>
        </w:tc>
        <w:tc>
          <w:tcPr>
            <w:tcW w:w="2229" w:type="dxa"/>
            <w:tcBorders>
              <w:top w:val="single" w:color="auto" w:sz="2" w:space="0"/>
            </w:tcBorders>
            <w:vAlign w:val="center"/>
          </w:tcPr>
          <w:p w14:paraId="1B786BC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1t</w:t>
            </w:r>
          </w:p>
        </w:tc>
        <w:tc>
          <w:tcPr>
            <w:tcW w:w="825" w:type="dxa"/>
            <w:vMerge w:val="restart"/>
            <w:tcBorders>
              <w:top w:val="single" w:color="auto" w:sz="2" w:space="0"/>
            </w:tcBorders>
            <w:vAlign w:val="center"/>
          </w:tcPr>
          <w:p w14:paraId="295E7A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类比法</w:t>
            </w:r>
          </w:p>
        </w:tc>
        <w:tc>
          <w:tcPr>
            <w:tcW w:w="1905" w:type="dxa"/>
            <w:tcBorders>
              <w:top w:val="single" w:color="auto" w:sz="2" w:space="0"/>
            </w:tcBorders>
            <w:vAlign w:val="center"/>
          </w:tcPr>
          <w:p w14:paraId="58723E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1t</w:t>
            </w:r>
          </w:p>
        </w:tc>
        <w:tc>
          <w:tcPr>
            <w:tcW w:w="3848" w:type="dxa"/>
            <w:vAlign w:val="center"/>
          </w:tcPr>
          <w:p w14:paraId="476BFA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送至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第八采油厂工业固废填埋场</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处理</w:t>
            </w:r>
          </w:p>
        </w:tc>
      </w:tr>
      <w:tr w14:paraId="745DA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0" w:type="dxa"/>
            <w:vMerge w:val="continue"/>
            <w:vAlign w:val="center"/>
          </w:tcPr>
          <w:p w14:paraId="6550F50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60" w:type="dxa"/>
            <w:vMerge w:val="continue"/>
            <w:vAlign w:val="center"/>
          </w:tcPr>
          <w:p w14:paraId="0FA823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770" w:type="dxa"/>
            <w:tcBorders>
              <w:top w:val="single" w:color="auto" w:sz="2" w:space="0"/>
            </w:tcBorders>
            <w:vAlign w:val="center"/>
          </w:tcPr>
          <w:p w14:paraId="430C72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穿越工程废弃泥浆</w:t>
            </w:r>
          </w:p>
        </w:tc>
        <w:tc>
          <w:tcPr>
            <w:tcW w:w="1129" w:type="dxa"/>
            <w:tcBorders>
              <w:top w:val="single" w:color="auto" w:sz="2" w:space="0"/>
            </w:tcBorders>
            <w:vAlign w:val="center"/>
          </w:tcPr>
          <w:p w14:paraId="2045355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工业固废</w:t>
            </w:r>
          </w:p>
        </w:tc>
        <w:tc>
          <w:tcPr>
            <w:tcW w:w="708" w:type="dxa"/>
            <w:vMerge w:val="continue"/>
            <w:vAlign w:val="center"/>
          </w:tcPr>
          <w:p w14:paraId="2D8B98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29" w:type="dxa"/>
            <w:tcBorders>
              <w:top w:val="single" w:color="auto" w:sz="2" w:space="0"/>
            </w:tcBorders>
            <w:vAlign w:val="center"/>
          </w:tcPr>
          <w:p w14:paraId="2CCD8E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68m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p>
        </w:tc>
        <w:tc>
          <w:tcPr>
            <w:tcW w:w="825" w:type="dxa"/>
            <w:vMerge w:val="continue"/>
            <w:vAlign w:val="center"/>
          </w:tcPr>
          <w:p w14:paraId="6FC28A3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905" w:type="dxa"/>
            <w:tcBorders>
              <w:top w:val="single" w:color="auto" w:sz="2" w:space="0"/>
            </w:tcBorders>
            <w:vAlign w:val="center"/>
          </w:tcPr>
          <w:p w14:paraId="5FD4DB4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68m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p>
        </w:tc>
        <w:tc>
          <w:tcPr>
            <w:tcW w:w="3848" w:type="dxa"/>
            <w:vAlign w:val="center"/>
          </w:tcPr>
          <w:p w14:paraId="1655FF6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经防渗泥浆池沉降后，上清液回收洒水降尘、固体部分用于井排路护坡。</w:t>
            </w:r>
          </w:p>
        </w:tc>
      </w:tr>
      <w:tr w14:paraId="716D3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0" w:type="dxa"/>
            <w:vMerge w:val="continue"/>
            <w:vAlign w:val="center"/>
          </w:tcPr>
          <w:p w14:paraId="3A618B1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60" w:type="dxa"/>
            <w:vAlign w:val="center"/>
          </w:tcPr>
          <w:p w14:paraId="25A7D8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场站施工</w:t>
            </w:r>
          </w:p>
        </w:tc>
        <w:tc>
          <w:tcPr>
            <w:tcW w:w="1770" w:type="dxa"/>
            <w:tcBorders>
              <w:top w:val="single" w:color="auto" w:sz="2" w:space="0"/>
            </w:tcBorders>
            <w:vAlign w:val="center"/>
          </w:tcPr>
          <w:p w14:paraId="089B1CC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废旧设备</w:t>
            </w:r>
          </w:p>
        </w:tc>
        <w:tc>
          <w:tcPr>
            <w:tcW w:w="1129" w:type="dxa"/>
            <w:tcBorders>
              <w:top w:val="single" w:color="auto" w:sz="2" w:space="0"/>
            </w:tcBorders>
            <w:vAlign w:val="center"/>
          </w:tcPr>
          <w:p w14:paraId="74F04E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708" w:type="dxa"/>
            <w:vMerge w:val="continue"/>
            <w:vAlign w:val="center"/>
          </w:tcPr>
          <w:p w14:paraId="75EC7DA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29" w:type="dxa"/>
            <w:tcBorders>
              <w:top w:val="single" w:color="auto" w:sz="2" w:space="0"/>
            </w:tcBorders>
            <w:vAlign w:val="center"/>
          </w:tcPr>
          <w:p w14:paraId="450C24A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1套</w:t>
            </w:r>
          </w:p>
        </w:tc>
        <w:tc>
          <w:tcPr>
            <w:tcW w:w="825" w:type="dxa"/>
            <w:vMerge w:val="continue"/>
            <w:vAlign w:val="center"/>
          </w:tcPr>
          <w:p w14:paraId="2A27766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905" w:type="dxa"/>
            <w:tcBorders>
              <w:top w:val="single" w:color="auto" w:sz="2" w:space="0"/>
            </w:tcBorders>
            <w:vAlign w:val="center"/>
          </w:tcPr>
          <w:p w14:paraId="583E92E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1套</w:t>
            </w:r>
          </w:p>
        </w:tc>
        <w:tc>
          <w:tcPr>
            <w:tcW w:w="3848" w:type="dxa"/>
            <w:vAlign w:val="center"/>
          </w:tcPr>
          <w:p w14:paraId="3CCC600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送至第八采油厂资产库回收</w:t>
            </w:r>
          </w:p>
        </w:tc>
      </w:tr>
      <w:tr w14:paraId="6CF4D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60" w:type="dxa"/>
            <w:vMerge w:val="continue"/>
            <w:vAlign w:val="center"/>
          </w:tcPr>
          <w:p w14:paraId="5EA4248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60" w:type="dxa"/>
            <w:vAlign w:val="center"/>
          </w:tcPr>
          <w:p w14:paraId="200B24D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生活区域</w:t>
            </w:r>
          </w:p>
        </w:tc>
        <w:tc>
          <w:tcPr>
            <w:tcW w:w="1770" w:type="dxa"/>
            <w:vAlign w:val="center"/>
          </w:tcPr>
          <w:p w14:paraId="0D53497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生活垃圾</w:t>
            </w:r>
          </w:p>
        </w:tc>
        <w:tc>
          <w:tcPr>
            <w:tcW w:w="1129" w:type="dxa"/>
            <w:vAlign w:val="center"/>
          </w:tcPr>
          <w:p w14:paraId="3BFEA3F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c>
          <w:tcPr>
            <w:tcW w:w="708" w:type="dxa"/>
            <w:vMerge w:val="continue"/>
            <w:vAlign w:val="center"/>
          </w:tcPr>
          <w:p w14:paraId="16A24AB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229" w:type="dxa"/>
            <w:vAlign w:val="center"/>
          </w:tcPr>
          <w:p w14:paraId="78FF789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t</w:t>
            </w:r>
          </w:p>
        </w:tc>
        <w:tc>
          <w:tcPr>
            <w:tcW w:w="825" w:type="dxa"/>
            <w:vMerge w:val="continue"/>
            <w:vAlign w:val="center"/>
          </w:tcPr>
          <w:p w14:paraId="21CFEF1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905" w:type="dxa"/>
            <w:vAlign w:val="center"/>
          </w:tcPr>
          <w:p w14:paraId="5FD2639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t</w:t>
            </w:r>
          </w:p>
        </w:tc>
        <w:tc>
          <w:tcPr>
            <w:tcW w:w="3848" w:type="dxa"/>
            <w:vAlign w:val="center"/>
          </w:tcPr>
          <w:p w14:paraId="2018209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拉运至大庆城控电力有限公司焚烧处理</w:t>
            </w:r>
          </w:p>
        </w:tc>
      </w:tr>
    </w:tbl>
    <w:p w14:paraId="30E03612">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Cs w:val="24"/>
          <w:highlight w:val="none"/>
          <w14:textFill>
            <w14:solidFill>
              <w14:schemeClr w14:val="tx1"/>
            </w14:solidFill>
          </w14:textFill>
        </w:rPr>
        <w:sectPr>
          <w:pgSz w:w="16838" w:h="11906" w:orient="landscape"/>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5A35B3F6">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3.6.2运营期污染源源强核算</w:t>
      </w:r>
    </w:p>
    <w:p w14:paraId="38BF2244">
      <w:pPr>
        <w:pStyle w:val="34"/>
        <w:keepNext w:val="0"/>
        <w:keepLines w:val="0"/>
        <w:pageBreakBefore w:val="0"/>
        <w:widowControl w:val="0"/>
        <w:kinsoku/>
        <w:wordWrap/>
        <w:topLinePunct w:val="0"/>
        <w:autoSpaceDE/>
        <w:autoSpaceDN/>
        <w:bidi w:val="0"/>
        <w:spacing w:after="0" w:line="360" w:lineRule="auto"/>
        <w:ind w:firstLine="480"/>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本项目运营期集输</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采用密闭输送方式输送含水原油、含油污水和伴生气，</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在正常运行状况下无废气、废水、噪声和固体废物产生及排放，但运行过程存在潜在原油、污水及伴生气的泄漏及火灾爆炸的风险，可能对大气、地下水、土壤环境产生污染影响。</w:t>
      </w:r>
    </w:p>
    <w:p w14:paraId="62FCC851">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3.6.3退役期污染源源强核算</w:t>
      </w:r>
    </w:p>
    <w:p w14:paraId="58D18246">
      <w:pPr>
        <w:pStyle w:val="3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本项目退役期主要为本次新建的管道废弃，对集输</w:t>
      </w:r>
      <w:r>
        <w:rPr>
          <w:rFonts w:hint="eastAsia" w:cs="Times New Roman"/>
          <w:color w:val="000000" w:themeColor="text1"/>
          <w:sz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内残留物进行推送至站场，清管废水推送至罐车，清水清管后采取两端封堵直埋，不挖出。</w:t>
      </w:r>
    </w:p>
    <w:p w14:paraId="37CA411F">
      <w:pPr>
        <w:pStyle w:val="3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废弃管道清管废水</w:t>
      </w:r>
      <w:r>
        <w:rPr>
          <w:rFonts w:hint="eastAsia" w:cs="Times New Roman"/>
          <w:color w:val="000000" w:themeColor="text1"/>
          <w:sz w:val="24"/>
          <w:highlight w:val="none"/>
          <w:lang w:val="en-US" w:eastAsia="zh-CN"/>
          <w14:textFill>
            <w14:solidFill>
              <w14:schemeClr w14:val="tx1"/>
            </w14:solidFill>
          </w14:textFill>
        </w:rPr>
        <w:t>335.4t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，主要污染因子为石油类、SS，由罐车拉运至</w:t>
      </w:r>
      <w:r>
        <w:rPr>
          <w:rFonts w:hint="eastAsia" w:cs="Times New Roman"/>
          <w:color w:val="000000" w:themeColor="text1"/>
          <w:sz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w:t>
      </w:r>
    </w:p>
    <w:p w14:paraId="45A5B7AE">
      <w:pPr>
        <w:pStyle w:val="3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sz w:val="24"/>
          <w:szCs w:val="20"/>
          <w:highlight w:val="none"/>
          <w:lang w:val="en-US" w:eastAsia="zh-CN" w:bidi="ar-SA"/>
          <w14:textFill>
            <w14:solidFill>
              <w14:schemeClr w14:val="tx1"/>
            </w14:solidFill>
          </w14:textFill>
        </w:rPr>
        <w:t>退役期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生活污水</w:t>
      </w:r>
      <w:r>
        <w:rPr>
          <w:rFonts w:hint="eastAsia"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55E66E95">
      <w:pPr>
        <w:pStyle w:val="3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退役期生活垃圾统一收集，拉运至大庆城控电力有限公司焚烧处理。</w:t>
      </w:r>
    </w:p>
    <w:p w14:paraId="23F1AD5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68" w:name="_Toc5424"/>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3.7污染物“三本账”汇总</w:t>
      </w:r>
      <w:bookmarkEnd w:id="68"/>
    </w:p>
    <w:p w14:paraId="1DF21099">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bookmarkStart w:id="69" w:name="_Hlk73321883"/>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本项目施工期、退役期产生的各种污染物将随施工活动的结束而消失，</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运营期正常工况下不会产生污染物，因此本项目无需给出三本帐计算。</w:t>
      </w:r>
    </w:p>
    <w:p w14:paraId="0EB8CA7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70" w:name="_Toc24898"/>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3.8清洁生产分析</w:t>
      </w:r>
      <w:bookmarkEnd w:id="70"/>
    </w:p>
    <w:p w14:paraId="1F1A11A3">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3.8.1</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管道</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输送的清洁生产</w:t>
      </w:r>
    </w:p>
    <w:p w14:paraId="58278E25">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（1）优化布局</w:t>
      </w:r>
    </w:p>
    <w:p w14:paraId="5885183A">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本工程开发采取总体方案设计、总体布局，结合当地地形地貌特征，合理确定线路位置和走向，就近挂接线路，最大限度的减少地面工程建设投资。</w:t>
      </w:r>
    </w:p>
    <w:p w14:paraId="10DCB75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（2）采用密闭集输流程</w:t>
      </w:r>
    </w:p>
    <w:p w14:paraId="44E0B3C3">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本项目集输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采用全密闭工艺流程输送含水油，最大程度减少挥发性有机物产生。</w:t>
      </w:r>
    </w:p>
    <w:p w14:paraId="6D294D3E">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（3）本项目在集输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施工完成后立即进行植被恢复和耕地复垦，可有效降低工程施工对环境的影响。</w:t>
      </w:r>
    </w:p>
    <w:p w14:paraId="14E29B51">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3.8.2先进的环境管理</w:t>
      </w:r>
    </w:p>
    <w:p w14:paraId="17E75FE9">
      <w:pPr>
        <w:keepNext w:val="0"/>
        <w:keepLines w:val="0"/>
        <w:pageBreakBefore w:val="0"/>
        <w:widowControl w:val="0"/>
        <w:kinsoku/>
        <w:wordWrap/>
        <w:overflowPunct w:val="0"/>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本项目在实施过程中，积极推行HSE管理体系，对项目实施HSE管理，同时对全体员工进行相应的HSE培训，使职工自觉遵守HSE管理体系并积极保护其人身安全和周围环境，尽量减少直至杜绝环境污染事故的发生。</w:t>
      </w:r>
    </w:p>
    <w:p w14:paraId="6A188E40">
      <w:pPr>
        <w:keepNext w:val="0"/>
        <w:keepLines w:val="0"/>
        <w:pageBreakBefore w:val="0"/>
        <w:widowControl w:val="0"/>
        <w:kinsoku/>
        <w:wordWrap/>
        <w:overflowPunct w:val="0"/>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3.8.3合理有效的污染物处置措施</w:t>
      </w:r>
    </w:p>
    <w:p w14:paraId="17052BC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施工期产生的废旧</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清洗废水、新建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试压废水均通过罐车拉运至</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处理，满足</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油田地面工程建设设计规定》（Q/SYDQ0639-2015）限值要求“含油量≤10mg/L、悬浮固体含量≤5mg/L、粒径中值≤2μm”标准限值，满足《碎屑岩油藏注水水质指标技术要求及分析方法》（SY/T5329-2022）要求，处理达标后回注地下油层，不外排。</w:t>
      </w:r>
    </w:p>
    <w:p w14:paraId="2902F25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628ED62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项目施工期管道施工废料统一收集后，</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拉运至</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第八采油厂工业固废填埋场</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处理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穿越工程产生的废弃泥浆</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经防渗泥浆池沉降后，上清液回收洒水降尘、固体部分用于井排路护坡。拆除废旧设备送至第八采油厂资产库回收。</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施工人员产生的生活垃圾统一收集送附近垃圾点，由环卫部门运至大庆城控电力有限公司处理。</w:t>
      </w:r>
    </w:p>
    <w:p w14:paraId="2CE95823">
      <w:pPr>
        <w:pStyle w:val="34"/>
        <w:keepNext w:val="0"/>
        <w:keepLines w:val="0"/>
        <w:pageBreakBefore w:val="0"/>
        <w:widowControl w:val="0"/>
        <w:kinsoku/>
        <w:wordWrap/>
        <w:overflowPunct w:val="0"/>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根据上述分析，本工程将清洁生产贯穿于设计、建设与生产的全过程，符合清洁生产要求，清洁生产水平达到国内先进水平。</w:t>
      </w:r>
    </w:p>
    <w:p w14:paraId="394B9C60">
      <w:pPr>
        <w:keepNext w:val="0"/>
        <w:keepLines w:val="0"/>
        <w:pageBreakBefore w:val="0"/>
        <w:widowControl w:val="0"/>
        <w:kinsoku/>
        <w:wordWrap/>
        <w:topLinePunct w:val="0"/>
        <w:bidi w:val="0"/>
        <w:rPr>
          <w:rFonts w:hint="default" w:ascii="Times New Roman" w:hAnsi="Times New Roman" w:cs="Times New Roman"/>
          <w:color w:val="000000" w:themeColor="text1"/>
          <w:highlight w:val="none"/>
          <w:lang w:eastAsia="zh-CN"/>
          <w14:textFill>
            <w14:solidFill>
              <w14:schemeClr w14:val="tx1"/>
            </w14:solidFill>
          </w14:textFill>
        </w:rPr>
      </w:pPr>
    </w:p>
    <w:p w14:paraId="3BE0F718">
      <w:pPr>
        <w:pStyle w:val="34"/>
        <w:keepNext w:val="0"/>
        <w:keepLines w:val="0"/>
        <w:pageBreakBefore w:val="0"/>
        <w:widowControl w:val="0"/>
        <w:kinsoku/>
        <w:wordWrap/>
        <w:overflowPunct w:val="0"/>
        <w:topLinePunct w:val="0"/>
        <w:autoSpaceDE/>
        <w:autoSpaceDN/>
        <w:bidi w:val="0"/>
        <w:spacing w:after="0" w:line="360" w:lineRule="auto"/>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7690F02E">
      <w:pPr>
        <w:keepNext w:val="0"/>
        <w:keepLines w:val="0"/>
        <w:pageBreakBefore w:val="0"/>
        <w:widowControl w:val="0"/>
        <w:tabs>
          <w:tab w:val="center" w:pos="4394"/>
          <w:tab w:val="left" w:pos="5484"/>
        </w:tabs>
        <w:kinsoku/>
        <w:wordWrap/>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71" w:name="_Toc9990"/>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四、</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环境现状调查与评价</w:t>
      </w:r>
      <w:bookmarkEnd w:id="71"/>
    </w:p>
    <w:p w14:paraId="64985A98">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72" w:name="_Toc2299"/>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4.1自然环境现状调查与评价</w:t>
      </w:r>
      <w:bookmarkEnd w:id="72"/>
    </w:p>
    <w:p w14:paraId="158EADCE">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4.1.1地理位置</w:t>
      </w:r>
    </w:p>
    <w:p w14:paraId="1592579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本项目区块位于</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黑龙江省绥化市安达市昌德镇、升平镇，大庆市大同区祝三乡境内</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，区内油田公路四通八达，交通便利，移动、联通网络均覆盖该地区，通讯发达。区块周围分布有村屯、农田等。地理坐标为东经124°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53.350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17</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13.251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"，北纬45°</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58</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16.09</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12.99</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"。具体地理位置见附图3-1。</w:t>
      </w:r>
    </w:p>
    <w:p w14:paraId="738000AC">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4.1.2地形地貌</w:t>
      </w:r>
    </w:p>
    <w:p w14:paraId="37221F7A">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开发区域位于松辽平原中部，松花江、嫩江一级阶地上。大地构造属新华夏沉降带，地处松辽凹陷盆地腹部，地势由北向南渐低。地貌景观单一，境内无山岭和丘陵，地貌表现为波状起伏的低平原，地势开阔，稍高处为平缓漫岗，较低处是泡沼和沼泽，属冲积性平原地貌，海拔高度在135</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19</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m之间。</w:t>
      </w:r>
    </w:p>
    <w:p w14:paraId="64879206">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4.1.3气候气象</w:t>
      </w:r>
    </w:p>
    <w:p w14:paraId="6787F939">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气象局近20年气象观测资料显示，项目所在地属北温带大陆性季风气候，四季分明，受蒙古内陆冷空气和海洋暖流季风影响较大，冬季漫长而寒冷干燥，夏季短暂而温湿多雨，春秋季风交替，气温变化大，冰封期长，无霜期短，冻土深达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2.2m。</w:t>
      </w:r>
    </w:p>
    <w:p w14:paraId="0A9D90D1">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气温：年平均气温5.2℃，年极端最高气温38.8℃，年极端最低气温-31.9℃。</w:t>
      </w:r>
    </w:p>
    <w:p w14:paraId="41B2DC2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风速：平均风速2.2m/s，年最大风速为26.2m/s，NW。</w:t>
      </w:r>
    </w:p>
    <w:p w14:paraId="5A017B1D">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降水量：年平均513.6mm，年最大降水量721.2mm。</w:t>
      </w:r>
    </w:p>
    <w:p w14:paraId="57E02AE3">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湿度：年平均相对湿度为60.7%。年日照时数：2470.3h。</w:t>
      </w:r>
    </w:p>
    <w:p w14:paraId="2CD8BD9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4.1.4评价区水文地质条件</w:t>
      </w:r>
    </w:p>
    <w:p w14:paraId="05C389F1">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4.1.4.1地形地貌</w:t>
      </w:r>
    </w:p>
    <w:p w14:paraId="2F599D29">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评价区处于松花江及嫩江冲积平原北部，地形呈北高南低的广阔波状平原。评价区区域地势平坦低洼，地面绝对标高在135</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19</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m之间，北部高南部低，地表径流条件较好。地貌成因类型及形态特征为冲湖积微波状起伏低平原，其沼泽湿地及盐碱低地较为发育。</w:t>
      </w:r>
    </w:p>
    <w:p w14:paraId="41EF9448">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4.1.4.2地质概况</w:t>
      </w:r>
    </w:p>
    <w:p w14:paraId="415970E2">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本工程区域白垩系明水组没有受沉积</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遭受</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剥蚀，第三系受地质运动影响，沉积大安组地层。第四系长期处于上升阶段，第四系地层沉积较薄，形成了多级阶地。根据地质钻探资料分析，区域浅部地层从上到下依次为第四系、白垩系明水组地层。</w:t>
      </w:r>
    </w:p>
    <w:p w14:paraId="38AC15FD">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第四系（Q）</w:t>
      </w:r>
    </w:p>
    <w:p w14:paraId="7FBE068B">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全新统冲积层（Q</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）主要分布在河漫滩冲积层、低平原内残留湖泡的沉积层及近代风砂层等。厚度不等，只有数米，分布不稳定。</w:t>
      </w:r>
    </w:p>
    <w:p w14:paraId="047A5C02">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上更新统哈尔尔组（Q</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）广泛分布于区域，岩性为粉质粘土和粉细砂。粉质粘土：黄褐色</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褐黄色，软塑～可塑，土质不均匀，局部夹有粉土，手捻有砂粒感，含氧化铁斑点，中压缩性，干强度中等，韧性中等，稍有光滑，无摇振反应，地层厚度为5～10.5m。局部夹粉土、粉细砂层，微显层理，裂隙较发育，具有大的孔隙。分布于评价区表层。</w:t>
      </w:r>
    </w:p>
    <w:p w14:paraId="17685F50">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中更新统荒山组（Q</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）广泛分布区域，岩性为河湖相沉积的灰黑色粘土，地层厚度较为均匀，微显层理，局部夹有粉细砂层，致密坚硬，局部由铁质浸染，地层厚度为25.0～30.5m。土质致密，渗透性较差，渗透系数一般在1.0×10</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-6</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～1.0×10</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cm/s，为区域弱透水层，由铁质浸染的斑点条带，含铁钙质结核及白色钙质斑点；第四系与下伏第三系泰康组地层为不整合接触。</w:t>
      </w:r>
    </w:p>
    <w:p w14:paraId="7E7947E3">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白垩系明水组（K</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m）</w:t>
      </w:r>
    </w:p>
    <w:p w14:paraId="595A19AA">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明水组一段（K</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w:t>
      </w:r>
    </w:p>
    <w:p w14:paraId="35AAD0CA">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明水组一段由灰绿色砂岩、泥质砂岩夹厚度为15.0～40.0m的两层灰黑色、灰色泥岩组成的两个明显正旋回沉积物组成。明水组一段在区内的厚度变化较大，局部地区相差较大，一般为120.0～163.5m，局部地区厚度大于200.0m。明水组一段与下伏四方台组地层呈不整合接触。</w:t>
      </w:r>
    </w:p>
    <w:p w14:paraId="0AD0D5D5">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明水组二段（K</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明水组二段为棕红色、砖红、灰及灰绿色泥岩，泥质粉砂岩与灰、灰绿、灰白色细砂岩、中粗砂岩及含砾中粗砂岩组成的湖相沉积或以湖相为主的湖相冲积层。顶部砖红色泥岩分布较为稳定。明水组二段的主要特点是多种颜色混杂，以棕红色为主。明水组二段区域分布特征与明水组一段基本相同，只是分布范围略小。南向北逐渐增厚，一般120.0m～220.0m。明水组二段与下伏明水组一段呈整合接触。</w:t>
      </w:r>
    </w:p>
    <w:p w14:paraId="2ADAC8B5">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4.1.4.3地质构造</w:t>
      </w:r>
    </w:p>
    <w:p w14:paraId="66FC6ECD">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区内上部由第四系松散堆积物所覆盖，未发现断裂构造分布。</w:t>
      </w:r>
    </w:p>
    <w:p w14:paraId="05328BF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根据《中国地震动参数区划图》（GB18306-2001），本区地震动峰值加速度为0.05g，相应的地震基本烈度为Ⅵ度。</w:t>
      </w:r>
    </w:p>
    <w:p w14:paraId="444D7D90">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4.1.5水文地质条件</w:t>
      </w:r>
    </w:p>
    <w:p w14:paraId="50F8C240">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4.1.5.1地下水的形成条件</w:t>
      </w:r>
    </w:p>
    <w:p w14:paraId="712AAE0B">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新生界第三系沉积了巨厚的碎屑岩砂岩，第四系则覆盖全区，不整合于第三系上新统地层之上。在各组岩层中沉积有厚薄不均的砂、砂砾石层及砂岩、砂砾岩层，为地下水的赋存提供了良好的条件。</w:t>
      </w:r>
    </w:p>
    <w:p w14:paraId="6935772F">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根据地下水的埋藏条件及含水层介质、水力性质等，区内地下水类型可划分为第四系上更新统松散层孔隙潜水、白垩系上统明水组孔隙裂隙承压水。区域综合水文地质图见附图4-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，区域水文地质剖面图见附图4-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2065597">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4.1.5.2地下水类型及含水岩组特征</w:t>
      </w:r>
    </w:p>
    <w:p w14:paraId="485FD20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（1）第四系上更新统松散层孔隙潜水</w:t>
      </w:r>
    </w:p>
    <w:p w14:paraId="6530E64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第四系上更新统松散层孔隙潜水分布于全区，含水层岩性为上更新统哈尔滨组粉细砂组成，厚度0～3.5m。地下水水位埋深3.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～7.5m，弱富水性，单井涌水量在500～100m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/d，地下水化学类型以HCO</w:t>
      </w:r>
      <w:r>
        <w:rPr>
          <w:rFonts w:hint="default" w:ascii="Times New Roman" w:hAnsi="Times New Roman" w:eastAsia="宋体" w:cs="Times New Roman"/>
          <w:snapToGrid w:val="0"/>
          <w:color w:val="000000" w:themeColor="text1"/>
          <w:sz w:val="24"/>
          <w:szCs w:val="20"/>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-Ca</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型水为主。该层水为大气降水的垂直入渗补给，无开采供水条件。</w:t>
      </w:r>
    </w:p>
    <w:p w14:paraId="5EEB029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（2）白垩系明水组</w:t>
      </w:r>
    </w:p>
    <w:p w14:paraId="38550D83">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白垩系上统明水组孔隙裂隙承压水含水层明水组二段：岩性主要是含中粗砂岩组成，质软，成岩性较差，含水层分布不均，连续性较差，透水性一般、富水性一般，含砾砂岩含水层单层厚度较薄，层数较多，一般由4</w:t>
      </w:r>
      <w:r>
        <w:rPr>
          <w:rFonts w:hint="eastAsia"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6个层组成，单层厚度3.0～20.0m，含水层顶板埋深50～70m，二段含水层组单井涌水量一般可达800～1200m</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/d（273mm）。</w:t>
      </w:r>
    </w:p>
    <w:p w14:paraId="6EF89816">
      <w:pPr>
        <w:keepNext w:val="0"/>
        <w:keepLines w:val="0"/>
        <w:pageBreakBefore w:val="0"/>
        <w:widowControl w:val="0"/>
        <w:kinsoku/>
        <w:wordWrap/>
        <w:overflowPunct/>
        <w:topLinePunct w:val="0"/>
        <w:autoSpaceDE/>
        <w:autoSpaceDN/>
        <w:bidi w:val="0"/>
        <w:adjustRightInd/>
        <w:spacing w:after="0" w:line="360" w:lineRule="auto"/>
        <w:ind w:firstLine="480" w:firstLineChars="200"/>
        <w:jc w:val="both"/>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明水组一段：岩性主要是含砾砂岩和砂砾岩组成，质软，成岩性较差，含水层分布稳定性较好，透水性一般、富水性一般，一段含砾砂岩含水层单层厚度较薄，层数一般3.0～5.0层，单层厚度3.0～29.0m，累计含水层厚度7.0～45.0m，含水层顶板埋深60～120m。单井涌水量一般都能达到1000-1500m</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/d，水质为重碳酸钙型水。</w:t>
      </w:r>
    </w:p>
    <w:p w14:paraId="1DA8524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明水组含水层的矿化度为480～860g/L，总硬度为66～95mg/L（以CaCO</w:t>
      </w:r>
      <w:r>
        <w:rPr>
          <w:rFonts w:hint="default" w:ascii="Times New Roman" w:hAnsi="Times New Roman" w:cs="Times New Roman" w:eastAsiaTheme="minorEastAsia"/>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计），水质类型为重碳酸钙型水。</w:t>
      </w:r>
    </w:p>
    <w:p w14:paraId="7C3339A9">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4.1.5.3地下水的补给、径流和排泄条件</w:t>
      </w:r>
    </w:p>
    <w:p w14:paraId="7AC3A52A">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地质环境决定了地下水的补给、径流、排泄规律。而其补给、径流和排泄构成了含水层地下水流系统的形成条件。</w:t>
      </w:r>
    </w:p>
    <w:p w14:paraId="60C94AD3">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（1）地下水补给</w:t>
      </w:r>
    </w:p>
    <w:p w14:paraId="28CE5278">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①大气降雨补给</w:t>
      </w:r>
    </w:p>
    <w:p w14:paraId="7FE6E26D">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从区域主要含水层分布可以看出，含水层的补给主</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要是</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 xml:space="preserve">地表水补给和降雨垂向补给上部第四系孔隙潜水含水层，潜水通过透水层越流补给下部的明水组含水层。  </w:t>
      </w:r>
    </w:p>
    <w:p w14:paraId="7796E10B">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②地表水体的入渗补给</w:t>
      </w:r>
    </w:p>
    <w:p w14:paraId="2C6D7649">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项目区内分布的湖泡水的入渗水量构成了第四系潜水补给的主要来源。</w:t>
      </w:r>
    </w:p>
    <w:p w14:paraId="5343CBA0">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③侧向补给</w:t>
      </w:r>
    </w:p>
    <w:p w14:paraId="60B54BB1">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在天然条件下，主要来自区域以外广泛连续分布的同一含水层中的地下水，地下水在水动力驱动下，通过水平方向径流补给区域内地下水，根据水文地质分布特征，项目区地下水侧向主要接受由东</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向西</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方向都有一定量的地下水侧向补给。</w:t>
      </w:r>
    </w:p>
    <w:p w14:paraId="76A2E4DE">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（2）地下水径流规律</w:t>
      </w:r>
    </w:p>
    <w:p w14:paraId="4EF7E578">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区内地下水的径流方向在不同层位有所不同。上部潜水含水层主要由粉细砂组成，颗粒较细，分布不连续，透水性较差，且受地形影响，地下水径流滞缓，项目区范围内地下水流向不明显，区域上总体流向随地势由东</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向西</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流。</w:t>
      </w:r>
    </w:p>
    <w:p w14:paraId="7EBAF563">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（3）地下水排泄</w:t>
      </w:r>
    </w:p>
    <w:p w14:paraId="7D5682D2">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在人为活动影响条件下，项目区地下水的排泄主要有三种类型，即蒸发排泄、侧向径流排泄、人工开采。</w:t>
      </w:r>
    </w:p>
    <w:p w14:paraId="070D0EA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①潜水蒸发排泄</w:t>
      </w:r>
    </w:p>
    <w:p w14:paraId="44764490">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该区属干旱、半干旱季风气候区，区内水面和沼泽湿地较为发育，由于气候干燥，尤其是在多风少雨的春末初夏，降水量小240mm，蒸发强度大（1100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1600mm），因此蒸发是潜水的主要排泄方式。</w:t>
      </w:r>
    </w:p>
    <w:p w14:paraId="17542C8A">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②侧向径流排泄</w:t>
      </w:r>
    </w:p>
    <w:p w14:paraId="2FB99F3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地下水通过同一含水层向区域西南部径流流出区域。</w:t>
      </w:r>
    </w:p>
    <w:p w14:paraId="3639770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③人工开采</w:t>
      </w:r>
    </w:p>
    <w:p w14:paraId="32F2283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区域是地下水人工开采主要地区。根据统计资料，目前区域已建成分散及集中地下水水井20多眼。区域地下现状年总开采量为75.00×10</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/a。</w:t>
      </w:r>
    </w:p>
    <w:p w14:paraId="6337E2C5">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4.1.5.4包气带现状</w:t>
      </w:r>
    </w:p>
    <w:p w14:paraId="3DA3FD7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（1）建设场地地质概况</w:t>
      </w:r>
    </w:p>
    <w:p w14:paraId="15A49AF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根据区域水文地质及岩土工程勘察结果，建设场地上部均为第四系覆盖，第四系底层覆盖厚度18</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21.5m，所揭露的地层为第四系松散地层，揭露第四系地层厚度8.0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9.0m。</w:t>
      </w:r>
    </w:p>
    <w:p w14:paraId="34F165C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项目区内包气带均为第四系松散堆积层，堆积厚度大，分布范围广。按地貌成因形态类型主要为冲积低平原沉积地层。根据项目区潜水地下水埋深特征，包气带厚度2.3m</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3.1m。包气带地层成因及岩性。</w:t>
      </w:r>
    </w:p>
    <w:p w14:paraId="44E7A0E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第四系包气带地层特征：</w:t>
      </w:r>
    </w:p>
    <w:p w14:paraId="40CB226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instrText xml:space="preserve"> = 1 \* GB3 </w:instrTex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粉质粘土：黄褐色</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褐黄色，可塑，土质不均匀，局部夹有粉土，手捻有砂粒感，含氧化铁斑点，中压缩性，干强度中等，韧性中等，稍有光滑，无摇振反应，地层厚度3.10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4.50m。</w:t>
      </w:r>
    </w:p>
    <w:p w14:paraId="7C0EAEC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instrText xml:space="preserve"> = 2 \* GB3 </w:instrTex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粉细砂：黄色，稍密，饱和，颗粒均一，级配差，主要矿物</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由石英、长石组成，含少量暗色矿物。土层分布不连续，地层厚度2.10~2.30m。</w:t>
      </w:r>
    </w:p>
    <w:p w14:paraId="3472D89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instrText xml:space="preserve"> = 3 \* GB3 </w:instrTex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③</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粘土：黄褐色</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灰色，可塑，土质较均匀，粘性较强，含氧化铁斑点，中压缩性，干强度中等，韧性中等，该层未钻穿。</w:t>
      </w:r>
    </w:p>
    <w:p w14:paraId="7AC055B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（2）建设场地包气带防污性能</w:t>
      </w:r>
    </w:p>
    <w:p w14:paraId="60B1A9E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根据《环境影响评价技术导则地下水环境》（HJ610-2016）天然包气带防污性能分级参照表，本项目建设场地区包气带防污性能分级见表4.1-1。</w:t>
      </w:r>
    </w:p>
    <w:p w14:paraId="2539AC86">
      <w:pPr>
        <w:pStyle w:val="6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表4.1-1  包气带防污性能分级</w:t>
      </w:r>
    </w:p>
    <w:tbl>
      <w:tblPr>
        <w:tblStyle w:val="18"/>
        <w:tblW w:w="0" w:type="auto"/>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151"/>
      </w:tblGrid>
      <w:tr w14:paraId="0B054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dxa"/>
            <w:tcBorders>
              <w:tl2br w:val="nil"/>
              <w:tr2bl w:val="nil"/>
            </w:tcBorders>
            <w:noWrap w:val="0"/>
            <w:vAlign w:val="center"/>
          </w:tcPr>
          <w:p w14:paraId="2C4E5A47">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分级</w:t>
            </w:r>
          </w:p>
        </w:tc>
        <w:tc>
          <w:tcPr>
            <w:tcW w:w="8151" w:type="dxa"/>
            <w:tcBorders>
              <w:tl2br w:val="nil"/>
              <w:tr2bl w:val="nil"/>
            </w:tcBorders>
            <w:noWrap w:val="0"/>
            <w:vAlign w:val="center"/>
          </w:tcPr>
          <w:p w14:paraId="55675C51">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包气带岩土的渗透性能</w:t>
            </w:r>
          </w:p>
        </w:tc>
      </w:tr>
      <w:tr w14:paraId="1F923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dxa"/>
            <w:tcBorders>
              <w:tl2br w:val="nil"/>
              <w:tr2bl w:val="nil"/>
            </w:tcBorders>
            <w:noWrap w:val="0"/>
            <w:vAlign w:val="center"/>
          </w:tcPr>
          <w:p w14:paraId="29BD386A">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强</w:t>
            </w:r>
          </w:p>
        </w:tc>
        <w:tc>
          <w:tcPr>
            <w:tcW w:w="8151" w:type="dxa"/>
            <w:tcBorders>
              <w:tl2br w:val="nil"/>
              <w:tr2bl w:val="nil"/>
            </w:tcBorders>
            <w:noWrap w:val="0"/>
            <w:vAlign w:val="center"/>
          </w:tcPr>
          <w:p w14:paraId="5520DB2E">
            <w:pPr>
              <w:keepNext w:val="0"/>
              <w:keepLines w:val="0"/>
              <w:pageBreakBefore w:val="0"/>
              <w:widowControl/>
              <w:kinsoku/>
              <w:wordWrap/>
              <w:overflowPunct/>
              <w:topLinePunct w:val="0"/>
              <w:autoSpaceDE w:val="0"/>
              <w:autoSpaceDN w:val="0"/>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岩（土）层单层厚度Mb≥1.0m，渗透系数K≤10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cm/s，且分布连续、稳定。</w:t>
            </w:r>
          </w:p>
        </w:tc>
      </w:tr>
      <w:tr w14:paraId="36401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dxa"/>
            <w:tcBorders>
              <w:tl2br w:val="nil"/>
              <w:tr2bl w:val="nil"/>
            </w:tcBorders>
            <w:noWrap w:val="0"/>
            <w:vAlign w:val="center"/>
          </w:tcPr>
          <w:p w14:paraId="06B3EFE3">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中</w:t>
            </w:r>
          </w:p>
        </w:tc>
        <w:tc>
          <w:tcPr>
            <w:tcW w:w="8151" w:type="dxa"/>
            <w:tcBorders>
              <w:tl2br w:val="nil"/>
              <w:tr2bl w:val="nil"/>
            </w:tcBorders>
            <w:noWrap w:val="0"/>
            <w:vAlign w:val="center"/>
          </w:tcPr>
          <w:p w14:paraId="0289672F">
            <w:pPr>
              <w:keepNext w:val="0"/>
              <w:keepLines w:val="0"/>
              <w:pageBreakBefore w:val="0"/>
              <w:widowControl/>
              <w:kinsoku/>
              <w:wordWrap/>
              <w:overflowPunct/>
              <w:topLinePunct w:val="0"/>
              <w:autoSpaceDE w:val="0"/>
              <w:autoSpaceDN w:val="0"/>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岩（土）层单层厚度0.5m≤Mb＜1.0m，渗透系数K≤10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cm/s，且分布连续、稳定。岩（土）层单层厚度Mb≥1.0m，渗透系数1×10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cm/s＜K≤1×10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cm/s，且分布连续、稳定。</w:t>
            </w:r>
          </w:p>
        </w:tc>
      </w:tr>
      <w:tr w14:paraId="1A6E4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1" w:type="dxa"/>
            <w:tcBorders>
              <w:tl2br w:val="nil"/>
              <w:tr2bl w:val="nil"/>
            </w:tcBorders>
            <w:noWrap w:val="0"/>
            <w:vAlign w:val="center"/>
          </w:tcPr>
          <w:p w14:paraId="496E6B59">
            <w:pPr>
              <w:keepNext w:val="0"/>
              <w:keepLines w:val="0"/>
              <w:pageBreakBefore w:val="0"/>
              <w:widowControl/>
              <w:kinsoku/>
              <w:wordWrap/>
              <w:overflowPunct/>
              <w:topLinePunct w:val="0"/>
              <w:autoSpaceDE w:val="0"/>
              <w:autoSpaceDN w:val="0"/>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弱</w:t>
            </w:r>
          </w:p>
        </w:tc>
        <w:tc>
          <w:tcPr>
            <w:tcW w:w="8151" w:type="dxa"/>
            <w:tcBorders>
              <w:tl2br w:val="nil"/>
              <w:tr2bl w:val="nil"/>
            </w:tcBorders>
            <w:noWrap w:val="0"/>
            <w:vAlign w:val="center"/>
          </w:tcPr>
          <w:p w14:paraId="687FC3C7">
            <w:pPr>
              <w:keepNext w:val="0"/>
              <w:keepLines w:val="0"/>
              <w:pageBreakBefore w:val="0"/>
              <w:widowControl/>
              <w:kinsoku/>
              <w:wordWrap/>
              <w:overflowPunct/>
              <w:topLinePunct w:val="0"/>
              <w:autoSpaceDE w:val="0"/>
              <w:autoSpaceDN w:val="0"/>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岩（土）层不满足上述“强”和“中”条件。</w:t>
            </w:r>
          </w:p>
        </w:tc>
      </w:tr>
    </w:tbl>
    <w:p w14:paraId="08D9802E">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本区域包气带厚度2.3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3.1m（&gt;1.0m），根据地质资料，项目包气带岩性主要为粘土、细砂，参照水文地质参数表，黏土、细砂渗透系数5.79×10</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-2.89×10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cm/s（&gt;1×10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cm/s，&lt;1×10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cm/s），由此可知，项目区域包气带防污性能为中。</w:t>
      </w:r>
    </w:p>
    <w:p w14:paraId="6D6616A2">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4.1.6评价</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区域</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地下水动态变化特征</w:t>
      </w:r>
    </w:p>
    <w:p w14:paraId="13481062">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4.1.6.1潜水地下水水位动态变化特征</w:t>
      </w:r>
    </w:p>
    <w:p w14:paraId="1454BB0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区域潜水含水层埋深较浅，含水层岩性为粉细砂，水位变化主要受大气降水补给和人工开采影响较大，根据水位监测结果表明，区域潜水水位埋深</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2.92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—6.79</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m之间，区域潜水埋深变化较小，水位变化差1.5m左右。</w:t>
      </w:r>
    </w:p>
    <w:p w14:paraId="3DC476AA">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4.1.6.2承压水地下水水位动态变化特征</w:t>
      </w:r>
    </w:p>
    <w:p w14:paraId="03FB06A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域承压水主要含水层为白垩系明水组砂岩裂隙孔隙承压含水层，承压水受多年地下水开采，承压水地下水位总的趋势呈下降趋势。根据近年区域地下水动态监测井水位监测分析，地下水水位变化主要受开采量的影响，</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水位埋深由开采初期的4.0—6.0m，到2015年水位下降到12.1m</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。由于加强地下水资源管理，基本处于稳定状态。</w:t>
      </w:r>
    </w:p>
    <w:p w14:paraId="3EB8B548">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4.1.7评价</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区域</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地下水流场</w:t>
      </w:r>
    </w:p>
    <w:p w14:paraId="68447CCF">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4.1.7.1第四系上更新统松散层孔隙潜水</w:t>
      </w:r>
    </w:p>
    <w:p w14:paraId="5B6C45EF">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第四系上更新统松散层孔隙潜水含水层为粉细砂，地下水水平径流滞缓，以垂直交替作用为主，水位随地形起伏而变化。项目区内地下水流向由东</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向西</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本项目评价区域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地下水水力坡度</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为0.7</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‰，潜水地下水等水位图见附图4-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7FBC51AB">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4.1.7.2明水系承压水</w:t>
      </w:r>
    </w:p>
    <w:p w14:paraId="1661BC9A">
      <w:pPr>
        <w:keepNext w:val="0"/>
        <w:keepLines w:val="0"/>
        <w:pageBreakBefore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项目区内地下水流总体上</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由东</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南</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向西</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北</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本项目评价区域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地下水水力坡度</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为0.5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承压水地下水等水位图见附图4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57EB0B55">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土壤情况</w:t>
      </w:r>
    </w:p>
    <w:p w14:paraId="4E161670">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评价区属嫩江的冲积地带，区内土壤早期为洪积、冲、风积而成。是第四全新统疏松沉积物所覆盖，质地粘重，地形平坦，祗稍现坡状起伏。此地土壤受气候、地形、地质、水文地质、生物等影响，逐步形成现在土壤类型。根据调查本项目评价范围内土壤类型主要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草甸土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，本项目区域土壤类型分布图见附图4-</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1C742EF8">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草甸土是温带低洼地区受地下水浸润作用，在腐殖质积累和潴育化过程下形成的具有腐殖质表层和潴育层的半水成土壤。主要分布在东北平原、内蒙古和西北地区的河谷平原或湖盆地区，其自然植被为湿生型与中生型草甸植被。草甸土类是区域内比较肥沃的土壤，包含三个亚类：石灰性草甸土，盐化草甸土，碱化草甸土。</w:t>
      </w:r>
    </w:p>
    <w:p w14:paraId="625D42DC">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植被情况</w:t>
      </w:r>
    </w:p>
    <w:p w14:paraId="24F1F06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庆市位于松嫩平原中部，地势低，地带性植被为草甸草原，是我国温带草原的一部分，也是欧亚大陆草原的最东端，以丛生禾草和根茎禾草为其主要成分。由于湖泊、沼泽和盐碱化洼地的大面积分布，非地带性植被面积也较大，并有较多的盐生植物群落。</w:t>
      </w:r>
    </w:p>
    <w:p w14:paraId="4C70BD4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本区植物区系成分主要包括长白植物区系、蒙古植物区系、华北植物区系和大兴安岭植物区系。以蒙古草原植物区系成分占优势，常见的优势种和伴生种多属蒙古植物区系成分，如羊草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Aneurolepidiumchinense</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、贝加尔针茅</w:t>
      </w:r>
      <w:r>
        <w:rPr>
          <w:rFonts w:hint="eastAsia"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Stipabaicalensis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、大针茅（</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S.grandis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）、线叶菊（</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Filifoliumsibiricum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）、星星草（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Puccinelliatenuifolia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）等。长白植物区系，也称满洲植物区系，在本区分布的种数仅次于蒙古植物区系，如木贼（</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Equisetumhyemale</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）、普通蓼（</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Polygoeummanshuricum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）、野大豆（</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Glycinesoja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）、水车前（</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Otteliaalimoides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）、狼爪瓦松（</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Orostachyscartilaginous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）等。华北植物区系成分所占比例不大，主要有细叶地榆（</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Samguisorbatenuifolia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）、柴胡（</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Bupleurumscorzonerifolium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）、糙隐子草（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C.squarrosa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w:t>
      </w:r>
    </w:p>
    <w:p w14:paraId="0307C0D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区域内植被类型以草甸、经济林和农田为主。评价区属于松嫩平原区，粮食耕作历史悠久，栽培植被是最重要的植被类型，但是目前由于旱涝、盐碱、风沙等因素，区域内的农田多属于中、低产农田。粮食作物主要为玉米，经济作物以花生为主。</w:t>
      </w:r>
    </w:p>
    <w:p w14:paraId="313D43A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经济林主要为杨树林（Form.Populuscanadensis）。杨树林是评价区人工防护林的主要林种之一，也是评价区内分布最多，最广泛的林木，主要分布在村庄附近、道路两侧及农田周围</w:t>
      </w:r>
    </w:p>
    <w:p w14:paraId="6CA06B8C">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4.1.</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10野生动物</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分布</w:t>
      </w:r>
    </w:p>
    <w:p w14:paraId="5DD90C2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区域内野生动物种类和数量均较少，由于受人为因素影响明显，荒野被开垦为农田，工业迅速发展，管道沿线大型鸟兽基本绝迹，伴随人类生存的耕地小型鼠类、麻雀、家燕等种群数量较多，使陆生动物区系具有典型的耕地动物群色彩</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264986FA">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73" w:name="_Toc30155"/>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环境保护目标调查</w:t>
      </w:r>
      <w:bookmarkEnd w:id="73"/>
    </w:p>
    <w:p w14:paraId="1FA79E42">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评价范围内不涉及国家公园、自然保护区、风景名胜区、世界文化和自然遗产地、海洋特别保护区、基本草原、自然公园、重要湿地、天然林、重点保护野生动物栖息地、重点保护野生植物生长繁殖地、重要水生生物的自然产卵场、索饵场、越冬场和洄游通道、天然渔场、水土流失重点预防区、沙化土地封禁保护区、封闭及半封闭海域、以及以医疗卫生、文化教育、科研、行政办公为主要功能的区域、文物保护单位等环境敏感区，也不在生态保护红线范围内。</w:t>
      </w:r>
    </w:p>
    <w:p w14:paraId="125F33CD">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结合</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永久基本农田查询平台</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，本项目占用基本农田</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12.12</w:t>
      </w:r>
      <w:r>
        <w:rPr>
          <w:rFonts w:hint="eastAsia"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；根据《关于划定大庆市水土流失重点预防区和重点治理区的公告》，本项目位于大同区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祝三乡</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属于市级重点治理区；根据《关于贯彻落实〈沙化土地封禁保护修复制度方案〉的实施意见》的通知（黑防沙发</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2020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3号），大同区为防沙治沙区；项目同时涉及以居住为主要功能的区域。</w:t>
      </w:r>
    </w:p>
    <w:p w14:paraId="6C91D49E">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（1）水土流失重点区</w:t>
      </w:r>
    </w:p>
    <w:p w14:paraId="0BC077D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根据《大庆市水土保持规划（2015</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2030年）》本项目</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部分管线位于</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市大同区祝三乡，位于水土流失重点治理区，该区土壤退化、盐渍化、水体污染等水土流失较严重、对当地和下游易造成较大危害，土壤侵蚀强度为轻度以上，多为轻中度侵蚀。且区域内人为活动较为剧烈，容易发生严重水土流失。该区域工作重点是采取工程、林草、封育治理和耕地等措施，进行水、田、林、草、路统一规划、综合治理，增强防洪排涝、抗御干旱等自然灾害的能力。推广先进适用的科技成果，加快治理进度。治理后应强化监督管理和管护，巩固治理成果，促进区域生态环境恢复和经济发展。</w:t>
      </w:r>
    </w:p>
    <w:p w14:paraId="6765AEA9">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（2）防沙治沙区</w:t>
      </w:r>
    </w:p>
    <w:p w14:paraId="7256AA8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根据《黑龙江省防沙治沙条例》，大同区为防沙治沙区，重点治理流动、半流动沙地的风沙危害。本工程占地为耕地</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、草地和林地</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植被覆盖度较高，占地区域不存在裸露的盐碱地。本工程的建设活动会对地表植被造成破坏，在短期内出现局部裸地，土壤层次、结构发生了改变，若不及时恢复，由于水土流失加剧增加了土地沙化的可能性。因此施工期须严格落实各项生态保护措施及生态减缓措施，严格控制施工作业占地范围，施工结束后对施工场地地表植被进行恢复，路基边坡采取种草措施护坡固土，</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林地平整后对移栽林木进行恢复，</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尽量减少工程建设对土地沙化的影响。</w:t>
      </w:r>
    </w:p>
    <w:p w14:paraId="25A45D05">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（3）以居住为主要功能的区域</w:t>
      </w:r>
    </w:p>
    <w:p w14:paraId="60A2D866">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本工程所在区域环境空气属于二类功能区，主要环境保护目标为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盛广和屯、宋芳屯居住区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等村屯。评价范围内环境保护目标见表2.</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8</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748027E2">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（4）集中式饮用水水源</w:t>
      </w:r>
    </w:p>
    <w:p w14:paraId="4C75C85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工程周围以油田开发和农业为主，无</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14:textFill>
            <w14:solidFill>
              <w14:schemeClr w14:val="tx1"/>
            </w14:solidFill>
          </w14:textFill>
        </w:rPr>
        <w:t>大型工业区，周围分布村屯较多，村屯饮用水均来自于地下水井，</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本项目地下水评价范围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内无村屯级地下水饮用水源井，均为自建机井，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地下水环境保护目标详见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表2.8-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DA1109F">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74" w:name="_Toc12800"/>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环境质量现状调查与评价</w:t>
      </w:r>
      <w:bookmarkEnd w:id="74"/>
    </w:p>
    <w:p w14:paraId="349A1D74">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Style w:val="35"/>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eastAsia="zh-CN"/>
          <w14:textFill>
            <w14:solidFill>
              <w14:schemeClr w14:val="tx1"/>
            </w14:solidFill>
          </w14:textFill>
        </w:rPr>
        <w:t>本项目委</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托</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黑龙江省吉瑞达检测科技有限公司</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于</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20</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25</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年</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12</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月</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6</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日至</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12</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月</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28</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日对本项目所在区域</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环境空气、</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地下水、声环境、</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地表水、包气带、</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土壤进行了监测（监测报告见附件</w:t>
      </w:r>
      <w:r>
        <w:rPr>
          <w:rFonts w:hint="eastAsia"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0"/>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项目环境现状监测布点示意图见附图4-</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p>
    <w:p w14:paraId="4962AD6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4.3.1大气环境质量现状调查与评价</w:t>
      </w:r>
    </w:p>
    <w:p w14:paraId="0E0C6C54">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4.3.1.1基本污染物环境空气质量现状</w:t>
      </w:r>
    </w:p>
    <w:p w14:paraId="16BCA66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eastAsia="zh-CN"/>
          <w14:textFill>
            <w14:solidFill>
              <w14:schemeClr w14:val="tx1"/>
            </w14:solidFill>
          </w14:textFill>
        </w:rPr>
        <w:t>本工程位于黑龙江省绥化市安达市昌德镇、升平镇，大庆市大同区祝三乡境内</w:t>
      </w:r>
      <w:r>
        <w:rPr>
          <w:rFonts w:hint="eastAsia" w:ascii="Times New Roman" w:hAnsi="Times New Roman" w:eastAsia="宋体" w:cs="Times New Roman"/>
          <w:snapToGrid w:val="0"/>
          <w:color w:val="000000" w:themeColor="text1"/>
          <w:sz w:val="24"/>
          <w:szCs w:val="20"/>
          <w:highlight w:val="none"/>
          <w:lang w:eastAsia="zh-CN"/>
          <w14:textFill>
            <w14:solidFill>
              <w14:schemeClr w14:val="tx1"/>
            </w14:solidFill>
          </w14:textFill>
        </w:rPr>
        <w:t>。</w:t>
      </w:r>
    </w:p>
    <w:p w14:paraId="3BE1D66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根据大庆市生态环境局2025年6月5日发布</w:t>
      </w:r>
      <w:r>
        <w:rPr>
          <w:rFonts w:hint="default" w:ascii="Times New Roman" w:hAnsi="Times New Roman" w:eastAsia="宋体" w:cs="Times New Roman"/>
          <w:snapToGrid w:val="0"/>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2024年大庆市生态环境状况公报</w:t>
      </w:r>
      <w:r>
        <w:rPr>
          <w:rFonts w:hint="default" w:ascii="Times New Roman" w:hAnsi="Times New Roman" w:eastAsia="宋体" w:cs="Times New Roman"/>
          <w:snapToGrid w:val="0"/>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2024</w:t>
      </w:r>
      <w:r>
        <w:rPr>
          <w:rFonts w:hint="default" w:ascii="Times New Roman" w:hAnsi="Times New Roman" w:eastAsia="宋体" w:cs="Times New Roman"/>
          <w:snapToGrid w:val="0"/>
          <w:color w:val="000000" w:themeColor="text1"/>
          <w:sz w:val="24"/>
          <w:szCs w:val="20"/>
          <w:highlight w:val="none"/>
          <w:lang w:eastAsia="zh-CN"/>
          <w14:textFill>
            <w14:solidFill>
              <w14:schemeClr w14:val="tx1"/>
            </w14:solidFill>
          </w14:textFill>
        </w:rPr>
        <w:t>年大庆市城区环境空气质量优良天数为</w:t>
      </w: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337</w:t>
      </w:r>
      <w:r>
        <w:rPr>
          <w:rFonts w:hint="default" w:ascii="Times New Roman" w:hAnsi="Times New Roman" w:eastAsia="宋体" w:cs="Times New Roman"/>
          <w:snapToGrid w:val="0"/>
          <w:color w:val="000000" w:themeColor="text1"/>
          <w:sz w:val="24"/>
          <w:szCs w:val="20"/>
          <w:highlight w:val="none"/>
          <w:lang w:eastAsia="zh-CN"/>
          <w14:textFill>
            <w14:solidFill>
              <w14:schemeClr w14:val="tx1"/>
            </w14:solidFill>
          </w14:textFill>
        </w:rPr>
        <w:t>天，环境空气质量优良率为</w:t>
      </w: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92.1</w:t>
      </w:r>
      <w:r>
        <w:rPr>
          <w:rFonts w:hint="default" w:ascii="Times New Roman" w:hAnsi="Times New Roman" w:eastAsia="宋体" w:cs="Times New Roman"/>
          <w:snapToGrid w:val="0"/>
          <w:color w:val="000000" w:themeColor="text1"/>
          <w:sz w:val="24"/>
          <w:szCs w:val="2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2024年</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大庆市城区环境空气中二氧化硫年均浓度为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0"/>
          <w:sz w:val="24"/>
          <w:szCs w:val="2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，二氧化氮年均浓度为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0"/>
          <w:sz w:val="24"/>
          <w:szCs w:val="2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，可吸入颗粒物（PM</w:t>
      </w:r>
      <w:r>
        <w:rPr>
          <w:rFonts w:hint="default" w:ascii="Times New Roman" w:hAnsi="Times New Roman" w:eastAsia="宋体" w:cs="Times New Roman"/>
          <w:color w:val="000000" w:themeColor="text1"/>
          <w:kern w:val="0"/>
          <w:sz w:val="24"/>
          <w:szCs w:val="22"/>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）年均浓度为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0"/>
          <w:sz w:val="24"/>
          <w:szCs w:val="2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，细颗粒物（PM</w:t>
      </w:r>
      <w:r>
        <w:rPr>
          <w:rFonts w:hint="default" w:ascii="Times New Roman" w:hAnsi="Times New Roman" w:eastAsia="宋体" w:cs="Times New Roman"/>
          <w:color w:val="000000" w:themeColor="text1"/>
          <w:kern w:val="0"/>
          <w:sz w:val="24"/>
          <w:szCs w:val="22"/>
          <w:highlight w:val="none"/>
          <w:vertAlign w:val="subscript"/>
          <w14:textFill>
            <w14:solidFill>
              <w14:schemeClr w14:val="tx1"/>
            </w14:solidFill>
          </w14:textFill>
        </w:rPr>
        <w:t>2.5</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）年均浓度为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0"/>
          <w:sz w:val="24"/>
          <w:szCs w:val="2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，一氧化碳24小时平均</w:t>
      </w: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浓度</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第95百分位数为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0.8m</w:t>
      </w: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g/m</w:t>
      </w:r>
      <w:r>
        <w:rPr>
          <w:rFonts w:hint="default" w:ascii="Times New Roman" w:hAnsi="Times New Roman" w:eastAsia="宋体" w:cs="Times New Roman"/>
          <w:color w:val="000000" w:themeColor="text1"/>
          <w:kern w:val="0"/>
          <w:sz w:val="24"/>
          <w:szCs w:val="2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，臭氧</w:t>
      </w: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日</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最大8小时平均</w:t>
      </w: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浓度</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第90百分位数为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114</w:t>
      </w: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0"/>
          <w:sz w:val="24"/>
          <w:szCs w:val="2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，总体评价达标</w:t>
      </w:r>
      <w:r>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大庆市为达标区</w:t>
      </w:r>
      <w:r>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t>。</w:t>
      </w:r>
    </w:p>
    <w:p w14:paraId="5896CF7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根据绥化市生态环境局2025年2月24日发布《绥化市环境质量年报（2024年度）》，2024年绥化市环境空气质量优良天数为305天，环境空气质量优良率为83.3%，2024年绥化市环境空气中二氧化硫年均浓度为7μg/m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，二氧化氮年均浓度为19μg/m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，可吸入颗粒物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年均浓度为57μg/m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，细颗粒物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年均浓度为43μg/m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，一氧化碳24小时平均浓度第95百分位数为1.0mg/m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，臭氧日最大8小时平均浓度第90百分位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为120μg/m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，其中细颗粒物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不达标，通过判定可知绥化市为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不达标区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5BE1388">
      <w:pPr>
        <w:keepNext w:val="0"/>
        <w:keepLines w:val="0"/>
        <w:pageBreakBefore w:val="0"/>
        <w:widowControl w:val="0"/>
        <w:shd w:val="clea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zh-CN"/>
          <w14:textFill>
            <w14:solidFill>
              <w14:schemeClr w14:val="tx1"/>
            </w14:solidFill>
          </w14:textFill>
        </w:rPr>
        <w:t>本项目所在区域空气质量达标情况判定结果见表</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4.3-1。</w:t>
      </w:r>
    </w:p>
    <w:p w14:paraId="677487D7">
      <w:pPr>
        <w:keepNext w:val="0"/>
        <w:keepLines w:val="0"/>
        <w:pageBreakBefore w:val="0"/>
        <w:widowControl w:val="0"/>
        <w:shd w:val="clear"/>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  区域空气质量现状评价表  单位：μg/m</w:t>
      </w:r>
      <w:r>
        <w:rPr>
          <w:rFonts w:hint="default" w:ascii="Times New Roman" w:hAnsi="Times New Roman" w:eastAsia="宋体" w:cs="Times New Roman"/>
          <w:b/>
          <w:color w:val="000000" w:themeColor="text1"/>
          <w:kern w:val="2"/>
          <w:sz w:val="24"/>
          <w:szCs w:val="24"/>
          <w:highlight w:val="none"/>
          <w:vertAlign w:val="superscript"/>
          <w:lang w:val="en-US" w:eastAsia="zh-CN" w:bidi="ar-SA"/>
          <w14:textFill>
            <w14:solidFill>
              <w14:schemeClr w14:val="tx1"/>
            </w14:solidFill>
          </w14:textFill>
        </w:rPr>
        <w:t>3</w:t>
      </w:r>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90"/>
        <w:gridCol w:w="846"/>
        <w:gridCol w:w="1896"/>
        <w:gridCol w:w="2665"/>
        <w:gridCol w:w="880"/>
        <w:gridCol w:w="1021"/>
        <w:gridCol w:w="636"/>
      </w:tblGrid>
      <w:tr w14:paraId="31329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tcBorders>
              <w:tl2br w:val="nil"/>
              <w:tr2bl w:val="nil"/>
            </w:tcBorders>
            <w:noWrap w:val="0"/>
            <w:vAlign w:val="center"/>
          </w:tcPr>
          <w:p w14:paraId="750E0F8C">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序号</w:t>
            </w:r>
          </w:p>
        </w:tc>
        <w:tc>
          <w:tcPr>
            <w:tcW w:w="0" w:type="auto"/>
            <w:tcBorders>
              <w:tl2br w:val="nil"/>
              <w:tr2bl w:val="nil"/>
            </w:tcBorders>
            <w:noWrap w:val="0"/>
            <w:vAlign w:val="center"/>
          </w:tcPr>
          <w:p w14:paraId="74E09D99">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污染</w:t>
            </w:r>
          </w:p>
          <w:p w14:paraId="63B32D5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因子</w:t>
            </w:r>
          </w:p>
        </w:tc>
        <w:tc>
          <w:tcPr>
            <w:tcW w:w="0" w:type="auto"/>
            <w:tcBorders>
              <w:tl2br w:val="nil"/>
              <w:tr2bl w:val="nil"/>
            </w:tcBorders>
            <w:noWrap w:val="0"/>
            <w:vAlign w:val="center"/>
          </w:tcPr>
          <w:p w14:paraId="602F199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城市</w:t>
            </w:r>
          </w:p>
        </w:tc>
        <w:tc>
          <w:tcPr>
            <w:tcW w:w="0" w:type="auto"/>
            <w:tcBorders>
              <w:tl2br w:val="nil"/>
              <w:tr2bl w:val="nil"/>
            </w:tcBorders>
            <w:noWrap w:val="0"/>
            <w:vAlign w:val="center"/>
          </w:tcPr>
          <w:p w14:paraId="420B4D4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数值</w:t>
            </w:r>
          </w:p>
        </w:tc>
        <w:tc>
          <w:tcPr>
            <w:tcW w:w="0" w:type="auto"/>
            <w:tcBorders>
              <w:tl2br w:val="nil"/>
              <w:tr2bl w:val="nil"/>
            </w:tcBorders>
            <w:noWrap w:val="0"/>
            <w:vAlign w:val="center"/>
          </w:tcPr>
          <w:p w14:paraId="613FF39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202</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w:t>
            </w:r>
          </w:p>
        </w:tc>
        <w:tc>
          <w:tcPr>
            <w:tcW w:w="0" w:type="auto"/>
            <w:tcBorders>
              <w:tl2br w:val="nil"/>
              <w:tr2bl w:val="nil"/>
            </w:tcBorders>
            <w:noWrap w:val="0"/>
            <w:vAlign w:val="center"/>
          </w:tcPr>
          <w:p w14:paraId="0C5D3BC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标准值</w:t>
            </w:r>
          </w:p>
        </w:tc>
        <w:tc>
          <w:tcPr>
            <w:tcW w:w="0" w:type="auto"/>
            <w:tcBorders>
              <w:tl2br w:val="nil"/>
              <w:tr2bl w:val="nil"/>
            </w:tcBorders>
            <w:noWrap w:val="0"/>
            <w:vAlign w:val="center"/>
          </w:tcPr>
          <w:p w14:paraId="4F74CE8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占标率%</w:t>
            </w:r>
          </w:p>
        </w:tc>
        <w:tc>
          <w:tcPr>
            <w:tcW w:w="0" w:type="auto"/>
            <w:tcBorders>
              <w:tl2br w:val="nil"/>
              <w:tr2bl w:val="nil"/>
            </w:tcBorders>
            <w:noWrap w:val="0"/>
            <w:vAlign w:val="center"/>
          </w:tcPr>
          <w:p w14:paraId="28C68FE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p w14:paraId="6C4DDC09">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情况</w:t>
            </w:r>
          </w:p>
        </w:tc>
      </w:tr>
      <w:tr w14:paraId="5AD88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0" w:type="auto"/>
            <w:vMerge w:val="restart"/>
            <w:tcBorders>
              <w:tl2br w:val="nil"/>
              <w:tr2bl w:val="nil"/>
            </w:tcBorders>
            <w:noWrap w:val="0"/>
            <w:vAlign w:val="center"/>
          </w:tcPr>
          <w:p w14:paraId="35C8C00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p>
        </w:tc>
        <w:tc>
          <w:tcPr>
            <w:tcW w:w="0" w:type="auto"/>
            <w:vMerge w:val="restart"/>
            <w:tcBorders>
              <w:tl2br w:val="nil"/>
              <w:tr2bl w:val="nil"/>
            </w:tcBorders>
            <w:noWrap w:val="0"/>
            <w:vAlign w:val="center"/>
          </w:tcPr>
          <w:p w14:paraId="0B0D2556">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2</w:t>
            </w:r>
          </w:p>
        </w:tc>
        <w:tc>
          <w:tcPr>
            <w:tcW w:w="0" w:type="auto"/>
            <w:tcBorders>
              <w:tl2br w:val="nil"/>
              <w:tr2bl w:val="nil"/>
            </w:tcBorders>
            <w:noWrap w:val="0"/>
            <w:vAlign w:val="center"/>
          </w:tcPr>
          <w:p w14:paraId="01DE448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0" w:type="auto"/>
            <w:tcBorders>
              <w:tl2br w:val="nil"/>
              <w:tr2bl w:val="nil"/>
            </w:tcBorders>
            <w:noWrap w:val="0"/>
            <w:vAlign w:val="center"/>
          </w:tcPr>
          <w:p w14:paraId="5591D03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6770047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7</w:t>
            </w:r>
          </w:p>
        </w:tc>
        <w:tc>
          <w:tcPr>
            <w:tcW w:w="0" w:type="auto"/>
            <w:tcBorders>
              <w:tl2br w:val="nil"/>
              <w:tr2bl w:val="nil"/>
            </w:tcBorders>
            <w:noWrap w:val="0"/>
            <w:vAlign w:val="center"/>
          </w:tcPr>
          <w:p w14:paraId="2D4EAEFC">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60</w:t>
            </w:r>
          </w:p>
        </w:tc>
        <w:tc>
          <w:tcPr>
            <w:tcW w:w="0" w:type="auto"/>
            <w:tcBorders>
              <w:tl2br w:val="nil"/>
              <w:tr2bl w:val="nil"/>
            </w:tcBorders>
            <w:noWrap w:val="0"/>
            <w:vAlign w:val="center"/>
          </w:tcPr>
          <w:p w14:paraId="2BF7E55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11.7</w:t>
            </w:r>
          </w:p>
        </w:tc>
        <w:tc>
          <w:tcPr>
            <w:tcW w:w="0" w:type="auto"/>
            <w:tcBorders>
              <w:tl2br w:val="nil"/>
              <w:tr2bl w:val="nil"/>
            </w:tcBorders>
            <w:noWrap w:val="0"/>
            <w:vAlign w:val="center"/>
          </w:tcPr>
          <w:p w14:paraId="580824CB">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6A626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0" w:type="auto"/>
            <w:vMerge w:val="continue"/>
            <w:tcBorders>
              <w:tl2br w:val="nil"/>
              <w:tr2bl w:val="nil"/>
            </w:tcBorders>
            <w:noWrap w:val="0"/>
            <w:vAlign w:val="center"/>
          </w:tcPr>
          <w:p w14:paraId="33F8472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533F22C7">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0F2337BF">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0" w:type="auto"/>
            <w:tcBorders>
              <w:tl2br w:val="nil"/>
              <w:tr2bl w:val="nil"/>
            </w:tcBorders>
            <w:noWrap w:val="0"/>
            <w:vAlign w:val="center"/>
          </w:tcPr>
          <w:p w14:paraId="1A1C53D7">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1ED90166">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7</w:t>
            </w:r>
          </w:p>
        </w:tc>
        <w:tc>
          <w:tcPr>
            <w:tcW w:w="0" w:type="auto"/>
            <w:tcBorders>
              <w:tl2br w:val="nil"/>
              <w:tr2bl w:val="nil"/>
            </w:tcBorders>
            <w:noWrap w:val="0"/>
            <w:vAlign w:val="center"/>
          </w:tcPr>
          <w:p w14:paraId="67D91BA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60</w:t>
            </w:r>
          </w:p>
        </w:tc>
        <w:tc>
          <w:tcPr>
            <w:tcW w:w="0" w:type="auto"/>
            <w:tcBorders>
              <w:tl2br w:val="nil"/>
              <w:tr2bl w:val="nil"/>
            </w:tcBorders>
            <w:noWrap w:val="0"/>
            <w:vAlign w:val="center"/>
          </w:tcPr>
          <w:p w14:paraId="1A7A4D7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11.7</w:t>
            </w:r>
          </w:p>
        </w:tc>
        <w:tc>
          <w:tcPr>
            <w:tcW w:w="0" w:type="auto"/>
            <w:tcBorders>
              <w:tl2br w:val="nil"/>
              <w:tr2bl w:val="nil"/>
            </w:tcBorders>
            <w:noWrap w:val="0"/>
            <w:vAlign w:val="center"/>
          </w:tcPr>
          <w:p w14:paraId="42765BE2">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04D14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0" w:type="auto"/>
            <w:vMerge w:val="restart"/>
            <w:tcBorders>
              <w:tl2br w:val="nil"/>
              <w:tr2bl w:val="nil"/>
            </w:tcBorders>
            <w:noWrap w:val="0"/>
            <w:vAlign w:val="center"/>
          </w:tcPr>
          <w:p w14:paraId="2FDF95E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p>
        </w:tc>
        <w:tc>
          <w:tcPr>
            <w:tcW w:w="0" w:type="auto"/>
            <w:vMerge w:val="restart"/>
            <w:tcBorders>
              <w:tl2br w:val="nil"/>
              <w:tr2bl w:val="nil"/>
            </w:tcBorders>
            <w:noWrap w:val="0"/>
            <w:vAlign w:val="center"/>
          </w:tcPr>
          <w:p w14:paraId="100A806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2</w:t>
            </w:r>
          </w:p>
        </w:tc>
        <w:tc>
          <w:tcPr>
            <w:tcW w:w="0" w:type="auto"/>
            <w:tcBorders>
              <w:tl2br w:val="nil"/>
              <w:tr2bl w:val="nil"/>
            </w:tcBorders>
            <w:noWrap w:val="0"/>
            <w:vAlign w:val="center"/>
          </w:tcPr>
          <w:p w14:paraId="26BC843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0" w:type="auto"/>
            <w:tcBorders>
              <w:tl2br w:val="nil"/>
              <w:tr2bl w:val="nil"/>
            </w:tcBorders>
            <w:noWrap w:val="0"/>
            <w:vAlign w:val="center"/>
          </w:tcPr>
          <w:p w14:paraId="1185337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542C2C9C">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18</w:t>
            </w:r>
          </w:p>
        </w:tc>
        <w:tc>
          <w:tcPr>
            <w:tcW w:w="0" w:type="auto"/>
            <w:tcBorders>
              <w:tl2br w:val="nil"/>
              <w:tr2bl w:val="nil"/>
            </w:tcBorders>
            <w:noWrap w:val="0"/>
            <w:vAlign w:val="center"/>
          </w:tcPr>
          <w:p w14:paraId="12C34CA2">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40</w:t>
            </w:r>
          </w:p>
        </w:tc>
        <w:tc>
          <w:tcPr>
            <w:tcW w:w="0" w:type="auto"/>
            <w:tcBorders>
              <w:tl2br w:val="nil"/>
              <w:tr2bl w:val="nil"/>
            </w:tcBorders>
            <w:noWrap w:val="0"/>
            <w:vAlign w:val="center"/>
          </w:tcPr>
          <w:p w14:paraId="591A541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45</w:t>
            </w:r>
          </w:p>
        </w:tc>
        <w:tc>
          <w:tcPr>
            <w:tcW w:w="0" w:type="auto"/>
            <w:tcBorders>
              <w:tl2br w:val="nil"/>
              <w:tr2bl w:val="nil"/>
            </w:tcBorders>
            <w:noWrap w:val="0"/>
            <w:vAlign w:val="center"/>
          </w:tcPr>
          <w:p w14:paraId="4952E67F">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2134E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0" w:type="auto"/>
            <w:vMerge w:val="continue"/>
            <w:tcBorders>
              <w:tl2br w:val="nil"/>
              <w:tr2bl w:val="nil"/>
            </w:tcBorders>
            <w:noWrap w:val="0"/>
            <w:vAlign w:val="center"/>
          </w:tcPr>
          <w:p w14:paraId="0EC9464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3278D140">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3CAFAE2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0" w:type="auto"/>
            <w:tcBorders>
              <w:tl2br w:val="nil"/>
              <w:tr2bl w:val="nil"/>
            </w:tcBorders>
            <w:noWrap w:val="0"/>
            <w:vAlign w:val="center"/>
          </w:tcPr>
          <w:p w14:paraId="1C918CD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28F7EA0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19</w:t>
            </w:r>
          </w:p>
        </w:tc>
        <w:tc>
          <w:tcPr>
            <w:tcW w:w="0" w:type="auto"/>
            <w:tcBorders>
              <w:tl2br w:val="nil"/>
              <w:tr2bl w:val="nil"/>
            </w:tcBorders>
            <w:noWrap w:val="0"/>
            <w:vAlign w:val="center"/>
          </w:tcPr>
          <w:p w14:paraId="6A64402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40</w:t>
            </w:r>
          </w:p>
        </w:tc>
        <w:tc>
          <w:tcPr>
            <w:tcW w:w="0" w:type="auto"/>
            <w:tcBorders>
              <w:tl2br w:val="nil"/>
              <w:tr2bl w:val="nil"/>
            </w:tcBorders>
            <w:noWrap w:val="0"/>
            <w:vAlign w:val="center"/>
          </w:tcPr>
          <w:p w14:paraId="07ED174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47.5</w:t>
            </w:r>
          </w:p>
        </w:tc>
        <w:tc>
          <w:tcPr>
            <w:tcW w:w="0" w:type="auto"/>
            <w:tcBorders>
              <w:tl2br w:val="nil"/>
              <w:tr2bl w:val="nil"/>
            </w:tcBorders>
            <w:noWrap w:val="0"/>
            <w:vAlign w:val="center"/>
          </w:tcPr>
          <w:p w14:paraId="6C56E004">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0642F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0" w:type="auto"/>
            <w:vMerge w:val="restart"/>
            <w:tcBorders>
              <w:tl2br w:val="nil"/>
              <w:tr2bl w:val="nil"/>
            </w:tcBorders>
            <w:noWrap w:val="0"/>
            <w:vAlign w:val="center"/>
          </w:tcPr>
          <w:p w14:paraId="7B549CD0">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p>
        </w:tc>
        <w:tc>
          <w:tcPr>
            <w:tcW w:w="0" w:type="auto"/>
            <w:vMerge w:val="restart"/>
            <w:tcBorders>
              <w:tl2br w:val="nil"/>
              <w:tr2bl w:val="nil"/>
            </w:tcBorders>
            <w:noWrap w:val="0"/>
            <w:vAlign w:val="center"/>
          </w:tcPr>
          <w:p w14:paraId="57E8C5F0">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10</w:t>
            </w:r>
          </w:p>
        </w:tc>
        <w:tc>
          <w:tcPr>
            <w:tcW w:w="0" w:type="auto"/>
            <w:tcBorders>
              <w:tl2br w:val="nil"/>
              <w:tr2bl w:val="nil"/>
            </w:tcBorders>
            <w:noWrap w:val="0"/>
            <w:vAlign w:val="center"/>
          </w:tcPr>
          <w:p w14:paraId="654D4CA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0" w:type="auto"/>
            <w:tcBorders>
              <w:tl2br w:val="nil"/>
              <w:tr2bl w:val="nil"/>
            </w:tcBorders>
            <w:noWrap w:val="0"/>
            <w:vAlign w:val="center"/>
          </w:tcPr>
          <w:p w14:paraId="6C0F49A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2C365050">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48</w:t>
            </w:r>
          </w:p>
        </w:tc>
        <w:tc>
          <w:tcPr>
            <w:tcW w:w="0" w:type="auto"/>
            <w:tcBorders>
              <w:tl2br w:val="nil"/>
              <w:tr2bl w:val="nil"/>
            </w:tcBorders>
            <w:noWrap w:val="0"/>
            <w:vAlign w:val="center"/>
          </w:tcPr>
          <w:p w14:paraId="344481B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70</w:t>
            </w:r>
          </w:p>
        </w:tc>
        <w:tc>
          <w:tcPr>
            <w:tcW w:w="0" w:type="auto"/>
            <w:tcBorders>
              <w:tl2br w:val="nil"/>
              <w:tr2bl w:val="nil"/>
            </w:tcBorders>
            <w:noWrap w:val="0"/>
            <w:vAlign w:val="center"/>
          </w:tcPr>
          <w:p w14:paraId="731A772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68.6</w:t>
            </w:r>
          </w:p>
        </w:tc>
        <w:tc>
          <w:tcPr>
            <w:tcW w:w="0" w:type="auto"/>
            <w:tcBorders>
              <w:tl2br w:val="nil"/>
              <w:tr2bl w:val="nil"/>
            </w:tcBorders>
            <w:noWrap w:val="0"/>
            <w:vAlign w:val="center"/>
          </w:tcPr>
          <w:p w14:paraId="47538D06">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6E49E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0" w:type="auto"/>
            <w:vMerge w:val="continue"/>
            <w:tcBorders>
              <w:tl2br w:val="nil"/>
              <w:tr2bl w:val="nil"/>
            </w:tcBorders>
            <w:noWrap w:val="0"/>
            <w:vAlign w:val="center"/>
          </w:tcPr>
          <w:p w14:paraId="2A152D4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646F43A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2996E4D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0" w:type="auto"/>
            <w:tcBorders>
              <w:tl2br w:val="nil"/>
              <w:tr2bl w:val="nil"/>
            </w:tcBorders>
            <w:noWrap w:val="0"/>
            <w:vAlign w:val="center"/>
          </w:tcPr>
          <w:p w14:paraId="59ABFBC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110D7CA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57</w:t>
            </w:r>
          </w:p>
        </w:tc>
        <w:tc>
          <w:tcPr>
            <w:tcW w:w="0" w:type="auto"/>
            <w:tcBorders>
              <w:tl2br w:val="nil"/>
              <w:tr2bl w:val="nil"/>
            </w:tcBorders>
            <w:noWrap w:val="0"/>
            <w:vAlign w:val="center"/>
          </w:tcPr>
          <w:p w14:paraId="6A9603C6">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70</w:t>
            </w:r>
          </w:p>
        </w:tc>
        <w:tc>
          <w:tcPr>
            <w:tcW w:w="0" w:type="auto"/>
            <w:tcBorders>
              <w:tl2br w:val="nil"/>
              <w:tr2bl w:val="nil"/>
            </w:tcBorders>
            <w:noWrap w:val="0"/>
            <w:vAlign w:val="center"/>
          </w:tcPr>
          <w:p w14:paraId="5A520F4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81.4</w:t>
            </w:r>
          </w:p>
        </w:tc>
        <w:tc>
          <w:tcPr>
            <w:tcW w:w="0" w:type="auto"/>
            <w:tcBorders>
              <w:tl2br w:val="nil"/>
              <w:tr2bl w:val="nil"/>
            </w:tcBorders>
            <w:noWrap w:val="0"/>
            <w:vAlign w:val="center"/>
          </w:tcPr>
          <w:p w14:paraId="29430538">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07510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0" w:type="auto"/>
            <w:vMerge w:val="restart"/>
            <w:tcBorders>
              <w:tl2br w:val="nil"/>
              <w:tr2bl w:val="nil"/>
            </w:tcBorders>
            <w:noWrap w:val="0"/>
            <w:vAlign w:val="center"/>
          </w:tcPr>
          <w:p w14:paraId="451A62A9">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w:t>
            </w:r>
          </w:p>
        </w:tc>
        <w:tc>
          <w:tcPr>
            <w:tcW w:w="0" w:type="auto"/>
            <w:vMerge w:val="restart"/>
            <w:tcBorders>
              <w:tl2br w:val="nil"/>
              <w:tr2bl w:val="nil"/>
            </w:tcBorders>
            <w:noWrap w:val="0"/>
            <w:vAlign w:val="center"/>
          </w:tcPr>
          <w:p w14:paraId="106FC3A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2.5</w:t>
            </w:r>
          </w:p>
        </w:tc>
        <w:tc>
          <w:tcPr>
            <w:tcW w:w="0" w:type="auto"/>
            <w:tcBorders>
              <w:tl2br w:val="nil"/>
              <w:tr2bl w:val="nil"/>
            </w:tcBorders>
            <w:noWrap w:val="0"/>
            <w:vAlign w:val="center"/>
          </w:tcPr>
          <w:p w14:paraId="1D0259C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0" w:type="auto"/>
            <w:tcBorders>
              <w:tl2br w:val="nil"/>
              <w:tr2bl w:val="nil"/>
            </w:tcBorders>
            <w:noWrap w:val="0"/>
            <w:vAlign w:val="center"/>
          </w:tcPr>
          <w:p w14:paraId="04F9ED72">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4D764E1D">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32</w:t>
            </w:r>
          </w:p>
        </w:tc>
        <w:tc>
          <w:tcPr>
            <w:tcW w:w="0" w:type="auto"/>
            <w:tcBorders>
              <w:tl2br w:val="nil"/>
              <w:tr2bl w:val="nil"/>
            </w:tcBorders>
            <w:noWrap w:val="0"/>
            <w:vAlign w:val="center"/>
          </w:tcPr>
          <w:p w14:paraId="1D13104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35</w:t>
            </w:r>
          </w:p>
        </w:tc>
        <w:tc>
          <w:tcPr>
            <w:tcW w:w="0" w:type="auto"/>
            <w:tcBorders>
              <w:tl2br w:val="nil"/>
              <w:tr2bl w:val="nil"/>
            </w:tcBorders>
            <w:noWrap w:val="0"/>
            <w:vAlign w:val="center"/>
          </w:tcPr>
          <w:p w14:paraId="17011876">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91.4</w:t>
            </w:r>
          </w:p>
        </w:tc>
        <w:tc>
          <w:tcPr>
            <w:tcW w:w="0" w:type="auto"/>
            <w:tcBorders>
              <w:tl2br w:val="nil"/>
              <w:tr2bl w:val="nil"/>
            </w:tcBorders>
            <w:noWrap w:val="0"/>
            <w:vAlign w:val="center"/>
          </w:tcPr>
          <w:p w14:paraId="2E4BE253">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5D7DF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0" w:type="auto"/>
            <w:vMerge w:val="continue"/>
            <w:tcBorders>
              <w:tl2br w:val="nil"/>
              <w:tr2bl w:val="nil"/>
            </w:tcBorders>
            <w:noWrap w:val="0"/>
            <w:vAlign w:val="center"/>
          </w:tcPr>
          <w:p w14:paraId="49E68C2C">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6C471D1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5664C0D2">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0" w:type="auto"/>
            <w:tcBorders>
              <w:tl2br w:val="nil"/>
              <w:tr2bl w:val="nil"/>
            </w:tcBorders>
            <w:noWrap w:val="0"/>
            <w:vAlign w:val="center"/>
          </w:tcPr>
          <w:p w14:paraId="258B16D5">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年均值</w:t>
            </w:r>
          </w:p>
        </w:tc>
        <w:tc>
          <w:tcPr>
            <w:tcW w:w="0" w:type="auto"/>
            <w:tcBorders>
              <w:tl2br w:val="nil"/>
              <w:tr2bl w:val="nil"/>
            </w:tcBorders>
            <w:noWrap w:val="0"/>
            <w:vAlign w:val="center"/>
          </w:tcPr>
          <w:p w14:paraId="3A25131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43</w:t>
            </w:r>
          </w:p>
        </w:tc>
        <w:tc>
          <w:tcPr>
            <w:tcW w:w="0" w:type="auto"/>
            <w:tcBorders>
              <w:tl2br w:val="nil"/>
              <w:tr2bl w:val="nil"/>
            </w:tcBorders>
            <w:noWrap w:val="0"/>
            <w:vAlign w:val="center"/>
          </w:tcPr>
          <w:p w14:paraId="21F702FF">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35</w:t>
            </w:r>
          </w:p>
        </w:tc>
        <w:tc>
          <w:tcPr>
            <w:tcW w:w="0" w:type="auto"/>
            <w:tcBorders>
              <w:tl2br w:val="nil"/>
              <w:tr2bl w:val="nil"/>
            </w:tcBorders>
            <w:noWrap w:val="0"/>
            <w:vAlign w:val="center"/>
          </w:tcPr>
          <w:p w14:paraId="48EA418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122.9</w:t>
            </w:r>
          </w:p>
        </w:tc>
        <w:tc>
          <w:tcPr>
            <w:tcW w:w="0" w:type="auto"/>
            <w:tcBorders>
              <w:tl2br w:val="nil"/>
              <w:tr2bl w:val="nil"/>
            </w:tcBorders>
            <w:noWrap w:val="0"/>
            <w:vAlign w:val="center"/>
          </w:tcPr>
          <w:p w14:paraId="0416FF2F">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超标</w:t>
            </w:r>
          </w:p>
        </w:tc>
      </w:tr>
      <w:tr w14:paraId="4F120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0" w:type="auto"/>
            <w:vMerge w:val="restart"/>
            <w:tcBorders>
              <w:tl2br w:val="nil"/>
              <w:tr2bl w:val="nil"/>
            </w:tcBorders>
            <w:noWrap w:val="0"/>
            <w:vAlign w:val="center"/>
          </w:tcPr>
          <w:p w14:paraId="2C97D4B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w:t>
            </w:r>
          </w:p>
        </w:tc>
        <w:tc>
          <w:tcPr>
            <w:tcW w:w="0" w:type="auto"/>
            <w:vMerge w:val="restart"/>
            <w:tcBorders>
              <w:tl2br w:val="nil"/>
              <w:tr2bl w:val="nil"/>
            </w:tcBorders>
            <w:noWrap w:val="0"/>
            <w:vAlign w:val="center"/>
          </w:tcPr>
          <w:p w14:paraId="6176874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CO</w:t>
            </w:r>
          </w:p>
        </w:tc>
        <w:tc>
          <w:tcPr>
            <w:tcW w:w="0" w:type="auto"/>
            <w:tcBorders>
              <w:tl2br w:val="nil"/>
              <w:tr2bl w:val="nil"/>
            </w:tcBorders>
            <w:noWrap w:val="0"/>
            <w:vAlign w:val="center"/>
          </w:tcPr>
          <w:p w14:paraId="6E2BC299">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0" w:type="auto"/>
            <w:tcBorders>
              <w:tl2br w:val="nil"/>
              <w:tr2bl w:val="nil"/>
            </w:tcBorders>
            <w:noWrap w:val="0"/>
            <w:vAlign w:val="center"/>
          </w:tcPr>
          <w:p w14:paraId="66E20A5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24小时平均</w:t>
            </w:r>
          </w:p>
        </w:tc>
        <w:tc>
          <w:tcPr>
            <w:tcW w:w="0" w:type="auto"/>
            <w:tcBorders>
              <w:tl2br w:val="nil"/>
              <w:tr2bl w:val="nil"/>
            </w:tcBorders>
            <w:noWrap w:val="0"/>
            <w:vAlign w:val="center"/>
          </w:tcPr>
          <w:p w14:paraId="4ED69B8D">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第95百分位数为0.8mg/m</w:t>
            </w:r>
            <w:r>
              <w:rPr>
                <w:rFonts w:hint="default" w:ascii="Times New Roman" w:hAnsi="Times New Roman" w:eastAsia="宋体" w:cs="Times New Roman"/>
                <w:color w:val="000000" w:themeColor="text1"/>
                <w:sz w:val="21"/>
                <w:szCs w:val="21"/>
                <w:highlight w:val="none"/>
                <w:vertAlign w:val="superscript"/>
                <w:lang w:val="en-US" w:eastAsia="zh-CN" w:bidi="ar"/>
                <w14:textFill>
                  <w14:solidFill>
                    <w14:schemeClr w14:val="tx1"/>
                  </w14:solidFill>
                </w14:textFill>
              </w:rPr>
              <w:t>3</w:t>
            </w:r>
          </w:p>
        </w:tc>
        <w:tc>
          <w:tcPr>
            <w:tcW w:w="0" w:type="auto"/>
            <w:tcBorders>
              <w:tl2br w:val="nil"/>
              <w:tr2bl w:val="nil"/>
            </w:tcBorders>
            <w:noWrap w:val="0"/>
            <w:vAlign w:val="center"/>
          </w:tcPr>
          <w:p w14:paraId="7796DCD7">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lang w:val="en-US" w:eastAsia="zh-CN" w:bidi="ar"/>
                <w14:textFill>
                  <w14:solidFill>
                    <w14:schemeClr w14:val="tx1"/>
                  </w14:solidFill>
                </w14:textFill>
              </w:rPr>
              <w:t>3</w:t>
            </w:r>
          </w:p>
        </w:tc>
        <w:tc>
          <w:tcPr>
            <w:tcW w:w="0" w:type="auto"/>
            <w:tcBorders>
              <w:tl2br w:val="nil"/>
              <w:tr2bl w:val="nil"/>
            </w:tcBorders>
            <w:noWrap w:val="0"/>
            <w:vAlign w:val="center"/>
          </w:tcPr>
          <w:p w14:paraId="016BE89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20.0</w:t>
            </w:r>
          </w:p>
        </w:tc>
        <w:tc>
          <w:tcPr>
            <w:tcW w:w="0" w:type="auto"/>
            <w:tcBorders>
              <w:tl2br w:val="nil"/>
              <w:tr2bl w:val="nil"/>
            </w:tcBorders>
            <w:noWrap w:val="0"/>
            <w:vAlign w:val="center"/>
          </w:tcPr>
          <w:p w14:paraId="6492246E">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3644B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0" w:type="auto"/>
            <w:vMerge w:val="continue"/>
            <w:tcBorders>
              <w:tl2br w:val="nil"/>
              <w:tr2bl w:val="nil"/>
            </w:tcBorders>
            <w:noWrap w:val="0"/>
            <w:vAlign w:val="center"/>
          </w:tcPr>
          <w:p w14:paraId="59318103">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61C1386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18E9DD40">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0" w:type="auto"/>
            <w:tcBorders>
              <w:tl2br w:val="nil"/>
              <w:tr2bl w:val="nil"/>
            </w:tcBorders>
            <w:noWrap w:val="0"/>
            <w:vAlign w:val="center"/>
          </w:tcPr>
          <w:p w14:paraId="28B24F6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24小时平均</w:t>
            </w:r>
          </w:p>
        </w:tc>
        <w:tc>
          <w:tcPr>
            <w:tcW w:w="0" w:type="auto"/>
            <w:tcBorders>
              <w:tl2br w:val="nil"/>
              <w:tr2bl w:val="nil"/>
            </w:tcBorders>
            <w:noWrap w:val="0"/>
            <w:vAlign w:val="center"/>
          </w:tcPr>
          <w:p w14:paraId="0E88914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第95百分位数为</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bidi="ar"/>
                <w14:textFill>
                  <w14:solidFill>
                    <w14:schemeClr w14:val="tx1"/>
                  </w14:solidFill>
                </w14:textFill>
              </w:rPr>
              <w:t>3</w:t>
            </w:r>
          </w:p>
        </w:tc>
        <w:tc>
          <w:tcPr>
            <w:tcW w:w="0" w:type="auto"/>
            <w:tcBorders>
              <w:tl2br w:val="nil"/>
              <w:tr2bl w:val="nil"/>
            </w:tcBorders>
            <w:noWrap w:val="0"/>
            <w:vAlign w:val="center"/>
          </w:tcPr>
          <w:p w14:paraId="0686201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lang w:val="en-US" w:eastAsia="zh-CN" w:bidi="ar"/>
                <w14:textFill>
                  <w14:solidFill>
                    <w14:schemeClr w14:val="tx1"/>
                  </w14:solidFill>
                </w14:textFill>
              </w:rPr>
              <w:t>3</w:t>
            </w:r>
          </w:p>
        </w:tc>
        <w:tc>
          <w:tcPr>
            <w:tcW w:w="0" w:type="auto"/>
            <w:tcBorders>
              <w:tl2br w:val="nil"/>
              <w:tr2bl w:val="nil"/>
            </w:tcBorders>
            <w:noWrap w:val="0"/>
            <w:vAlign w:val="center"/>
          </w:tcPr>
          <w:p w14:paraId="2020A04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25.0</w:t>
            </w:r>
          </w:p>
        </w:tc>
        <w:tc>
          <w:tcPr>
            <w:tcW w:w="0" w:type="auto"/>
            <w:tcBorders>
              <w:tl2br w:val="nil"/>
              <w:tr2bl w:val="nil"/>
            </w:tcBorders>
            <w:noWrap w:val="0"/>
            <w:vAlign w:val="center"/>
          </w:tcPr>
          <w:p w14:paraId="31DAC660">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13406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0" w:type="auto"/>
            <w:vMerge w:val="restart"/>
            <w:tcBorders>
              <w:tl2br w:val="nil"/>
              <w:tr2bl w:val="nil"/>
            </w:tcBorders>
            <w:noWrap w:val="0"/>
            <w:vAlign w:val="center"/>
          </w:tcPr>
          <w:p w14:paraId="1912DF4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w:t>
            </w:r>
          </w:p>
        </w:tc>
        <w:tc>
          <w:tcPr>
            <w:tcW w:w="0" w:type="auto"/>
            <w:vMerge w:val="restart"/>
            <w:tcBorders>
              <w:tl2br w:val="nil"/>
              <w:tr2bl w:val="nil"/>
            </w:tcBorders>
            <w:noWrap w:val="0"/>
            <w:vAlign w:val="center"/>
          </w:tcPr>
          <w:p w14:paraId="6BA247A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3</w:t>
            </w:r>
          </w:p>
        </w:tc>
        <w:tc>
          <w:tcPr>
            <w:tcW w:w="0" w:type="auto"/>
            <w:tcBorders>
              <w:tl2br w:val="nil"/>
              <w:tr2bl w:val="nil"/>
            </w:tcBorders>
            <w:noWrap w:val="0"/>
            <w:vAlign w:val="center"/>
          </w:tcPr>
          <w:p w14:paraId="7E06CC51">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大庆市</w:t>
            </w:r>
          </w:p>
        </w:tc>
        <w:tc>
          <w:tcPr>
            <w:tcW w:w="0" w:type="auto"/>
            <w:tcBorders>
              <w:tl2br w:val="nil"/>
              <w:tr2bl w:val="nil"/>
            </w:tcBorders>
            <w:noWrap w:val="0"/>
            <w:vAlign w:val="center"/>
          </w:tcPr>
          <w:p w14:paraId="0394B21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日最大8小时平均</w:t>
            </w:r>
          </w:p>
        </w:tc>
        <w:tc>
          <w:tcPr>
            <w:tcW w:w="0" w:type="auto"/>
            <w:tcBorders>
              <w:tl2br w:val="nil"/>
              <w:tr2bl w:val="nil"/>
            </w:tcBorders>
            <w:noWrap w:val="0"/>
            <w:vAlign w:val="center"/>
          </w:tcPr>
          <w:p w14:paraId="329F34F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平均第90百分位数为11</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4</w:t>
            </w:r>
          </w:p>
        </w:tc>
        <w:tc>
          <w:tcPr>
            <w:tcW w:w="0" w:type="auto"/>
            <w:tcBorders>
              <w:tl2br w:val="nil"/>
              <w:tr2bl w:val="nil"/>
            </w:tcBorders>
            <w:noWrap w:val="0"/>
            <w:vAlign w:val="center"/>
          </w:tcPr>
          <w:p w14:paraId="328B30E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160</w:t>
            </w:r>
          </w:p>
        </w:tc>
        <w:tc>
          <w:tcPr>
            <w:tcW w:w="0" w:type="auto"/>
            <w:tcBorders>
              <w:tl2br w:val="nil"/>
              <w:tr2bl w:val="nil"/>
            </w:tcBorders>
            <w:noWrap w:val="0"/>
            <w:vAlign w:val="center"/>
          </w:tcPr>
          <w:p w14:paraId="5F400BD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71.3</w:t>
            </w:r>
          </w:p>
        </w:tc>
        <w:tc>
          <w:tcPr>
            <w:tcW w:w="0" w:type="auto"/>
            <w:tcBorders>
              <w:tl2br w:val="nil"/>
              <w:tr2bl w:val="nil"/>
            </w:tcBorders>
            <w:noWrap w:val="0"/>
            <w:vAlign w:val="center"/>
          </w:tcPr>
          <w:p w14:paraId="4F0E9449">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r w14:paraId="47781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0" w:type="auto"/>
            <w:vMerge w:val="continue"/>
            <w:tcBorders>
              <w:tl2br w:val="nil"/>
              <w:tr2bl w:val="nil"/>
            </w:tcBorders>
            <w:noWrap w:val="0"/>
            <w:vAlign w:val="center"/>
          </w:tcPr>
          <w:p w14:paraId="19DBCCE4">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5EFFB2C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3CE3523B">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绥化市</w:t>
            </w:r>
          </w:p>
        </w:tc>
        <w:tc>
          <w:tcPr>
            <w:tcW w:w="0" w:type="auto"/>
            <w:tcBorders>
              <w:tl2br w:val="nil"/>
              <w:tr2bl w:val="nil"/>
            </w:tcBorders>
            <w:noWrap w:val="0"/>
            <w:vAlign w:val="center"/>
          </w:tcPr>
          <w:p w14:paraId="7F4A32E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日最大8小时平均</w:t>
            </w:r>
          </w:p>
        </w:tc>
        <w:tc>
          <w:tcPr>
            <w:tcW w:w="0" w:type="auto"/>
            <w:tcBorders>
              <w:tl2br w:val="nil"/>
              <w:tr2bl w:val="nil"/>
            </w:tcBorders>
            <w:noWrap w:val="0"/>
            <w:vAlign w:val="center"/>
          </w:tcPr>
          <w:p w14:paraId="001E6908">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平均第90百分位数为</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120</w:t>
            </w:r>
          </w:p>
        </w:tc>
        <w:tc>
          <w:tcPr>
            <w:tcW w:w="0" w:type="auto"/>
            <w:tcBorders>
              <w:tl2br w:val="nil"/>
              <w:tr2bl w:val="nil"/>
            </w:tcBorders>
            <w:noWrap w:val="0"/>
            <w:vAlign w:val="center"/>
          </w:tcPr>
          <w:p w14:paraId="380A40BE">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160</w:t>
            </w:r>
          </w:p>
        </w:tc>
        <w:tc>
          <w:tcPr>
            <w:tcW w:w="0" w:type="auto"/>
            <w:tcBorders>
              <w:tl2br w:val="nil"/>
              <w:tr2bl w:val="nil"/>
            </w:tcBorders>
            <w:noWrap w:val="0"/>
            <w:vAlign w:val="center"/>
          </w:tcPr>
          <w:p w14:paraId="5B41AD3A">
            <w:pPr>
              <w:keepNext w:val="0"/>
              <w:keepLines w:val="0"/>
              <w:pageBreakBefore w:val="0"/>
              <w:widowControl w:val="0"/>
              <w:kinsoku/>
              <w:wordWrap/>
              <w:overflowPunct/>
              <w:topLinePunct w:val="0"/>
              <w:autoSpaceDE/>
              <w:autoSpaceDN/>
              <w:bidi w:val="0"/>
              <w:adjustRightInd w:val="0"/>
              <w:snapToGrid w:val="0"/>
              <w:spacing w:beforeAutospacing="0" w:after="0" w:afterAutospacing="0" w:line="240" w:lineRule="auto"/>
              <w:ind w:firstLine="0" w:firstLineChars="0"/>
              <w:jc w:val="center"/>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75.0</w:t>
            </w:r>
          </w:p>
        </w:tc>
        <w:tc>
          <w:tcPr>
            <w:tcW w:w="0" w:type="auto"/>
            <w:tcBorders>
              <w:tl2br w:val="nil"/>
              <w:tr2bl w:val="nil"/>
            </w:tcBorders>
            <w:noWrap w:val="0"/>
            <w:vAlign w:val="center"/>
          </w:tcPr>
          <w:p w14:paraId="658D3FD5">
            <w:pPr>
              <w:keepNext w:val="0"/>
              <w:keepLines w:val="0"/>
              <w:pageBreakBefore w:val="0"/>
              <w:widowControl w:val="0"/>
              <w:shd w:val="clear"/>
              <w:kinsoku/>
              <w:wordWrap/>
              <w:overflowPunct/>
              <w:topLinePunct w:val="0"/>
              <w:autoSpaceDE/>
              <w:autoSpaceDN/>
              <w:bidi w:val="0"/>
              <w:adjustRightInd/>
              <w:snapToGrid w:val="0"/>
              <w:spacing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达标</w:t>
            </w:r>
          </w:p>
        </w:tc>
      </w:tr>
    </w:tbl>
    <w:p w14:paraId="3FD6CDD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w w:val="99"/>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根据表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4.3-1可知，202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年大庆市区基本污染物</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zh-CN"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、SO</w:t>
      </w:r>
      <w:r>
        <w:rPr>
          <w:rFonts w:hint="default" w:ascii="Times New Roman" w:hAnsi="Times New Roman" w:eastAsia="宋体" w:cs="Times New Roman"/>
          <w:color w:val="000000" w:themeColor="text1"/>
          <w:kern w:val="0"/>
          <w:sz w:val="24"/>
          <w:szCs w:val="24"/>
          <w:highlight w:val="none"/>
          <w:vertAlign w:val="subscript"/>
          <w:lang w:val="zh-CN"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、NO</w:t>
      </w:r>
      <w:r>
        <w:rPr>
          <w:rFonts w:hint="default" w:ascii="Times New Roman" w:hAnsi="Times New Roman" w:eastAsia="宋体" w:cs="Times New Roman"/>
          <w:color w:val="000000" w:themeColor="text1"/>
          <w:kern w:val="0"/>
          <w:sz w:val="24"/>
          <w:szCs w:val="24"/>
          <w:highlight w:val="none"/>
          <w:vertAlign w:val="subscript"/>
          <w:lang w:val="zh-CN"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、CO、O</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监测项目均能满足《环境空气质量标准》（GB3095-2012）及其修改单中二级标准限值</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绥化市</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区基本污染物</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除</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外，</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zh-CN"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、SO</w:t>
      </w:r>
      <w:r>
        <w:rPr>
          <w:rFonts w:hint="default" w:ascii="Times New Roman" w:hAnsi="Times New Roman" w:eastAsia="宋体" w:cs="Times New Roman"/>
          <w:color w:val="000000" w:themeColor="text1"/>
          <w:kern w:val="0"/>
          <w:sz w:val="24"/>
          <w:szCs w:val="24"/>
          <w:highlight w:val="none"/>
          <w:vertAlign w:val="subscript"/>
          <w:lang w:val="zh-CN"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zh-CN" w:eastAsia="zh-CN"/>
          <w14:textFill>
            <w14:solidFill>
              <w14:schemeClr w14:val="tx1"/>
            </w14:solidFill>
          </w14:textFill>
        </w:rPr>
        <w:t>、NO</w:t>
      </w:r>
      <w:r>
        <w:rPr>
          <w:rFonts w:hint="default" w:ascii="Times New Roman" w:hAnsi="Times New Roman" w:eastAsia="宋体" w:cs="Times New Roman"/>
          <w:color w:val="000000" w:themeColor="text1"/>
          <w:kern w:val="0"/>
          <w:sz w:val="24"/>
          <w:szCs w:val="24"/>
          <w:highlight w:val="none"/>
          <w:vertAlign w:val="subscript"/>
          <w:lang w:val="zh-CN"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、CO、O</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监测项目均能满足《环境空气质量标准》（GB3095-2012）及其修改单中二级标准限值</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059E10FC">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4.3.1.2环境空气质量现状补充监测</w:t>
      </w:r>
    </w:p>
    <w:p w14:paraId="7938205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（1）监测点位布设</w:t>
      </w:r>
    </w:p>
    <w:p w14:paraId="1E93F69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根据《环境影响评价技术导则大气环境》（HJ2.2—2018），以近20年统计的当地主导风向为轴向，在厂址及主导风向下风向5km范围内设置1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2个监测点。项目区域主导风向为西北风，</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项目工程</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分布特点，本项目委托</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黑龙江省吉瑞达检测科技有限公司</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于20</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日至</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12月12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日对项目所在区域环境空气质量进行监测，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具体点位见表4.3-2。</w:t>
      </w:r>
    </w:p>
    <w:p w14:paraId="30C717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表4.3-2</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环境空气现状监测点位</w:t>
      </w:r>
    </w:p>
    <w:tbl>
      <w:tblPr>
        <w:tblStyle w:val="18"/>
        <w:tblW w:w="500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97"/>
        <w:gridCol w:w="930"/>
        <w:gridCol w:w="885"/>
        <w:gridCol w:w="838"/>
        <w:gridCol w:w="1781"/>
        <w:gridCol w:w="1836"/>
        <w:gridCol w:w="641"/>
      </w:tblGrid>
      <w:tr w14:paraId="54482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87" w:type="dxa"/>
            <w:vMerge w:val="restart"/>
            <w:tcBorders>
              <w:tl2br w:val="nil"/>
              <w:tr2bl w:val="nil"/>
            </w:tcBorders>
            <w:vAlign w:val="center"/>
          </w:tcPr>
          <w:p w14:paraId="5EC1F69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序号</w:t>
            </w:r>
          </w:p>
        </w:tc>
        <w:tc>
          <w:tcPr>
            <w:tcW w:w="1697" w:type="dxa"/>
            <w:vMerge w:val="restart"/>
            <w:tcBorders>
              <w:tl2br w:val="nil"/>
              <w:tr2bl w:val="nil"/>
            </w:tcBorders>
            <w:vAlign w:val="center"/>
          </w:tcPr>
          <w:p w14:paraId="39A6BDF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监测点名称</w:t>
            </w:r>
          </w:p>
        </w:tc>
        <w:tc>
          <w:tcPr>
            <w:tcW w:w="1815" w:type="dxa"/>
            <w:gridSpan w:val="2"/>
            <w:tcBorders>
              <w:tl2br w:val="nil"/>
              <w:tr2bl w:val="nil"/>
            </w:tcBorders>
            <w:vAlign w:val="center"/>
          </w:tcPr>
          <w:p w14:paraId="1E2B60B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监测点坐标</w:t>
            </w:r>
          </w:p>
        </w:tc>
        <w:tc>
          <w:tcPr>
            <w:tcW w:w="838" w:type="dxa"/>
            <w:vMerge w:val="restart"/>
            <w:tcBorders>
              <w:tl2br w:val="nil"/>
              <w:tr2bl w:val="nil"/>
            </w:tcBorders>
            <w:vAlign w:val="center"/>
          </w:tcPr>
          <w:p w14:paraId="08CF038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监测</w:t>
            </w:r>
          </w:p>
          <w:p w14:paraId="43BCE33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因子</w:t>
            </w:r>
          </w:p>
        </w:tc>
        <w:tc>
          <w:tcPr>
            <w:tcW w:w="1781" w:type="dxa"/>
            <w:vMerge w:val="restart"/>
            <w:tcBorders>
              <w:tl2br w:val="nil"/>
              <w:tr2bl w:val="nil"/>
            </w:tcBorders>
            <w:vAlign w:val="center"/>
          </w:tcPr>
          <w:p w14:paraId="19B37FF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监测时段</w:t>
            </w:r>
          </w:p>
        </w:tc>
        <w:tc>
          <w:tcPr>
            <w:tcW w:w="1836" w:type="dxa"/>
            <w:vMerge w:val="restart"/>
            <w:tcBorders>
              <w:tl2br w:val="nil"/>
              <w:tr2bl w:val="nil"/>
            </w:tcBorders>
            <w:vAlign w:val="center"/>
          </w:tcPr>
          <w:p w14:paraId="4FF6902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相对厂址方位</w:t>
            </w:r>
          </w:p>
        </w:tc>
        <w:tc>
          <w:tcPr>
            <w:tcW w:w="641" w:type="dxa"/>
            <w:vMerge w:val="restart"/>
            <w:tcBorders>
              <w:tl2br w:val="nil"/>
              <w:tr2bl w:val="nil"/>
            </w:tcBorders>
            <w:vAlign w:val="center"/>
          </w:tcPr>
          <w:p w14:paraId="658CC36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相对厂界距离</w:t>
            </w:r>
          </w:p>
        </w:tc>
      </w:tr>
      <w:tr w14:paraId="614F7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87" w:type="dxa"/>
            <w:vMerge w:val="continue"/>
            <w:tcBorders>
              <w:tl2br w:val="nil"/>
              <w:tr2bl w:val="nil"/>
            </w:tcBorders>
            <w:vAlign w:val="center"/>
          </w:tcPr>
          <w:p w14:paraId="577EEE1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697" w:type="dxa"/>
            <w:vMerge w:val="continue"/>
            <w:tcBorders>
              <w:tl2br w:val="nil"/>
              <w:tr2bl w:val="nil"/>
            </w:tcBorders>
            <w:vAlign w:val="center"/>
          </w:tcPr>
          <w:p w14:paraId="301B0B1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30" w:type="dxa"/>
            <w:tcBorders>
              <w:tl2br w:val="nil"/>
              <w:tr2bl w:val="nil"/>
            </w:tcBorders>
            <w:vAlign w:val="center"/>
          </w:tcPr>
          <w:p w14:paraId="7898B20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经度</w:t>
            </w:r>
          </w:p>
        </w:tc>
        <w:tc>
          <w:tcPr>
            <w:tcW w:w="885" w:type="dxa"/>
            <w:tcBorders>
              <w:tl2br w:val="nil"/>
              <w:tr2bl w:val="nil"/>
            </w:tcBorders>
            <w:vAlign w:val="center"/>
          </w:tcPr>
          <w:p w14:paraId="03B51C0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t>纬度</w:t>
            </w:r>
          </w:p>
        </w:tc>
        <w:tc>
          <w:tcPr>
            <w:tcW w:w="838" w:type="dxa"/>
            <w:vMerge w:val="continue"/>
            <w:tcBorders>
              <w:tl2br w:val="nil"/>
              <w:tr2bl w:val="nil"/>
            </w:tcBorders>
            <w:vAlign w:val="center"/>
          </w:tcPr>
          <w:p w14:paraId="3CC72E5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781" w:type="dxa"/>
            <w:vMerge w:val="continue"/>
            <w:tcBorders>
              <w:tl2br w:val="nil"/>
              <w:tr2bl w:val="nil"/>
            </w:tcBorders>
            <w:vAlign w:val="center"/>
          </w:tcPr>
          <w:p w14:paraId="0F7256A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836" w:type="dxa"/>
            <w:vMerge w:val="continue"/>
            <w:tcBorders>
              <w:tl2br w:val="nil"/>
              <w:tr2bl w:val="nil"/>
            </w:tcBorders>
            <w:vAlign w:val="center"/>
          </w:tcPr>
          <w:p w14:paraId="1B7C99F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641" w:type="dxa"/>
            <w:vMerge w:val="continue"/>
            <w:tcBorders>
              <w:tl2br w:val="nil"/>
              <w:tr2bl w:val="nil"/>
            </w:tcBorders>
            <w:vAlign w:val="center"/>
          </w:tcPr>
          <w:p w14:paraId="5A67057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r w14:paraId="09EB2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87" w:type="dxa"/>
            <w:tcBorders>
              <w:tl2br w:val="nil"/>
              <w:tr2bl w:val="nil"/>
            </w:tcBorders>
            <w:noWrap/>
            <w:vAlign w:val="center"/>
          </w:tcPr>
          <w:p w14:paraId="1F301A6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HK1</w:t>
            </w:r>
          </w:p>
        </w:tc>
        <w:tc>
          <w:tcPr>
            <w:tcW w:w="1697" w:type="dxa"/>
            <w:tcBorders>
              <w:tl2br w:val="nil"/>
              <w:tr2bl w:val="nil"/>
            </w:tcBorders>
            <w:noWrap/>
            <w:vAlign w:val="center"/>
          </w:tcPr>
          <w:p w14:paraId="3F1F80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盛广和屯</w:t>
            </w:r>
          </w:p>
        </w:tc>
        <w:tc>
          <w:tcPr>
            <w:tcW w:w="930" w:type="dxa"/>
            <w:tcBorders>
              <w:tl2br w:val="nil"/>
              <w:tr2bl w:val="nil"/>
            </w:tcBorders>
            <w:vAlign w:val="center"/>
          </w:tcPr>
          <w:p w14:paraId="2CD435C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125.040056</w:t>
            </w:r>
          </w:p>
        </w:tc>
        <w:tc>
          <w:tcPr>
            <w:tcW w:w="885" w:type="dxa"/>
            <w:tcBorders>
              <w:tl2br w:val="nil"/>
              <w:tr2bl w:val="nil"/>
            </w:tcBorders>
            <w:vAlign w:val="center"/>
          </w:tcPr>
          <w:p w14:paraId="5C88A93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45.986943</w:t>
            </w:r>
          </w:p>
        </w:tc>
        <w:tc>
          <w:tcPr>
            <w:tcW w:w="838" w:type="dxa"/>
            <w:vMerge w:val="restart"/>
            <w:tcBorders>
              <w:tl2br w:val="nil"/>
              <w:tr2bl w:val="nil"/>
            </w:tcBorders>
            <w:noWrap/>
            <w:vAlign w:val="center"/>
          </w:tcPr>
          <w:p w14:paraId="37CE479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NMHC、TSP</w:t>
            </w:r>
          </w:p>
        </w:tc>
        <w:tc>
          <w:tcPr>
            <w:tcW w:w="1781" w:type="dxa"/>
            <w:vMerge w:val="restart"/>
            <w:tcBorders>
              <w:tl2br w:val="nil"/>
              <w:tr2bl w:val="nil"/>
            </w:tcBorders>
            <w:noWrap/>
            <w:vAlign w:val="center"/>
          </w:tcPr>
          <w:p w14:paraId="2E55829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NMHC：监测7天，每天4次；</w:t>
            </w:r>
          </w:p>
          <w:p w14:paraId="16D26BD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TSP</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监测7天，监测日均值</w:t>
            </w:r>
          </w:p>
        </w:tc>
        <w:tc>
          <w:tcPr>
            <w:tcW w:w="1836" w:type="dxa"/>
            <w:tcBorders>
              <w:tl2br w:val="nil"/>
              <w:tr2bl w:val="nil"/>
            </w:tcBorders>
            <w:noWrap/>
            <w:vAlign w:val="center"/>
          </w:tcPr>
          <w:p w14:paraId="16A9181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芳3转油站外输油管道</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南侧</w:t>
            </w:r>
          </w:p>
        </w:tc>
        <w:tc>
          <w:tcPr>
            <w:tcW w:w="641" w:type="dxa"/>
            <w:tcBorders>
              <w:tl2br w:val="nil"/>
              <w:tr2bl w:val="nil"/>
            </w:tcBorders>
            <w:noWrap/>
            <w:vAlign w:val="center"/>
          </w:tcPr>
          <w:p w14:paraId="3626F1A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90</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m</w:t>
            </w:r>
          </w:p>
        </w:tc>
      </w:tr>
      <w:tr w14:paraId="10EAD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87" w:type="dxa"/>
            <w:tcBorders>
              <w:tl2br w:val="nil"/>
              <w:tr2bl w:val="nil"/>
            </w:tcBorders>
            <w:noWrap/>
            <w:vAlign w:val="center"/>
          </w:tcPr>
          <w:p w14:paraId="304A88A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HK2</w:t>
            </w:r>
          </w:p>
        </w:tc>
        <w:tc>
          <w:tcPr>
            <w:tcW w:w="1697" w:type="dxa"/>
            <w:tcBorders>
              <w:tl2br w:val="nil"/>
              <w:tr2bl w:val="nil"/>
            </w:tcBorders>
            <w:noWrap/>
            <w:vAlign w:val="center"/>
          </w:tcPr>
          <w:p w14:paraId="04999E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升1-2阀组间东侧200m空地</w:t>
            </w:r>
          </w:p>
        </w:tc>
        <w:tc>
          <w:tcPr>
            <w:tcW w:w="930" w:type="dxa"/>
            <w:tcBorders>
              <w:tl2br w:val="nil"/>
              <w:tr2bl w:val="nil"/>
            </w:tcBorders>
            <w:vAlign w:val="center"/>
          </w:tcPr>
          <w:p w14:paraId="120D22C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125.280994</w:t>
            </w:r>
          </w:p>
        </w:tc>
        <w:tc>
          <w:tcPr>
            <w:tcW w:w="885" w:type="dxa"/>
            <w:tcBorders>
              <w:tl2br w:val="nil"/>
              <w:tr2bl w:val="nil"/>
            </w:tcBorders>
            <w:vAlign w:val="center"/>
          </w:tcPr>
          <w:p w14:paraId="06A49A6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46.173835</w:t>
            </w:r>
          </w:p>
        </w:tc>
        <w:tc>
          <w:tcPr>
            <w:tcW w:w="838" w:type="dxa"/>
            <w:vMerge w:val="continue"/>
            <w:tcBorders>
              <w:tl2br w:val="nil"/>
              <w:tr2bl w:val="nil"/>
            </w:tcBorders>
            <w:noWrap/>
            <w:vAlign w:val="center"/>
          </w:tcPr>
          <w:p w14:paraId="1A4FCA4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781" w:type="dxa"/>
            <w:vMerge w:val="continue"/>
            <w:tcBorders>
              <w:tl2br w:val="nil"/>
              <w:tr2bl w:val="nil"/>
            </w:tcBorders>
            <w:noWrap/>
            <w:vAlign w:val="center"/>
          </w:tcPr>
          <w:p w14:paraId="61FACF8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836" w:type="dxa"/>
            <w:tcBorders>
              <w:tl2br w:val="nil"/>
              <w:tr2bl w:val="nil"/>
            </w:tcBorders>
            <w:noWrap/>
            <w:vAlign w:val="center"/>
          </w:tcPr>
          <w:p w14:paraId="53E5D7E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升1-2集油阀组间6环</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集油管线南侧</w:t>
            </w:r>
          </w:p>
        </w:tc>
        <w:tc>
          <w:tcPr>
            <w:tcW w:w="641" w:type="dxa"/>
            <w:tcBorders>
              <w:tl2br w:val="nil"/>
              <w:tr2bl w:val="nil"/>
            </w:tcBorders>
            <w:noWrap/>
            <w:vAlign w:val="center"/>
          </w:tcPr>
          <w:p w14:paraId="58C1136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30m</w:t>
            </w:r>
          </w:p>
        </w:tc>
      </w:tr>
    </w:tbl>
    <w:p w14:paraId="4563689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（2）监测项目</w:t>
      </w:r>
    </w:p>
    <w:p w14:paraId="2BD3CE0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监测因子：非甲烷总烃、TSP。</w:t>
      </w:r>
    </w:p>
    <w:p w14:paraId="28F4D15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（3）监测频次</w:t>
      </w:r>
    </w:p>
    <w:p w14:paraId="2E5A244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日，连续监测7天，每天采样4次。</w:t>
      </w:r>
    </w:p>
    <w:p w14:paraId="6151358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TSP：20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日，连续监测7天，监测日均值。</w:t>
      </w:r>
    </w:p>
    <w:p w14:paraId="5AB9FF7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（4）监测及评价结果</w:t>
      </w:r>
    </w:p>
    <w:p w14:paraId="3968AA8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特征污染物现状监测及评价结果详见表4.3-3。</w:t>
      </w:r>
    </w:p>
    <w:p w14:paraId="1EE614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特征污染物现状监测及评价结果</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17"/>
        <w:gridCol w:w="766"/>
        <w:gridCol w:w="917"/>
        <w:gridCol w:w="917"/>
        <w:gridCol w:w="1050"/>
        <w:gridCol w:w="1633"/>
        <w:gridCol w:w="1035"/>
        <w:gridCol w:w="4"/>
        <w:gridCol w:w="651"/>
        <w:gridCol w:w="658"/>
      </w:tblGrid>
      <w:tr w14:paraId="62A39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14:paraId="51770B8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序号</w:t>
            </w:r>
          </w:p>
        </w:tc>
        <w:tc>
          <w:tcPr>
            <w:tcW w:w="1583" w:type="dxa"/>
            <w:gridSpan w:val="2"/>
            <w:tcBorders>
              <w:tl2br w:val="nil"/>
              <w:tr2bl w:val="nil"/>
            </w:tcBorders>
            <w:vAlign w:val="center"/>
          </w:tcPr>
          <w:p w14:paraId="00B8770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监测点坐标</w:t>
            </w:r>
          </w:p>
        </w:tc>
        <w:tc>
          <w:tcPr>
            <w:tcW w:w="917" w:type="dxa"/>
            <w:vMerge w:val="restart"/>
            <w:tcBorders>
              <w:tl2br w:val="nil"/>
              <w:tr2bl w:val="nil"/>
            </w:tcBorders>
            <w:vAlign w:val="center"/>
          </w:tcPr>
          <w:p w14:paraId="197D9A6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污染物</w:t>
            </w:r>
          </w:p>
        </w:tc>
        <w:tc>
          <w:tcPr>
            <w:tcW w:w="917" w:type="dxa"/>
            <w:vMerge w:val="restart"/>
            <w:tcBorders>
              <w:tl2br w:val="nil"/>
              <w:tr2bl w:val="nil"/>
            </w:tcBorders>
            <w:vAlign w:val="center"/>
          </w:tcPr>
          <w:p w14:paraId="30863CF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平均时间</w:t>
            </w:r>
          </w:p>
        </w:tc>
        <w:tc>
          <w:tcPr>
            <w:tcW w:w="1050" w:type="dxa"/>
            <w:vMerge w:val="restart"/>
            <w:tcBorders>
              <w:tl2br w:val="nil"/>
              <w:tr2bl w:val="nil"/>
            </w:tcBorders>
            <w:vAlign w:val="center"/>
          </w:tcPr>
          <w:p w14:paraId="272EA87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评价标准</w:t>
            </w:r>
          </w:p>
        </w:tc>
        <w:tc>
          <w:tcPr>
            <w:tcW w:w="1633" w:type="dxa"/>
            <w:vMerge w:val="restart"/>
            <w:tcBorders>
              <w:tl2br w:val="nil"/>
              <w:tr2bl w:val="nil"/>
            </w:tcBorders>
            <w:vAlign w:val="center"/>
          </w:tcPr>
          <w:p w14:paraId="1B801B9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监测浓度范围</w:t>
            </w:r>
          </w:p>
        </w:tc>
        <w:tc>
          <w:tcPr>
            <w:tcW w:w="1035" w:type="dxa"/>
            <w:vMerge w:val="restart"/>
            <w:tcBorders>
              <w:tl2br w:val="nil"/>
              <w:tr2bl w:val="nil"/>
            </w:tcBorders>
            <w:vAlign w:val="center"/>
          </w:tcPr>
          <w:p w14:paraId="2B802D1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最大浓度占标率%</w:t>
            </w:r>
          </w:p>
        </w:tc>
        <w:tc>
          <w:tcPr>
            <w:tcW w:w="655" w:type="dxa"/>
            <w:gridSpan w:val="2"/>
            <w:vMerge w:val="restart"/>
            <w:tcBorders>
              <w:tl2br w:val="nil"/>
              <w:tr2bl w:val="nil"/>
            </w:tcBorders>
            <w:vAlign w:val="center"/>
          </w:tcPr>
          <w:p w14:paraId="543E34B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超标率%</w:t>
            </w:r>
          </w:p>
        </w:tc>
        <w:tc>
          <w:tcPr>
            <w:tcW w:w="658" w:type="dxa"/>
            <w:vMerge w:val="restart"/>
            <w:tcBorders>
              <w:tl2br w:val="nil"/>
              <w:tr2bl w:val="nil"/>
            </w:tcBorders>
            <w:vAlign w:val="center"/>
          </w:tcPr>
          <w:p w14:paraId="106E88D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达标情况</w:t>
            </w:r>
          </w:p>
        </w:tc>
      </w:tr>
      <w:tr w14:paraId="00001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continue"/>
            <w:tcBorders>
              <w:tl2br w:val="nil"/>
              <w:tr2bl w:val="nil"/>
            </w:tcBorders>
            <w:vAlign w:val="center"/>
          </w:tcPr>
          <w:p w14:paraId="12DE11D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817" w:type="dxa"/>
            <w:tcBorders>
              <w:tl2br w:val="nil"/>
              <w:tr2bl w:val="nil"/>
            </w:tcBorders>
            <w:vAlign w:val="center"/>
          </w:tcPr>
          <w:p w14:paraId="176B841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经度</w:t>
            </w:r>
          </w:p>
        </w:tc>
        <w:tc>
          <w:tcPr>
            <w:tcW w:w="766" w:type="dxa"/>
            <w:tcBorders>
              <w:tl2br w:val="nil"/>
              <w:tr2bl w:val="nil"/>
            </w:tcBorders>
            <w:vAlign w:val="center"/>
          </w:tcPr>
          <w:p w14:paraId="018B2BB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eastAsia="zh-CN"/>
                <w14:textFill>
                  <w14:solidFill>
                    <w14:schemeClr w14:val="tx1"/>
                  </w14:solidFill>
                </w14:textFill>
              </w:rPr>
              <w:t>纬度</w:t>
            </w:r>
          </w:p>
        </w:tc>
        <w:tc>
          <w:tcPr>
            <w:tcW w:w="917" w:type="dxa"/>
            <w:vMerge w:val="continue"/>
            <w:tcBorders>
              <w:tl2br w:val="nil"/>
              <w:tr2bl w:val="nil"/>
            </w:tcBorders>
            <w:vAlign w:val="center"/>
          </w:tcPr>
          <w:p w14:paraId="0567FE9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917" w:type="dxa"/>
            <w:vMerge w:val="continue"/>
            <w:tcBorders>
              <w:tl2br w:val="nil"/>
              <w:tr2bl w:val="nil"/>
            </w:tcBorders>
            <w:vAlign w:val="center"/>
          </w:tcPr>
          <w:p w14:paraId="09BA5D3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1050" w:type="dxa"/>
            <w:vMerge w:val="continue"/>
            <w:tcBorders>
              <w:tl2br w:val="nil"/>
              <w:tr2bl w:val="nil"/>
            </w:tcBorders>
            <w:vAlign w:val="center"/>
          </w:tcPr>
          <w:p w14:paraId="1BC4B4E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1633" w:type="dxa"/>
            <w:vMerge w:val="continue"/>
            <w:tcBorders>
              <w:tl2br w:val="nil"/>
              <w:tr2bl w:val="nil"/>
            </w:tcBorders>
            <w:vAlign w:val="center"/>
          </w:tcPr>
          <w:p w14:paraId="470A9D4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1035" w:type="dxa"/>
            <w:vMerge w:val="continue"/>
            <w:tcBorders>
              <w:tl2br w:val="nil"/>
              <w:tr2bl w:val="nil"/>
            </w:tcBorders>
            <w:vAlign w:val="center"/>
          </w:tcPr>
          <w:p w14:paraId="7873BD6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655" w:type="dxa"/>
            <w:gridSpan w:val="2"/>
            <w:vMerge w:val="continue"/>
            <w:tcBorders>
              <w:tl2br w:val="nil"/>
              <w:tr2bl w:val="nil"/>
            </w:tcBorders>
            <w:vAlign w:val="center"/>
          </w:tcPr>
          <w:p w14:paraId="3E58720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658" w:type="dxa"/>
            <w:vMerge w:val="continue"/>
            <w:tcBorders>
              <w:tl2br w:val="nil"/>
              <w:tr2bl w:val="nil"/>
            </w:tcBorders>
            <w:vAlign w:val="center"/>
          </w:tcPr>
          <w:p w14:paraId="26B461E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r>
      <w:tr w14:paraId="734C9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14:paraId="6B9B7DA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HK1</w:t>
            </w:r>
          </w:p>
        </w:tc>
        <w:tc>
          <w:tcPr>
            <w:tcW w:w="817" w:type="dxa"/>
            <w:vMerge w:val="restart"/>
            <w:tcBorders>
              <w:tl2br w:val="nil"/>
              <w:tr2bl w:val="nil"/>
            </w:tcBorders>
            <w:vAlign w:val="center"/>
          </w:tcPr>
          <w:p w14:paraId="72FA742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125.040056</w:t>
            </w:r>
          </w:p>
        </w:tc>
        <w:tc>
          <w:tcPr>
            <w:tcW w:w="766" w:type="dxa"/>
            <w:vMerge w:val="restart"/>
            <w:tcBorders>
              <w:tl2br w:val="nil"/>
              <w:tr2bl w:val="nil"/>
            </w:tcBorders>
            <w:vAlign w:val="center"/>
          </w:tcPr>
          <w:p w14:paraId="6C5A8FC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45.986943</w:t>
            </w:r>
          </w:p>
        </w:tc>
        <w:tc>
          <w:tcPr>
            <w:tcW w:w="917" w:type="dxa"/>
            <w:tcBorders>
              <w:tl2br w:val="nil"/>
              <w:tr2bl w:val="nil"/>
            </w:tcBorders>
            <w:vAlign w:val="center"/>
          </w:tcPr>
          <w:p w14:paraId="1E8A43E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NMHC</w:t>
            </w:r>
          </w:p>
        </w:tc>
        <w:tc>
          <w:tcPr>
            <w:tcW w:w="917" w:type="dxa"/>
            <w:tcBorders>
              <w:tl2br w:val="nil"/>
              <w:tr2bl w:val="nil"/>
            </w:tcBorders>
            <w:vAlign w:val="center"/>
          </w:tcPr>
          <w:p w14:paraId="01F0625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1h</w:t>
            </w:r>
          </w:p>
        </w:tc>
        <w:tc>
          <w:tcPr>
            <w:tcW w:w="1050" w:type="dxa"/>
            <w:tcBorders>
              <w:tl2br w:val="nil"/>
              <w:tr2bl w:val="nil"/>
            </w:tcBorders>
            <w:vAlign w:val="center"/>
          </w:tcPr>
          <w:p w14:paraId="5676798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2mg/m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633" w:type="dxa"/>
            <w:tcBorders>
              <w:tl2br w:val="nil"/>
              <w:tr2bl w:val="nil"/>
            </w:tcBorders>
            <w:vAlign w:val="center"/>
          </w:tcPr>
          <w:p w14:paraId="46C33BF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61—</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96</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035" w:type="dxa"/>
            <w:tcBorders>
              <w:tl2br w:val="nil"/>
              <w:tr2bl w:val="nil"/>
            </w:tcBorders>
            <w:vAlign w:val="center"/>
          </w:tcPr>
          <w:p w14:paraId="3202E55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48.0</w:t>
            </w:r>
          </w:p>
        </w:tc>
        <w:tc>
          <w:tcPr>
            <w:tcW w:w="655" w:type="dxa"/>
            <w:gridSpan w:val="2"/>
            <w:tcBorders>
              <w:tl2br w:val="nil"/>
              <w:tr2bl w:val="nil"/>
            </w:tcBorders>
            <w:vAlign w:val="center"/>
          </w:tcPr>
          <w:p w14:paraId="01BDAF6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w:t>
            </w:r>
          </w:p>
        </w:tc>
        <w:tc>
          <w:tcPr>
            <w:tcW w:w="658" w:type="dxa"/>
            <w:vMerge w:val="restart"/>
            <w:tcBorders>
              <w:tl2br w:val="nil"/>
              <w:tr2bl w:val="nil"/>
            </w:tcBorders>
            <w:vAlign w:val="center"/>
          </w:tcPr>
          <w:p w14:paraId="79279EF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达标</w:t>
            </w:r>
          </w:p>
        </w:tc>
      </w:tr>
      <w:tr w14:paraId="46ECA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719" w:type="dxa"/>
            <w:vMerge w:val="continue"/>
            <w:tcBorders>
              <w:tl2br w:val="nil"/>
              <w:tr2bl w:val="nil"/>
            </w:tcBorders>
            <w:vAlign w:val="center"/>
          </w:tcPr>
          <w:p w14:paraId="629CA8A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817" w:type="dxa"/>
            <w:vMerge w:val="continue"/>
            <w:tcBorders>
              <w:tl2br w:val="nil"/>
              <w:tr2bl w:val="nil"/>
            </w:tcBorders>
            <w:vAlign w:val="center"/>
          </w:tcPr>
          <w:p w14:paraId="1A28A10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766" w:type="dxa"/>
            <w:vMerge w:val="continue"/>
            <w:tcBorders>
              <w:tl2br w:val="nil"/>
              <w:tr2bl w:val="nil"/>
            </w:tcBorders>
            <w:vAlign w:val="center"/>
          </w:tcPr>
          <w:p w14:paraId="0574CF6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c>
          <w:tcPr>
            <w:tcW w:w="917" w:type="dxa"/>
            <w:tcBorders>
              <w:tl2br w:val="nil"/>
              <w:tr2bl w:val="nil"/>
            </w:tcBorders>
            <w:vAlign w:val="center"/>
          </w:tcPr>
          <w:p w14:paraId="553DABA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TSP</w:t>
            </w:r>
          </w:p>
        </w:tc>
        <w:tc>
          <w:tcPr>
            <w:tcW w:w="917" w:type="dxa"/>
            <w:tcBorders>
              <w:tl2br w:val="nil"/>
              <w:tr2bl w:val="nil"/>
            </w:tcBorders>
            <w:vAlign w:val="center"/>
          </w:tcPr>
          <w:p w14:paraId="4BD281A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日均值</w:t>
            </w:r>
          </w:p>
        </w:tc>
        <w:tc>
          <w:tcPr>
            <w:tcW w:w="1050" w:type="dxa"/>
            <w:tcBorders>
              <w:tl2br w:val="nil"/>
              <w:tr2bl w:val="nil"/>
            </w:tcBorders>
            <w:vAlign w:val="center"/>
          </w:tcPr>
          <w:p w14:paraId="21AE4C8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300μ</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633" w:type="dxa"/>
            <w:tcBorders>
              <w:tl2br w:val="nil"/>
              <w:tr2bl w:val="nil"/>
            </w:tcBorders>
            <w:vAlign w:val="center"/>
          </w:tcPr>
          <w:p w14:paraId="456733D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105-117</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μ</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035" w:type="dxa"/>
            <w:tcBorders>
              <w:tl2br w:val="nil"/>
              <w:tr2bl w:val="nil"/>
            </w:tcBorders>
            <w:vAlign w:val="center"/>
          </w:tcPr>
          <w:p w14:paraId="05FB14C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39.0</w:t>
            </w:r>
          </w:p>
        </w:tc>
        <w:tc>
          <w:tcPr>
            <w:tcW w:w="655" w:type="dxa"/>
            <w:gridSpan w:val="2"/>
            <w:tcBorders>
              <w:tl2br w:val="nil"/>
              <w:tr2bl w:val="nil"/>
            </w:tcBorders>
            <w:vAlign w:val="center"/>
          </w:tcPr>
          <w:p w14:paraId="3344ECA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p>
        </w:tc>
        <w:tc>
          <w:tcPr>
            <w:tcW w:w="658" w:type="dxa"/>
            <w:vMerge w:val="continue"/>
            <w:tcBorders>
              <w:tl2br w:val="nil"/>
              <w:tr2bl w:val="nil"/>
            </w:tcBorders>
            <w:vAlign w:val="center"/>
          </w:tcPr>
          <w:p w14:paraId="05477B9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r>
      <w:tr w14:paraId="61223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19" w:type="dxa"/>
            <w:vMerge w:val="restart"/>
            <w:tcBorders>
              <w:tl2br w:val="nil"/>
              <w:tr2bl w:val="nil"/>
            </w:tcBorders>
            <w:vAlign w:val="center"/>
          </w:tcPr>
          <w:p w14:paraId="6FEF58D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HK2</w:t>
            </w:r>
          </w:p>
        </w:tc>
        <w:tc>
          <w:tcPr>
            <w:tcW w:w="817" w:type="dxa"/>
            <w:vMerge w:val="restart"/>
            <w:tcBorders>
              <w:tl2br w:val="nil"/>
              <w:tr2bl w:val="nil"/>
            </w:tcBorders>
            <w:vAlign w:val="center"/>
          </w:tcPr>
          <w:p w14:paraId="7668179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125.280994</w:t>
            </w:r>
          </w:p>
        </w:tc>
        <w:tc>
          <w:tcPr>
            <w:tcW w:w="766" w:type="dxa"/>
            <w:vMerge w:val="restart"/>
            <w:tcBorders>
              <w:tl2br w:val="nil"/>
              <w:tr2bl w:val="nil"/>
            </w:tcBorders>
            <w:vAlign w:val="center"/>
          </w:tcPr>
          <w:p w14:paraId="370DDA3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46.173835</w:t>
            </w:r>
          </w:p>
        </w:tc>
        <w:tc>
          <w:tcPr>
            <w:tcW w:w="917" w:type="dxa"/>
            <w:tcBorders>
              <w:tl2br w:val="nil"/>
              <w:tr2bl w:val="nil"/>
            </w:tcBorders>
            <w:vAlign w:val="center"/>
          </w:tcPr>
          <w:p w14:paraId="301AC23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NMHC</w:t>
            </w:r>
          </w:p>
        </w:tc>
        <w:tc>
          <w:tcPr>
            <w:tcW w:w="917" w:type="dxa"/>
            <w:tcBorders>
              <w:tl2br w:val="nil"/>
              <w:tr2bl w:val="nil"/>
            </w:tcBorders>
            <w:vAlign w:val="center"/>
          </w:tcPr>
          <w:p w14:paraId="647EB86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1h</w:t>
            </w:r>
          </w:p>
        </w:tc>
        <w:tc>
          <w:tcPr>
            <w:tcW w:w="1050" w:type="dxa"/>
            <w:tcBorders>
              <w:tl2br w:val="nil"/>
              <w:tr2bl w:val="nil"/>
            </w:tcBorders>
            <w:vAlign w:val="center"/>
          </w:tcPr>
          <w:p w14:paraId="367FBEE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2mg/m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633" w:type="dxa"/>
            <w:tcBorders>
              <w:tl2br w:val="nil"/>
              <w:tr2bl w:val="nil"/>
            </w:tcBorders>
            <w:vAlign w:val="center"/>
          </w:tcPr>
          <w:p w14:paraId="1340C73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66—</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98</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039" w:type="dxa"/>
            <w:gridSpan w:val="2"/>
            <w:tcBorders>
              <w:tl2br w:val="nil"/>
              <w:tr2bl w:val="nil"/>
            </w:tcBorders>
            <w:vAlign w:val="center"/>
          </w:tcPr>
          <w:p w14:paraId="7CB9840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49.0</w:t>
            </w:r>
          </w:p>
        </w:tc>
        <w:tc>
          <w:tcPr>
            <w:tcW w:w="651" w:type="dxa"/>
            <w:tcBorders>
              <w:tl2br w:val="nil"/>
              <w:tr2bl w:val="nil"/>
            </w:tcBorders>
            <w:vAlign w:val="center"/>
          </w:tcPr>
          <w:p w14:paraId="57F954E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p>
        </w:tc>
        <w:tc>
          <w:tcPr>
            <w:tcW w:w="658" w:type="dxa"/>
            <w:vMerge w:val="continue"/>
            <w:tcBorders>
              <w:tl2br w:val="nil"/>
              <w:tr2bl w:val="nil"/>
            </w:tcBorders>
            <w:vAlign w:val="center"/>
          </w:tcPr>
          <w:p w14:paraId="0091E90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p>
        </w:tc>
      </w:tr>
      <w:tr w14:paraId="53710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19" w:type="dxa"/>
            <w:vMerge w:val="continue"/>
            <w:tcBorders>
              <w:tl2br w:val="nil"/>
              <w:tr2bl w:val="nil"/>
            </w:tcBorders>
            <w:vAlign w:val="center"/>
          </w:tcPr>
          <w:p w14:paraId="3A401C5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817" w:type="dxa"/>
            <w:vMerge w:val="continue"/>
            <w:tcBorders>
              <w:tl2br w:val="nil"/>
              <w:tr2bl w:val="nil"/>
            </w:tcBorders>
            <w:vAlign w:val="center"/>
          </w:tcPr>
          <w:p w14:paraId="2AE5EBD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766" w:type="dxa"/>
            <w:vMerge w:val="continue"/>
            <w:tcBorders>
              <w:tl2br w:val="nil"/>
              <w:tr2bl w:val="nil"/>
            </w:tcBorders>
            <w:vAlign w:val="center"/>
          </w:tcPr>
          <w:p w14:paraId="124C27F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17" w:type="dxa"/>
            <w:tcBorders>
              <w:tl2br w:val="nil"/>
              <w:tr2bl w:val="nil"/>
            </w:tcBorders>
            <w:vAlign w:val="center"/>
          </w:tcPr>
          <w:p w14:paraId="1DBEB1B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TSP</w:t>
            </w:r>
          </w:p>
        </w:tc>
        <w:tc>
          <w:tcPr>
            <w:tcW w:w="917" w:type="dxa"/>
            <w:tcBorders>
              <w:tl2br w:val="nil"/>
              <w:tr2bl w:val="nil"/>
            </w:tcBorders>
            <w:vAlign w:val="center"/>
          </w:tcPr>
          <w:p w14:paraId="799CB4C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日均值</w:t>
            </w:r>
          </w:p>
        </w:tc>
        <w:tc>
          <w:tcPr>
            <w:tcW w:w="1050" w:type="dxa"/>
            <w:tcBorders>
              <w:tl2br w:val="nil"/>
              <w:tr2bl w:val="nil"/>
            </w:tcBorders>
            <w:vAlign w:val="center"/>
          </w:tcPr>
          <w:p w14:paraId="732440D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300μ</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633" w:type="dxa"/>
            <w:tcBorders>
              <w:tl2br w:val="nil"/>
              <w:tr2bl w:val="nil"/>
            </w:tcBorders>
            <w:vAlign w:val="center"/>
          </w:tcPr>
          <w:p w14:paraId="3EAB03F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109-117</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μ</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g/m</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3</w:t>
            </w:r>
          </w:p>
        </w:tc>
        <w:tc>
          <w:tcPr>
            <w:tcW w:w="1039" w:type="dxa"/>
            <w:gridSpan w:val="2"/>
            <w:tcBorders>
              <w:tl2br w:val="nil"/>
              <w:tr2bl w:val="nil"/>
            </w:tcBorders>
            <w:vAlign w:val="center"/>
          </w:tcPr>
          <w:p w14:paraId="5423DC0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39.0</w:t>
            </w:r>
          </w:p>
        </w:tc>
        <w:tc>
          <w:tcPr>
            <w:tcW w:w="651" w:type="dxa"/>
            <w:tcBorders>
              <w:tl2br w:val="nil"/>
              <w:tr2bl w:val="nil"/>
            </w:tcBorders>
            <w:vAlign w:val="center"/>
          </w:tcPr>
          <w:p w14:paraId="1A6C5AF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w:t>
            </w:r>
          </w:p>
        </w:tc>
        <w:tc>
          <w:tcPr>
            <w:tcW w:w="658" w:type="dxa"/>
            <w:vMerge w:val="continue"/>
            <w:tcBorders>
              <w:tl2br w:val="nil"/>
              <w:tr2bl w:val="nil"/>
            </w:tcBorders>
            <w:vAlign w:val="center"/>
          </w:tcPr>
          <w:p w14:paraId="2761A78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bl>
    <w:p w14:paraId="6EBD41D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由表4.3-3可知，评价区域环境空气监测点位非甲烷总烃符合《大气污染物综合排放标准详解》中的2.0mg/m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标准要求，TSP符合《环境空气质量标准》（GB3095-2012）及其修改单中二级标准要求。</w:t>
      </w:r>
    </w:p>
    <w:p w14:paraId="5E244C03">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4.3.2地下水环境质量现状评价</w:t>
      </w:r>
    </w:p>
    <w:p w14:paraId="1AC4867C">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4.3.2.1地下水位监测</w:t>
      </w:r>
    </w:p>
    <w:p w14:paraId="135D79E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一般情况下，地下水水位监测点数宜大于相应评价级别地下水水质监测点数的2倍。二级评价项目潜水含水层的水质监测点应不少于5个，可能受建设项目影响且具有饮用水开发利用价值的含水层2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4个。原则上建设项目场地上游和两侧的地下水水质监测点均不得少于1个，建设项目场地及其下游影响区的地下水水质监测点不得少于2个。因此本项目共布设7个水质监测点和14个水位监测点，</w:t>
      </w: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地下水位</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监测点位监测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结果</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4.3-4。</w:t>
      </w:r>
    </w:p>
    <w:p w14:paraId="1241F26D">
      <w:pPr>
        <w:keepNext w:val="0"/>
        <w:keepLines w:val="0"/>
        <w:pageBreakBefore w:val="0"/>
        <w:widowControl w:val="0"/>
        <w:tabs>
          <w:tab w:val="left" w:pos="396"/>
        </w:tabs>
        <w:kinsoku/>
        <w:wordWrap/>
        <w:overflowPunct/>
        <w:topLinePunct w:val="0"/>
        <w:autoSpaceDE/>
        <w:autoSpaceDN/>
        <w:bidi w:val="0"/>
        <w:adjustRightInd w:val="0"/>
        <w:snapToGrid w:val="0"/>
        <w:spacing w:after="0" w:line="360" w:lineRule="auto"/>
        <w:ind w:left="0" w:leftChars="0" w:firstLine="0" w:firstLineChars="0"/>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4.3.2.2地下水水质监测</w:t>
      </w:r>
    </w:p>
    <w:p w14:paraId="6E79EB7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（1）地下水质监测因子</w:t>
      </w:r>
    </w:p>
    <w:p w14:paraId="5CF2BE5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监测因子：</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K</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、CO</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、HCO</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、Cl</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、pH、氨氮、硝酸盐、亚硝酸盐、挥发酚、氰化物、砷、汞、六价铬、总硬度、铅、氟化物、镉、铁、锰、溶解性总固体、耗氧量、总大肠菌群、菌落总数、石油类</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7259E5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（2）水质监测布点</w:t>
      </w:r>
    </w:p>
    <w:p w14:paraId="15A5D8B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根据本项目地层特征，以及地下水含水层特点和区域水资源开发利用情况，参照《环境影响评价技术导则地下水环境》（HJ610-2016），本次共布设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个水质监测点。地下水水质监测布点见附图4-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。地下水水质监测布点信息见表4.3-5。</w:t>
      </w:r>
    </w:p>
    <w:p w14:paraId="32936AE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（3）监测时间及频次</w:t>
      </w:r>
    </w:p>
    <w:p w14:paraId="463B178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日对地下水质监测井取样1次，并进行水质分析。</w:t>
      </w:r>
    </w:p>
    <w:p w14:paraId="5EC52BA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（4）监测结果</w:t>
      </w:r>
    </w:p>
    <w:p w14:paraId="07D6131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地下水水质现状监测结果见表4.3-6。</w:t>
      </w:r>
    </w:p>
    <w:p w14:paraId="0CE9A5C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表4.3-6</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地下水水质现状监测结果</w:t>
      </w:r>
    </w:p>
    <w:tbl>
      <w:tblPr>
        <w:tblStyle w:val="18"/>
        <w:tblW w:w="142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01"/>
        <w:gridCol w:w="1318"/>
        <w:gridCol w:w="1322"/>
        <w:gridCol w:w="1322"/>
        <w:gridCol w:w="1322"/>
        <w:gridCol w:w="1322"/>
        <w:gridCol w:w="1322"/>
        <w:gridCol w:w="1322"/>
        <w:gridCol w:w="1358"/>
      </w:tblGrid>
      <w:tr w14:paraId="58B60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DA4B1D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监测项目</w:t>
            </w:r>
          </w:p>
        </w:tc>
        <w:tc>
          <w:tcPr>
            <w:tcW w:w="1318" w:type="dxa"/>
            <w:tcBorders>
              <w:tl2br w:val="nil"/>
              <w:tr2bl w:val="nil"/>
            </w:tcBorders>
            <w:vAlign w:val="center"/>
          </w:tcPr>
          <w:p w14:paraId="02197AC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w:t>
            </w:r>
          </w:p>
        </w:tc>
        <w:tc>
          <w:tcPr>
            <w:tcW w:w="1322" w:type="dxa"/>
            <w:tcBorders>
              <w:tl2br w:val="nil"/>
              <w:tr2bl w:val="nil"/>
            </w:tcBorders>
            <w:vAlign w:val="center"/>
          </w:tcPr>
          <w:p w14:paraId="1C5B036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p>
        </w:tc>
        <w:tc>
          <w:tcPr>
            <w:tcW w:w="1322" w:type="dxa"/>
            <w:tcBorders>
              <w:tl2br w:val="nil"/>
              <w:tr2bl w:val="nil"/>
            </w:tcBorders>
            <w:vAlign w:val="center"/>
          </w:tcPr>
          <w:p w14:paraId="6544F20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w:t>
            </w:r>
          </w:p>
        </w:tc>
        <w:tc>
          <w:tcPr>
            <w:tcW w:w="1322" w:type="dxa"/>
            <w:tcBorders>
              <w:tl2br w:val="nil"/>
              <w:tr2bl w:val="nil"/>
            </w:tcBorders>
            <w:vAlign w:val="center"/>
          </w:tcPr>
          <w:p w14:paraId="7157AD8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w:t>
            </w:r>
          </w:p>
        </w:tc>
        <w:tc>
          <w:tcPr>
            <w:tcW w:w="1322" w:type="dxa"/>
            <w:tcBorders>
              <w:tl2br w:val="nil"/>
              <w:tr2bl w:val="nil"/>
            </w:tcBorders>
            <w:vAlign w:val="center"/>
          </w:tcPr>
          <w:p w14:paraId="4E365F5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5#</w:t>
            </w:r>
          </w:p>
        </w:tc>
        <w:tc>
          <w:tcPr>
            <w:tcW w:w="1322" w:type="dxa"/>
            <w:tcBorders>
              <w:tl2br w:val="nil"/>
              <w:tr2bl w:val="nil"/>
            </w:tcBorders>
            <w:vAlign w:val="center"/>
          </w:tcPr>
          <w:p w14:paraId="063BC75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6#</w:t>
            </w:r>
          </w:p>
        </w:tc>
        <w:tc>
          <w:tcPr>
            <w:tcW w:w="1322" w:type="dxa"/>
            <w:tcBorders>
              <w:tl2br w:val="nil"/>
              <w:tr2bl w:val="nil"/>
            </w:tcBorders>
            <w:vAlign w:val="center"/>
          </w:tcPr>
          <w:p w14:paraId="2A8B0B0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7#</w:t>
            </w:r>
          </w:p>
        </w:tc>
        <w:tc>
          <w:tcPr>
            <w:tcW w:w="1358" w:type="dxa"/>
            <w:tcBorders>
              <w:tl2br w:val="nil"/>
              <w:tr2bl w:val="nil"/>
            </w:tcBorders>
            <w:vAlign w:val="center"/>
          </w:tcPr>
          <w:p w14:paraId="36E5D68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标准限值</w:t>
            </w:r>
          </w:p>
        </w:tc>
      </w:tr>
      <w:tr w14:paraId="0EBDB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4DAF32A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K</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5863DBF2">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14.0</w:t>
            </w:r>
          </w:p>
        </w:tc>
        <w:tc>
          <w:tcPr>
            <w:tcW w:w="1322" w:type="dxa"/>
            <w:tcBorders>
              <w:tl2br w:val="nil"/>
              <w:tr2bl w:val="nil"/>
            </w:tcBorders>
            <w:vAlign w:val="center"/>
          </w:tcPr>
          <w:p w14:paraId="5D13AE9C">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14.3</w:t>
            </w:r>
          </w:p>
        </w:tc>
        <w:tc>
          <w:tcPr>
            <w:tcW w:w="1322" w:type="dxa"/>
            <w:tcBorders>
              <w:tl2br w:val="nil"/>
              <w:tr2bl w:val="nil"/>
            </w:tcBorders>
            <w:vAlign w:val="center"/>
          </w:tcPr>
          <w:p w14:paraId="7679AF7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11.6</w:t>
            </w:r>
          </w:p>
        </w:tc>
        <w:tc>
          <w:tcPr>
            <w:tcW w:w="1322" w:type="dxa"/>
            <w:tcBorders>
              <w:tl2br w:val="nil"/>
              <w:tr2bl w:val="nil"/>
            </w:tcBorders>
            <w:vAlign w:val="center"/>
          </w:tcPr>
          <w:p w14:paraId="4C420ED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15.9</w:t>
            </w:r>
          </w:p>
        </w:tc>
        <w:tc>
          <w:tcPr>
            <w:tcW w:w="1322" w:type="dxa"/>
            <w:tcBorders>
              <w:tl2br w:val="nil"/>
              <w:tr2bl w:val="nil"/>
            </w:tcBorders>
            <w:vAlign w:val="center"/>
          </w:tcPr>
          <w:p w14:paraId="19054C15">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14.9</w:t>
            </w:r>
          </w:p>
        </w:tc>
        <w:tc>
          <w:tcPr>
            <w:tcW w:w="1322" w:type="dxa"/>
            <w:tcBorders>
              <w:tl2br w:val="nil"/>
              <w:tr2bl w:val="nil"/>
            </w:tcBorders>
            <w:vAlign w:val="center"/>
          </w:tcPr>
          <w:p w14:paraId="24067BA2">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14.8</w:t>
            </w:r>
          </w:p>
        </w:tc>
        <w:tc>
          <w:tcPr>
            <w:tcW w:w="1322" w:type="dxa"/>
            <w:tcBorders>
              <w:tl2br w:val="nil"/>
              <w:tr2bl w:val="nil"/>
            </w:tcBorders>
            <w:vAlign w:val="center"/>
          </w:tcPr>
          <w:p w14:paraId="38BC859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11.3</w:t>
            </w:r>
          </w:p>
        </w:tc>
        <w:tc>
          <w:tcPr>
            <w:tcW w:w="1358" w:type="dxa"/>
            <w:tcBorders>
              <w:tl2br w:val="nil"/>
              <w:tr2bl w:val="nil"/>
            </w:tcBorders>
            <w:vAlign w:val="center"/>
          </w:tcPr>
          <w:p w14:paraId="6F88A99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w:t>
            </w:r>
          </w:p>
        </w:tc>
      </w:tr>
      <w:tr w14:paraId="1F4F9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F7E427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Na</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30A9505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29.5</w:t>
            </w:r>
          </w:p>
        </w:tc>
        <w:tc>
          <w:tcPr>
            <w:tcW w:w="1322" w:type="dxa"/>
            <w:tcBorders>
              <w:tl2br w:val="nil"/>
              <w:tr2bl w:val="nil"/>
            </w:tcBorders>
            <w:vAlign w:val="center"/>
          </w:tcPr>
          <w:p w14:paraId="7FF1351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23.4</w:t>
            </w:r>
          </w:p>
        </w:tc>
        <w:tc>
          <w:tcPr>
            <w:tcW w:w="1322" w:type="dxa"/>
            <w:tcBorders>
              <w:tl2br w:val="nil"/>
              <w:tr2bl w:val="nil"/>
            </w:tcBorders>
            <w:vAlign w:val="center"/>
          </w:tcPr>
          <w:p w14:paraId="4482AB6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19.6</w:t>
            </w:r>
          </w:p>
        </w:tc>
        <w:tc>
          <w:tcPr>
            <w:tcW w:w="1322" w:type="dxa"/>
            <w:tcBorders>
              <w:tl2br w:val="nil"/>
              <w:tr2bl w:val="nil"/>
            </w:tcBorders>
            <w:vAlign w:val="center"/>
          </w:tcPr>
          <w:p w14:paraId="4A10B40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22.0</w:t>
            </w:r>
          </w:p>
        </w:tc>
        <w:tc>
          <w:tcPr>
            <w:tcW w:w="1322" w:type="dxa"/>
            <w:tcBorders>
              <w:tl2br w:val="nil"/>
              <w:tr2bl w:val="nil"/>
            </w:tcBorders>
            <w:vAlign w:val="center"/>
          </w:tcPr>
          <w:p w14:paraId="55B5D07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23.8</w:t>
            </w:r>
          </w:p>
        </w:tc>
        <w:tc>
          <w:tcPr>
            <w:tcW w:w="1322" w:type="dxa"/>
            <w:tcBorders>
              <w:tl2br w:val="nil"/>
              <w:tr2bl w:val="nil"/>
            </w:tcBorders>
            <w:vAlign w:val="center"/>
          </w:tcPr>
          <w:p w14:paraId="25387D08">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21.2</w:t>
            </w:r>
          </w:p>
        </w:tc>
        <w:tc>
          <w:tcPr>
            <w:tcW w:w="1322" w:type="dxa"/>
            <w:tcBorders>
              <w:tl2br w:val="nil"/>
              <w:tr2bl w:val="nil"/>
            </w:tcBorders>
            <w:vAlign w:val="center"/>
          </w:tcPr>
          <w:p w14:paraId="06417285">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22.8</w:t>
            </w:r>
          </w:p>
        </w:tc>
        <w:tc>
          <w:tcPr>
            <w:tcW w:w="1358" w:type="dxa"/>
            <w:tcBorders>
              <w:tl2br w:val="nil"/>
              <w:tr2bl w:val="nil"/>
            </w:tcBorders>
            <w:vAlign w:val="center"/>
          </w:tcPr>
          <w:p w14:paraId="2894C88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≤200</w:t>
            </w:r>
          </w:p>
        </w:tc>
      </w:tr>
      <w:tr w14:paraId="1CE8C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1585F76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Ca</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38389BA0">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111</w:t>
            </w:r>
          </w:p>
        </w:tc>
        <w:tc>
          <w:tcPr>
            <w:tcW w:w="1322" w:type="dxa"/>
            <w:tcBorders>
              <w:tl2br w:val="nil"/>
              <w:tr2bl w:val="nil"/>
            </w:tcBorders>
            <w:vAlign w:val="center"/>
          </w:tcPr>
          <w:p w14:paraId="63071F2C">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105</w:t>
            </w:r>
          </w:p>
        </w:tc>
        <w:tc>
          <w:tcPr>
            <w:tcW w:w="1322" w:type="dxa"/>
            <w:tcBorders>
              <w:tl2br w:val="nil"/>
              <w:tr2bl w:val="nil"/>
            </w:tcBorders>
            <w:vAlign w:val="center"/>
          </w:tcPr>
          <w:p w14:paraId="73C47B5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96.4</w:t>
            </w:r>
          </w:p>
        </w:tc>
        <w:tc>
          <w:tcPr>
            <w:tcW w:w="1322" w:type="dxa"/>
            <w:tcBorders>
              <w:tl2br w:val="nil"/>
              <w:tr2bl w:val="nil"/>
            </w:tcBorders>
            <w:vAlign w:val="center"/>
          </w:tcPr>
          <w:p w14:paraId="18EEDEC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105</w:t>
            </w:r>
          </w:p>
        </w:tc>
        <w:tc>
          <w:tcPr>
            <w:tcW w:w="1322" w:type="dxa"/>
            <w:tcBorders>
              <w:tl2br w:val="nil"/>
              <w:tr2bl w:val="nil"/>
            </w:tcBorders>
            <w:vAlign w:val="center"/>
          </w:tcPr>
          <w:p w14:paraId="0C162FB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101</w:t>
            </w:r>
          </w:p>
        </w:tc>
        <w:tc>
          <w:tcPr>
            <w:tcW w:w="1322" w:type="dxa"/>
            <w:tcBorders>
              <w:tl2br w:val="nil"/>
              <w:tr2bl w:val="nil"/>
            </w:tcBorders>
            <w:vAlign w:val="center"/>
          </w:tcPr>
          <w:p w14:paraId="546C8A6E">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94.2</w:t>
            </w:r>
          </w:p>
        </w:tc>
        <w:tc>
          <w:tcPr>
            <w:tcW w:w="1322" w:type="dxa"/>
            <w:tcBorders>
              <w:tl2br w:val="nil"/>
              <w:tr2bl w:val="nil"/>
            </w:tcBorders>
            <w:vAlign w:val="center"/>
          </w:tcPr>
          <w:p w14:paraId="7F4DE6E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105</w:t>
            </w:r>
          </w:p>
        </w:tc>
        <w:tc>
          <w:tcPr>
            <w:tcW w:w="1358" w:type="dxa"/>
            <w:tcBorders>
              <w:tl2br w:val="nil"/>
              <w:tr2bl w:val="nil"/>
            </w:tcBorders>
            <w:vAlign w:val="center"/>
          </w:tcPr>
          <w:p w14:paraId="5F1AFDD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w:t>
            </w:r>
          </w:p>
        </w:tc>
      </w:tr>
      <w:tr w14:paraId="7222D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1" w:type="dxa"/>
            <w:tcBorders>
              <w:tl2br w:val="nil"/>
              <w:tr2bl w:val="nil"/>
            </w:tcBorders>
            <w:vAlign w:val="center"/>
          </w:tcPr>
          <w:p w14:paraId="1D7254D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3905F2E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53.3</w:t>
            </w:r>
          </w:p>
        </w:tc>
        <w:tc>
          <w:tcPr>
            <w:tcW w:w="1322" w:type="dxa"/>
            <w:tcBorders>
              <w:tl2br w:val="nil"/>
              <w:tr2bl w:val="nil"/>
            </w:tcBorders>
            <w:vAlign w:val="center"/>
          </w:tcPr>
          <w:p w14:paraId="61365F0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35.8</w:t>
            </w:r>
          </w:p>
        </w:tc>
        <w:tc>
          <w:tcPr>
            <w:tcW w:w="1322" w:type="dxa"/>
            <w:tcBorders>
              <w:tl2br w:val="nil"/>
              <w:tr2bl w:val="nil"/>
            </w:tcBorders>
            <w:vAlign w:val="center"/>
          </w:tcPr>
          <w:p w14:paraId="2769B0C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33.4</w:t>
            </w:r>
          </w:p>
        </w:tc>
        <w:tc>
          <w:tcPr>
            <w:tcW w:w="1322" w:type="dxa"/>
            <w:tcBorders>
              <w:tl2br w:val="nil"/>
              <w:tr2bl w:val="nil"/>
            </w:tcBorders>
            <w:vAlign w:val="center"/>
          </w:tcPr>
          <w:p w14:paraId="113B5ED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27.5</w:t>
            </w:r>
          </w:p>
        </w:tc>
        <w:tc>
          <w:tcPr>
            <w:tcW w:w="1322" w:type="dxa"/>
            <w:tcBorders>
              <w:tl2br w:val="nil"/>
              <w:tr2bl w:val="nil"/>
            </w:tcBorders>
            <w:vAlign w:val="center"/>
          </w:tcPr>
          <w:p w14:paraId="15DE27B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28.8</w:t>
            </w:r>
          </w:p>
        </w:tc>
        <w:tc>
          <w:tcPr>
            <w:tcW w:w="1322" w:type="dxa"/>
            <w:tcBorders>
              <w:tl2br w:val="nil"/>
              <w:tr2bl w:val="nil"/>
            </w:tcBorders>
            <w:vAlign w:val="center"/>
          </w:tcPr>
          <w:p w14:paraId="4817138C">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31.8</w:t>
            </w:r>
          </w:p>
        </w:tc>
        <w:tc>
          <w:tcPr>
            <w:tcW w:w="1322" w:type="dxa"/>
            <w:tcBorders>
              <w:tl2br w:val="nil"/>
              <w:tr2bl w:val="nil"/>
            </w:tcBorders>
            <w:vAlign w:val="center"/>
          </w:tcPr>
          <w:p w14:paraId="4E4114D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33.3</w:t>
            </w:r>
          </w:p>
        </w:tc>
        <w:tc>
          <w:tcPr>
            <w:tcW w:w="1358" w:type="dxa"/>
            <w:tcBorders>
              <w:tl2br w:val="nil"/>
              <w:tr2bl w:val="nil"/>
            </w:tcBorders>
            <w:vAlign w:val="center"/>
          </w:tcPr>
          <w:p w14:paraId="359F99B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w:t>
            </w:r>
          </w:p>
        </w:tc>
      </w:tr>
      <w:tr w14:paraId="4672A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1" w:type="dxa"/>
            <w:tcBorders>
              <w:tl2br w:val="nil"/>
              <w:tr2bl w:val="nil"/>
            </w:tcBorders>
            <w:vAlign w:val="center"/>
          </w:tcPr>
          <w:p w14:paraId="79335DD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HCO</w:t>
            </w:r>
            <w:r>
              <w:rPr>
                <w:rFonts w:hint="default" w:ascii="Times New Roman" w:hAnsi="Times New Roman" w:eastAsia="宋体" w:cs="Times New Roman"/>
                <w:color w:val="000000" w:themeColor="text1"/>
                <w:kern w:val="2"/>
                <w:sz w:val="21"/>
                <w:szCs w:val="21"/>
                <w:highlight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265EA257">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585</w:t>
            </w:r>
          </w:p>
        </w:tc>
        <w:tc>
          <w:tcPr>
            <w:tcW w:w="1322" w:type="dxa"/>
            <w:tcBorders>
              <w:tl2br w:val="nil"/>
              <w:tr2bl w:val="nil"/>
            </w:tcBorders>
            <w:vAlign w:val="center"/>
          </w:tcPr>
          <w:p w14:paraId="50449883">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515</w:t>
            </w:r>
          </w:p>
        </w:tc>
        <w:tc>
          <w:tcPr>
            <w:tcW w:w="1322" w:type="dxa"/>
            <w:tcBorders>
              <w:tl2br w:val="nil"/>
              <w:tr2bl w:val="nil"/>
            </w:tcBorders>
            <w:vAlign w:val="center"/>
          </w:tcPr>
          <w:p w14:paraId="3908E0E3">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532</w:t>
            </w:r>
          </w:p>
        </w:tc>
        <w:tc>
          <w:tcPr>
            <w:tcW w:w="1322" w:type="dxa"/>
            <w:tcBorders>
              <w:tl2br w:val="nil"/>
              <w:tr2bl w:val="nil"/>
            </w:tcBorders>
            <w:vAlign w:val="center"/>
          </w:tcPr>
          <w:p w14:paraId="1740C40D">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518</w:t>
            </w:r>
          </w:p>
        </w:tc>
        <w:tc>
          <w:tcPr>
            <w:tcW w:w="1322" w:type="dxa"/>
            <w:tcBorders>
              <w:tl2br w:val="nil"/>
              <w:tr2bl w:val="nil"/>
            </w:tcBorders>
            <w:vAlign w:val="center"/>
          </w:tcPr>
          <w:p w14:paraId="0565076A">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534</w:t>
            </w:r>
          </w:p>
        </w:tc>
        <w:tc>
          <w:tcPr>
            <w:tcW w:w="1322" w:type="dxa"/>
            <w:tcBorders>
              <w:tl2br w:val="nil"/>
              <w:tr2bl w:val="nil"/>
            </w:tcBorders>
            <w:vAlign w:val="center"/>
          </w:tcPr>
          <w:p w14:paraId="4C6F7835">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501</w:t>
            </w:r>
          </w:p>
        </w:tc>
        <w:tc>
          <w:tcPr>
            <w:tcW w:w="1322" w:type="dxa"/>
            <w:tcBorders>
              <w:tl2br w:val="nil"/>
              <w:tr2bl w:val="nil"/>
            </w:tcBorders>
            <w:vAlign w:val="center"/>
          </w:tcPr>
          <w:p w14:paraId="3BD5F704">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518</w:t>
            </w:r>
          </w:p>
        </w:tc>
        <w:tc>
          <w:tcPr>
            <w:tcW w:w="1358" w:type="dxa"/>
            <w:tcBorders>
              <w:tl2br w:val="nil"/>
              <w:tr2bl w:val="nil"/>
            </w:tcBorders>
            <w:vAlign w:val="center"/>
          </w:tcPr>
          <w:p w14:paraId="56C0AA1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w:t>
            </w:r>
          </w:p>
        </w:tc>
      </w:tr>
      <w:tr w14:paraId="574D2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451AC6A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CO</w:t>
            </w:r>
            <w:r>
              <w:rPr>
                <w:rFonts w:hint="default" w:ascii="Times New Roman" w:hAnsi="Times New Roman" w:eastAsia="宋体" w:cs="Times New Roman"/>
                <w:color w:val="000000" w:themeColor="text1"/>
                <w:kern w:val="2"/>
                <w:sz w:val="21"/>
                <w:szCs w:val="21"/>
                <w:highlight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5F6AF8A6">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22" w:type="dxa"/>
            <w:tcBorders>
              <w:tl2br w:val="nil"/>
              <w:tr2bl w:val="nil"/>
            </w:tcBorders>
            <w:vAlign w:val="center"/>
          </w:tcPr>
          <w:p w14:paraId="0F214CE5">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22" w:type="dxa"/>
            <w:tcBorders>
              <w:tl2br w:val="nil"/>
              <w:tr2bl w:val="nil"/>
            </w:tcBorders>
            <w:vAlign w:val="center"/>
          </w:tcPr>
          <w:p w14:paraId="6E59F1D6">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22" w:type="dxa"/>
            <w:tcBorders>
              <w:tl2br w:val="nil"/>
              <w:tr2bl w:val="nil"/>
            </w:tcBorders>
            <w:vAlign w:val="center"/>
          </w:tcPr>
          <w:p w14:paraId="5EA65170">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22" w:type="dxa"/>
            <w:tcBorders>
              <w:tl2br w:val="nil"/>
              <w:tr2bl w:val="nil"/>
            </w:tcBorders>
            <w:vAlign w:val="center"/>
          </w:tcPr>
          <w:p w14:paraId="07A931E1">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22" w:type="dxa"/>
            <w:tcBorders>
              <w:tl2br w:val="nil"/>
              <w:tr2bl w:val="nil"/>
            </w:tcBorders>
            <w:vAlign w:val="center"/>
          </w:tcPr>
          <w:p w14:paraId="49977786">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22" w:type="dxa"/>
            <w:tcBorders>
              <w:tl2br w:val="nil"/>
              <w:tr2bl w:val="nil"/>
            </w:tcBorders>
            <w:vAlign w:val="center"/>
          </w:tcPr>
          <w:p w14:paraId="59881DA4">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358" w:type="dxa"/>
            <w:tcBorders>
              <w:tl2br w:val="nil"/>
              <w:tr2bl w:val="nil"/>
            </w:tcBorders>
            <w:vAlign w:val="center"/>
          </w:tcPr>
          <w:p w14:paraId="3099968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78E40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3E1877D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Cl</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29BA0EE4">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15.8</w:t>
            </w:r>
          </w:p>
        </w:tc>
        <w:tc>
          <w:tcPr>
            <w:tcW w:w="1322" w:type="dxa"/>
            <w:tcBorders>
              <w:tl2br w:val="nil"/>
              <w:tr2bl w:val="nil"/>
            </w:tcBorders>
            <w:vAlign w:val="center"/>
          </w:tcPr>
          <w:p w14:paraId="599E9EE2">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17.0</w:t>
            </w:r>
          </w:p>
        </w:tc>
        <w:tc>
          <w:tcPr>
            <w:tcW w:w="1322" w:type="dxa"/>
            <w:tcBorders>
              <w:tl2br w:val="nil"/>
              <w:tr2bl w:val="nil"/>
            </w:tcBorders>
            <w:vAlign w:val="center"/>
          </w:tcPr>
          <w:p w14:paraId="447CD0A4">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10.2</w:t>
            </w:r>
          </w:p>
        </w:tc>
        <w:tc>
          <w:tcPr>
            <w:tcW w:w="1322" w:type="dxa"/>
            <w:tcBorders>
              <w:tl2br w:val="nil"/>
              <w:tr2bl w:val="nil"/>
            </w:tcBorders>
            <w:vAlign w:val="center"/>
          </w:tcPr>
          <w:p w14:paraId="48263D58">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14.5</w:t>
            </w:r>
          </w:p>
        </w:tc>
        <w:tc>
          <w:tcPr>
            <w:tcW w:w="1322" w:type="dxa"/>
            <w:tcBorders>
              <w:tl2br w:val="nil"/>
              <w:tr2bl w:val="nil"/>
            </w:tcBorders>
            <w:vAlign w:val="center"/>
          </w:tcPr>
          <w:p w14:paraId="61E42ADB">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9.26</w:t>
            </w:r>
          </w:p>
        </w:tc>
        <w:tc>
          <w:tcPr>
            <w:tcW w:w="1322" w:type="dxa"/>
            <w:tcBorders>
              <w:tl2br w:val="nil"/>
              <w:tr2bl w:val="nil"/>
            </w:tcBorders>
            <w:vAlign w:val="center"/>
          </w:tcPr>
          <w:p w14:paraId="57ABBEAE">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12.1</w:t>
            </w:r>
          </w:p>
        </w:tc>
        <w:tc>
          <w:tcPr>
            <w:tcW w:w="1322" w:type="dxa"/>
            <w:tcBorders>
              <w:tl2br w:val="nil"/>
              <w:tr2bl w:val="nil"/>
            </w:tcBorders>
            <w:vAlign w:val="center"/>
          </w:tcPr>
          <w:p w14:paraId="64062AB7">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7.41</w:t>
            </w:r>
          </w:p>
        </w:tc>
        <w:tc>
          <w:tcPr>
            <w:tcW w:w="1358" w:type="dxa"/>
            <w:tcBorders>
              <w:tl2br w:val="nil"/>
              <w:tr2bl w:val="nil"/>
            </w:tcBorders>
            <w:vAlign w:val="center"/>
          </w:tcPr>
          <w:p w14:paraId="6CDB2B7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≤250</w:t>
            </w:r>
          </w:p>
        </w:tc>
      </w:tr>
      <w:tr w14:paraId="55DCC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1" w:type="dxa"/>
            <w:tcBorders>
              <w:tl2br w:val="nil"/>
              <w:tr2bl w:val="nil"/>
            </w:tcBorders>
            <w:vAlign w:val="center"/>
          </w:tcPr>
          <w:p w14:paraId="6F4569F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vertAlign w:val="subscript"/>
                <w:lang w:eastAsia="zh-CN"/>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0B3C7808">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39.5</w:t>
            </w:r>
          </w:p>
        </w:tc>
        <w:tc>
          <w:tcPr>
            <w:tcW w:w="1322" w:type="dxa"/>
            <w:tcBorders>
              <w:tl2br w:val="nil"/>
              <w:tr2bl w:val="nil"/>
            </w:tcBorders>
            <w:vAlign w:val="center"/>
          </w:tcPr>
          <w:p w14:paraId="6C1C1419">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25.6</w:t>
            </w:r>
          </w:p>
        </w:tc>
        <w:tc>
          <w:tcPr>
            <w:tcW w:w="1322" w:type="dxa"/>
            <w:tcBorders>
              <w:tl2br w:val="nil"/>
              <w:tr2bl w:val="nil"/>
            </w:tcBorders>
            <w:vAlign w:val="center"/>
          </w:tcPr>
          <w:p w14:paraId="76C1D016">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22.9</w:t>
            </w:r>
          </w:p>
        </w:tc>
        <w:tc>
          <w:tcPr>
            <w:tcW w:w="1322" w:type="dxa"/>
            <w:tcBorders>
              <w:tl2br w:val="nil"/>
              <w:tr2bl w:val="nil"/>
            </w:tcBorders>
            <w:vAlign w:val="center"/>
          </w:tcPr>
          <w:p w14:paraId="42F72CAA">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36.6</w:t>
            </w:r>
          </w:p>
        </w:tc>
        <w:tc>
          <w:tcPr>
            <w:tcW w:w="1322" w:type="dxa"/>
            <w:tcBorders>
              <w:tl2br w:val="nil"/>
              <w:tr2bl w:val="nil"/>
            </w:tcBorders>
            <w:vAlign w:val="center"/>
          </w:tcPr>
          <w:p w14:paraId="142D4733">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23.7</w:t>
            </w:r>
          </w:p>
        </w:tc>
        <w:tc>
          <w:tcPr>
            <w:tcW w:w="1322" w:type="dxa"/>
            <w:tcBorders>
              <w:tl2br w:val="nil"/>
              <w:tr2bl w:val="nil"/>
            </w:tcBorders>
            <w:vAlign w:val="center"/>
          </w:tcPr>
          <w:p w14:paraId="64DA38BC">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33.7</w:t>
            </w:r>
          </w:p>
        </w:tc>
        <w:tc>
          <w:tcPr>
            <w:tcW w:w="1322" w:type="dxa"/>
            <w:tcBorders>
              <w:tl2br w:val="nil"/>
              <w:tr2bl w:val="nil"/>
            </w:tcBorders>
            <w:vAlign w:val="center"/>
          </w:tcPr>
          <w:p w14:paraId="6B8F08D8">
            <w:pPr>
              <w:snapToGrid w:val="0"/>
              <w:spacing w:before="0" w:beforeAutospacing="0" w:after="0" w:afterAutospacing="0" w:line="240" w:lineRule="auto"/>
              <w:jc w:val="center"/>
              <w:textAlignment w:val="baseline"/>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18.8</w:t>
            </w:r>
          </w:p>
        </w:tc>
        <w:tc>
          <w:tcPr>
            <w:tcW w:w="1358" w:type="dxa"/>
            <w:tcBorders>
              <w:tl2br w:val="nil"/>
              <w:tr2bl w:val="nil"/>
            </w:tcBorders>
            <w:vAlign w:val="center"/>
          </w:tcPr>
          <w:p w14:paraId="1A49C20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≤250</w:t>
            </w:r>
          </w:p>
        </w:tc>
      </w:tr>
      <w:tr w14:paraId="59BB6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49095C2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pH</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（无量纲）</w:t>
            </w:r>
          </w:p>
        </w:tc>
        <w:tc>
          <w:tcPr>
            <w:tcW w:w="1318" w:type="dxa"/>
            <w:tcBorders>
              <w:tl2br w:val="nil"/>
              <w:tr2bl w:val="nil"/>
            </w:tcBorders>
            <w:vAlign w:val="center"/>
          </w:tcPr>
          <w:p w14:paraId="374FA75E">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7.3</w:t>
            </w:r>
          </w:p>
        </w:tc>
        <w:tc>
          <w:tcPr>
            <w:tcW w:w="1322" w:type="dxa"/>
            <w:tcBorders>
              <w:tl2br w:val="nil"/>
              <w:tr2bl w:val="nil"/>
            </w:tcBorders>
            <w:vAlign w:val="center"/>
          </w:tcPr>
          <w:p w14:paraId="53BAD4A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7.2</w:t>
            </w:r>
          </w:p>
        </w:tc>
        <w:tc>
          <w:tcPr>
            <w:tcW w:w="1322" w:type="dxa"/>
            <w:tcBorders>
              <w:tl2br w:val="nil"/>
              <w:tr2bl w:val="nil"/>
            </w:tcBorders>
            <w:vAlign w:val="center"/>
          </w:tcPr>
          <w:p w14:paraId="32FC1E8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7.1</w:t>
            </w:r>
          </w:p>
        </w:tc>
        <w:tc>
          <w:tcPr>
            <w:tcW w:w="1322" w:type="dxa"/>
            <w:tcBorders>
              <w:tl2br w:val="nil"/>
              <w:tr2bl w:val="nil"/>
            </w:tcBorders>
            <w:vAlign w:val="center"/>
          </w:tcPr>
          <w:p w14:paraId="50F05C1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7.1</w:t>
            </w:r>
          </w:p>
        </w:tc>
        <w:tc>
          <w:tcPr>
            <w:tcW w:w="1322" w:type="dxa"/>
            <w:tcBorders>
              <w:tl2br w:val="nil"/>
              <w:tr2bl w:val="nil"/>
            </w:tcBorders>
            <w:vAlign w:val="center"/>
          </w:tcPr>
          <w:p w14:paraId="51EB3655">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7.3</w:t>
            </w:r>
          </w:p>
        </w:tc>
        <w:tc>
          <w:tcPr>
            <w:tcW w:w="1322" w:type="dxa"/>
            <w:tcBorders>
              <w:tl2br w:val="nil"/>
              <w:tr2bl w:val="nil"/>
            </w:tcBorders>
            <w:vAlign w:val="center"/>
          </w:tcPr>
          <w:p w14:paraId="3D71B5E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7.2</w:t>
            </w:r>
          </w:p>
        </w:tc>
        <w:tc>
          <w:tcPr>
            <w:tcW w:w="1322" w:type="dxa"/>
            <w:tcBorders>
              <w:tl2br w:val="nil"/>
              <w:tr2bl w:val="nil"/>
            </w:tcBorders>
            <w:vAlign w:val="center"/>
          </w:tcPr>
          <w:p w14:paraId="1343E682">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7.3</w:t>
            </w:r>
          </w:p>
        </w:tc>
        <w:tc>
          <w:tcPr>
            <w:tcW w:w="1358" w:type="dxa"/>
            <w:tcBorders>
              <w:tl2br w:val="nil"/>
              <w:tr2bl w:val="nil"/>
            </w:tcBorders>
            <w:vAlign w:val="center"/>
          </w:tcPr>
          <w:p w14:paraId="7763B48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6.5</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8.5</w:t>
            </w:r>
          </w:p>
        </w:tc>
      </w:tr>
      <w:tr w14:paraId="1C34D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0958087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总硬度</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17ED112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364</w:t>
            </w:r>
          </w:p>
        </w:tc>
        <w:tc>
          <w:tcPr>
            <w:tcW w:w="1322" w:type="dxa"/>
            <w:tcBorders>
              <w:tl2br w:val="nil"/>
              <w:tr2bl w:val="nil"/>
            </w:tcBorders>
            <w:vAlign w:val="center"/>
          </w:tcPr>
          <w:p w14:paraId="3B06A9DC">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380</w:t>
            </w:r>
          </w:p>
        </w:tc>
        <w:tc>
          <w:tcPr>
            <w:tcW w:w="1322" w:type="dxa"/>
            <w:tcBorders>
              <w:tl2br w:val="nil"/>
              <w:tr2bl w:val="nil"/>
            </w:tcBorders>
            <w:vAlign w:val="center"/>
          </w:tcPr>
          <w:p w14:paraId="1263DC0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370</w:t>
            </w:r>
          </w:p>
        </w:tc>
        <w:tc>
          <w:tcPr>
            <w:tcW w:w="1322" w:type="dxa"/>
            <w:tcBorders>
              <w:tl2br w:val="nil"/>
              <w:tr2bl w:val="nil"/>
            </w:tcBorders>
            <w:vAlign w:val="center"/>
          </w:tcPr>
          <w:p w14:paraId="09A084A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384</w:t>
            </w:r>
          </w:p>
        </w:tc>
        <w:tc>
          <w:tcPr>
            <w:tcW w:w="1322" w:type="dxa"/>
            <w:tcBorders>
              <w:tl2br w:val="nil"/>
              <w:tr2bl w:val="nil"/>
            </w:tcBorders>
            <w:vAlign w:val="center"/>
          </w:tcPr>
          <w:p w14:paraId="6537C7A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372</w:t>
            </w:r>
          </w:p>
        </w:tc>
        <w:tc>
          <w:tcPr>
            <w:tcW w:w="1322" w:type="dxa"/>
            <w:tcBorders>
              <w:tl2br w:val="nil"/>
              <w:tr2bl w:val="nil"/>
            </w:tcBorders>
            <w:vAlign w:val="center"/>
          </w:tcPr>
          <w:p w14:paraId="30CD273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390</w:t>
            </w:r>
          </w:p>
        </w:tc>
        <w:tc>
          <w:tcPr>
            <w:tcW w:w="1322" w:type="dxa"/>
            <w:tcBorders>
              <w:tl2br w:val="nil"/>
              <w:tr2bl w:val="nil"/>
            </w:tcBorders>
            <w:vAlign w:val="center"/>
          </w:tcPr>
          <w:p w14:paraId="49DFDFE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374</w:t>
            </w:r>
          </w:p>
        </w:tc>
        <w:tc>
          <w:tcPr>
            <w:tcW w:w="1358" w:type="dxa"/>
            <w:tcBorders>
              <w:tl2br w:val="nil"/>
              <w:tr2bl w:val="nil"/>
            </w:tcBorders>
            <w:vAlign w:val="center"/>
          </w:tcPr>
          <w:p w14:paraId="6106658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≤450</w:t>
            </w:r>
          </w:p>
        </w:tc>
      </w:tr>
      <w:tr w14:paraId="23610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567371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溶解性总固体</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4BC0FCE8">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785</w:t>
            </w:r>
          </w:p>
        </w:tc>
        <w:tc>
          <w:tcPr>
            <w:tcW w:w="1322" w:type="dxa"/>
            <w:tcBorders>
              <w:tl2br w:val="nil"/>
              <w:tr2bl w:val="nil"/>
            </w:tcBorders>
            <w:vAlign w:val="center"/>
          </w:tcPr>
          <w:p w14:paraId="67FB8150">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803</w:t>
            </w:r>
          </w:p>
        </w:tc>
        <w:tc>
          <w:tcPr>
            <w:tcW w:w="1322" w:type="dxa"/>
            <w:tcBorders>
              <w:tl2br w:val="nil"/>
              <w:tr2bl w:val="nil"/>
            </w:tcBorders>
            <w:vAlign w:val="center"/>
          </w:tcPr>
          <w:p w14:paraId="153E3A1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792</w:t>
            </w:r>
          </w:p>
        </w:tc>
        <w:tc>
          <w:tcPr>
            <w:tcW w:w="1322" w:type="dxa"/>
            <w:tcBorders>
              <w:tl2br w:val="nil"/>
              <w:tr2bl w:val="nil"/>
            </w:tcBorders>
            <w:vAlign w:val="center"/>
          </w:tcPr>
          <w:p w14:paraId="204601DE">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816</w:t>
            </w:r>
          </w:p>
        </w:tc>
        <w:tc>
          <w:tcPr>
            <w:tcW w:w="1322" w:type="dxa"/>
            <w:tcBorders>
              <w:tl2br w:val="nil"/>
              <w:tr2bl w:val="nil"/>
            </w:tcBorders>
            <w:vAlign w:val="center"/>
          </w:tcPr>
          <w:p w14:paraId="199ACFE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788</w:t>
            </w:r>
          </w:p>
        </w:tc>
        <w:tc>
          <w:tcPr>
            <w:tcW w:w="1322" w:type="dxa"/>
            <w:tcBorders>
              <w:tl2br w:val="nil"/>
              <w:tr2bl w:val="nil"/>
            </w:tcBorders>
            <w:vAlign w:val="center"/>
          </w:tcPr>
          <w:p w14:paraId="43388722">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824</w:t>
            </w:r>
          </w:p>
        </w:tc>
        <w:tc>
          <w:tcPr>
            <w:tcW w:w="1322" w:type="dxa"/>
            <w:tcBorders>
              <w:tl2br w:val="nil"/>
              <w:tr2bl w:val="nil"/>
            </w:tcBorders>
            <w:vAlign w:val="center"/>
          </w:tcPr>
          <w:p w14:paraId="615DC21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796</w:t>
            </w:r>
          </w:p>
        </w:tc>
        <w:tc>
          <w:tcPr>
            <w:tcW w:w="1358" w:type="dxa"/>
            <w:tcBorders>
              <w:tl2br w:val="nil"/>
              <w:tr2bl w:val="nil"/>
            </w:tcBorders>
            <w:vAlign w:val="center"/>
          </w:tcPr>
          <w:p w14:paraId="3178D39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≤1000</w:t>
            </w:r>
          </w:p>
        </w:tc>
      </w:tr>
      <w:tr w14:paraId="603EF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1A496E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耗氧量</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40C12AE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2.0</w:t>
            </w:r>
          </w:p>
        </w:tc>
        <w:tc>
          <w:tcPr>
            <w:tcW w:w="1322" w:type="dxa"/>
            <w:tcBorders>
              <w:tl2br w:val="nil"/>
              <w:tr2bl w:val="nil"/>
            </w:tcBorders>
            <w:vAlign w:val="center"/>
          </w:tcPr>
          <w:p w14:paraId="084B62F6">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1.9</w:t>
            </w:r>
          </w:p>
        </w:tc>
        <w:tc>
          <w:tcPr>
            <w:tcW w:w="1322" w:type="dxa"/>
            <w:tcBorders>
              <w:tl2br w:val="nil"/>
              <w:tr2bl w:val="nil"/>
            </w:tcBorders>
            <w:vAlign w:val="center"/>
          </w:tcPr>
          <w:p w14:paraId="6B6959F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2.2</w:t>
            </w:r>
          </w:p>
        </w:tc>
        <w:tc>
          <w:tcPr>
            <w:tcW w:w="1322" w:type="dxa"/>
            <w:tcBorders>
              <w:tl2br w:val="nil"/>
              <w:tr2bl w:val="nil"/>
            </w:tcBorders>
            <w:vAlign w:val="center"/>
          </w:tcPr>
          <w:p w14:paraId="0A5F192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2.4</w:t>
            </w:r>
          </w:p>
        </w:tc>
        <w:tc>
          <w:tcPr>
            <w:tcW w:w="1322" w:type="dxa"/>
            <w:tcBorders>
              <w:tl2br w:val="nil"/>
              <w:tr2bl w:val="nil"/>
            </w:tcBorders>
            <w:vAlign w:val="center"/>
          </w:tcPr>
          <w:p w14:paraId="6EEB813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2.2</w:t>
            </w:r>
          </w:p>
        </w:tc>
        <w:tc>
          <w:tcPr>
            <w:tcW w:w="1322" w:type="dxa"/>
            <w:tcBorders>
              <w:tl2br w:val="nil"/>
              <w:tr2bl w:val="nil"/>
            </w:tcBorders>
            <w:vAlign w:val="center"/>
          </w:tcPr>
          <w:p w14:paraId="2606ACE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2.7</w:t>
            </w:r>
          </w:p>
        </w:tc>
        <w:tc>
          <w:tcPr>
            <w:tcW w:w="1322" w:type="dxa"/>
            <w:tcBorders>
              <w:tl2br w:val="nil"/>
              <w:tr2bl w:val="nil"/>
            </w:tcBorders>
            <w:vAlign w:val="center"/>
          </w:tcPr>
          <w:p w14:paraId="503A498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2.6</w:t>
            </w:r>
          </w:p>
        </w:tc>
        <w:tc>
          <w:tcPr>
            <w:tcW w:w="1358" w:type="dxa"/>
            <w:tcBorders>
              <w:tl2br w:val="nil"/>
              <w:tr2bl w:val="nil"/>
            </w:tcBorders>
            <w:vAlign w:val="center"/>
          </w:tcPr>
          <w:p w14:paraId="316C79A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≤3.0</w:t>
            </w:r>
          </w:p>
        </w:tc>
      </w:tr>
      <w:tr w14:paraId="555AE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2D98DB7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挥发酚</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23E3A3F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22" w:type="dxa"/>
            <w:tcBorders>
              <w:tl2br w:val="nil"/>
              <w:tr2bl w:val="nil"/>
            </w:tcBorders>
            <w:vAlign w:val="center"/>
          </w:tcPr>
          <w:p w14:paraId="677F067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22" w:type="dxa"/>
            <w:tcBorders>
              <w:tl2br w:val="nil"/>
              <w:tr2bl w:val="nil"/>
            </w:tcBorders>
            <w:vAlign w:val="center"/>
          </w:tcPr>
          <w:p w14:paraId="1995A7A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22" w:type="dxa"/>
            <w:tcBorders>
              <w:tl2br w:val="nil"/>
              <w:tr2bl w:val="nil"/>
            </w:tcBorders>
            <w:vAlign w:val="center"/>
          </w:tcPr>
          <w:p w14:paraId="4A4FB88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22" w:type="dxa"/>
            <w:tcBorders>
              <w:tl2br w:val="nil"/>
              <w:tr2bl w:val="nil"/>
            </w:tcBorders>
            <w:vAlign w:val="center"/>
          </w:tcPr>
          <w:p w14:paraId="3F4C1B4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22" w:type="dxa"/>
            <w:tcBorders>
              <w:tl2br w:val="nil"/>
              <w:tr2bl w:val="nil"/>
            </w:tcBorders>
            <w:vAlign w:val="center"/>
          </w:tcPr>
          <w:p w14:paraId="09A6433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22" w:type="dxa"/>
            <w:tcBorders>
              <w:tl2br w:val="nil"/>
              <w:tr2bl w:val="nil"/>
            </w:tcBorders>
            <w:vAlign w:val="center"/>
          </w:tcPr>
          <w:p w14:paraId="20CEA38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0.0003L</w:t>
            </w:r>
          </w:p>
        </w:tc>
        <w:tc>
          <w:tcPr>
            <w:tcW w:w="1358" w:type="dxa"/>
            <w:tcBorders>
              <w:tl2br w:val="nil"/>
              <w:tr2bl w:val="nil"/>
            </w:tcBorders>
            <w:vAlign w:val="center"/>
          </w:tcPr>
          <w:p w14:paraId="477DC6F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≤0.002</w:t>
            </w:r>
          </w:p>
        </w:tc>
      </w:tr>
      <w:tr w14:paraId="35A70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6E903A5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氰化物</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2149FB9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22" w:type="dxa"/>
            <w:tcBorders>
              <w:tl2br w:val="nil"/>
              <w:tr2bl w:val="nil"/>
            </w:tcBorders>
            <w:vAlign w:val="center"/>
          </w:tcPr>
          <w:p w14:paraId="242D72A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22" w:type="dxa"/>
            <w:tcBorders>
              <w:tl2br w:val="nil"/>
              <w:tr2bl w:val="nil"/>
            </w:tcBorders>
            <w:vAlign w:val="center"/>
          </w:tcPr>
          <w:p w14:paraId="2F8420C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22" w:type="dxa"/>
            <w:tcBorders>
              <w:tl2br w:val="nil"/>
              <w:tr2bl w:val="nil"/>
            </w:tcBorders>
            <w:vAlign w:val="center"/>
          </w:tcPr>
          <w:p w14:paraId="6CD22EC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22" w:type="dxa"/>
            <w:tcBorders>
              <w:tl2br w:val="nil"/>
              <w:tr2bl w:val="nil"/>
            </w:tcBorders>
            <w:vAlign w:val="center"/>
          </w:tcPr>
          <w:p w14:paraId="7AC03E6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63D7ED5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22838CE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58" w:type="dxa"/>
            <w:tcBorders>
              <w:tl2br w:val="nil"/>
              <w:tr2bl w:val="nil"/>
            </w:tcBorders>
            <w:vAlign w:val="center"/>
          </w:tcPr>
          <w:p w14:paraId="6313183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≤0.05</w:t>
            </w:r>
          </w:p>
        </w:tc>
      </w:tr>
      <w:tr w14:paraId="7D907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4F0F0C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氟化物</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6557CF2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0.812</w:t>
            </w:r>
          </w:p>
        </w:tc>
        <w:tc>
          <w:tcPr>
            <w:tcW w:w="1322" w:type="dxa"/>
            <w:tcBorders>
              <w:tl2br w:val="nil"/>
              <w:tr2bl w:val="nil"/>
            </w:tcBorders>
            <w:vAlign w:val="center"/>
          </w:tcPr>
          <w:p w14:paraId="40FD95A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0.973</w:t>
            </w:r>
          </w:p>
        </w:tc>
        <w:tc>
          <w:tcPr>
            <w:tcW w:w="1322" w:type="dxa"/>
            <w:tcBorders>
              <w:tl2br w:val="nil"/>
              <w:tr2bl w:val="nil"/>
            </w:tcBorders>
            <w:vAlign w:val="center"/>
          </w:tcPr>
          <w:p w14:paraId="6A8EF95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0.986</w:t>
            </w:r>
          </w:p>
        </w:tc>
        <w:tc>
          <w:tcPr>
            <w:tcW w:w="1322" w:type="dxa"/>
            <w:tcBorders>
              <w:tl2br w:val="nil"/>
              <w:tr2bl w:val="nil"/>
            </w:tcBorders>
            <w:vAlign w:val="center"/>
          </w:tcPr>
          <w:p w14:paraId="3E94302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0.909</w:t>
            </w:r>
          </w:p>
        </w:tc>
        <w:tc>
          <w:tcPr>
            <w:tcW w:w="1322" w:type="dxa"/>
            <w:tcBorders>
              <w:tl2br w:val="nil"/>
              <w:tr2bl w:val="nil"/>
            </w:tcBorders>
            <w:vAlign w:val="center"/>
          </w:tcPr>
          <w:p w14:paraId="4695096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0.619</w:t>
            </w:r>
          </w:p>
        </w:tc>
        <w:tc>
          <w:tcPr>
            <w:tcW w:w="1322" w:type="dxa"/>
            <w:tcBorders>
              <w:tl2br w:val="nil"/>
              <w:tr2bl w:val="nil"/>
            </w:tcBorders>
            <w:vAlign w:val="center"/>
          </w:tcPr>
          <w:p w14:paraId="18F61945">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0.594</w:t>
            </w:r>
          </w:p>
        </w:tc>
        <w:tc>
          <w:tcPr>
            <w:tcW w:w="1322" w:type="dxa"/>
            <w:tcBorders>
              <w:tl2br w:val="nil"/>
              <w:tr2bl w:val="nil"/>
            </w:tcBorders>
            <w:vAlign w:val="center"/>
          </w:tcPr>
          <w:p w14:paraId="070AA79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0.497</w:t>
            </w:r>
          </w:p>
        </w:tc>
        <w:tc>
          <w:tcPr>
            <w:tcW w:w="1358" w:type="dxa"/>
            <w:tcBorders>
              <w:tl2br w:val="nil"/>
              <w:tr2bl w:val="nil"/>
            </w:tcBorders>
            <w:vAlign w:val="center"/>
          </w:tcPr>
          <w:p w14:paraId="2CDE8FE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≤1.0</w:t>
            </w:r>
          </w:p>
        </w:tc>
      </w:tr>
      <w:tr w14:paraId="3D1B2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458437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硝酸盐</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492E4E0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11.1</w:t>
            </w:r>
          </w:p>
        </w:tc>
        <w:tc>
          <w:tcPr>
            <w:tcW w:w="1322" w:type="dxa"/>
            <w:tcBorders>
              <w:tl2br w:val="nil"/>
              <w:tr2bl w:val="nil"/>
            </w:tcBorders>
            <w:vAlign w:val="center"/>
          </w:tcPr>
          <w:p w14:paraId="2A202C28">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7.01</w:t>
            </w:r>
          </w:p>
        </w:tc>
        <w:tc>
          <w:tcPr>
            <w:tcW w:w="1322" w:type="dxa"/>
            <w:tcBorders>
              <w:tl2br w:val="nil"/>
              <w:tr2bl w:val="nil"/>
            </w:tcBorders>
            <w:vAlign w:val="center"/>
          </w:tcPr>
          <w:p w14:paraId="739EEB94">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8.06</w:t>
            </w:r>
          </w:p>
        </w:tc>
        <w:tc>
          <w:tcPr>
            <w:tcW w:w="1322" w:type="dxa"/>
            <w:tcBorders>
              <w:tl2br w:val="nil"/>
              <w:tr2bl w:val="nil"/>
            </w:tcBorders>
            <w:vAlign w:val="center"/>
          </w:tcPr>
          <w:p w14:paraId="05E3C44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14.3</w:t>
            </w:r>
          </w:p>
        </w:tc>
        <w:tc>
          <w:tcPr>
            <w:tcW w:w="1322" w:type="dxa"/>
            <w:tcBorders>
              <w:tl2br w:val="nil"/>
              <w:tr2bl w:val="nil"/>
            </w:tcBorders>
            <w:vAlign w:val="center"/>
          </w:tcPr>
          <w:p w14:paraId="49ED244E">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7.57</w:t>
            </w:r>
          </w:p>
        </w:tc>
        <w:tc>
          <w:tcPr>
            <w:tcW w:w="1322" w:type="dxa"/>
            <w:tcBorders>
              <w:tl2br w:val="nil"/>
              <w:tr2bl w:val="nil"/>
            </w:tcBorders>
            <w:vAlign w:val="center"/>
          </w:tcPr>
          <w:p w14:paraId="474ECBF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10.7</w:t>
            </w:r>
          </w:p>
        </w:tc>
        <w:tc>
          <w:tcPr>
            <w:tcW w:w="1322" w:type="dxa"/>
            <w:tcBorders>
              <w:tl2br w:val="nil"/>
              <w:tr2bl w:val="nil"/>
            </w:tcBorders>
            <w:vAlign w:val="center"/>
          </w:tcPr>
          <w:p w14:paraId="741D7F9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5.16</w:t>
            </w:r>
          </w:p>
        </w:tc>
        <w:tc>
          <w:tcPr>
            <w:tcW w:w="1358" w:type="dxa"/>
            <w:tcBorders>
              <w:tl2br w:val="nil"/>
              <w:tr2bl w:val="nil"/>
            </w:tcBorders>
            <w:vAlign w:val="center"/>
          </w:tcPr>
          <w:p w14:paraId="575E0E8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≤20</w:t>
            </w:r>
          </w:p>
        </w:tc>
      </w:tr>
      <w:tr w14:paraId="1BDB0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6EC3953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亚硝酸盐</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401C0B84">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0.328</w:t>
            </w:r>
          </w:p>
        </w:tc>
        <w:tc>
          <w:tcPr>
            <w:tcW w:w="1322" w:type="dxa"/>
            <w:tcBorders>
              <w:tl2br w:val="nil"/>
              <w:tr2bl w:val="nil"/>
            </w:tcBorders>
            <w:vAlign w:val="center"/>
          </w:tcPr>
          <w:p w14:paraId="42D7E3C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0.252</w:t>
            </w:r>
          </w:p>
        </w:tc>
        <w:tc>
          <w:tcPr>
            <w:tcW w:w="1322" w:type="dxa"/>
            <w:tcBorders>
              <w:tl2br w:val="nil"/>
              <w:tr2bl w:val="nil"/>
            </w:tcBorders>
            <w:vAlign w:val="center"/>
          </w:tcPr>
          <w:p w14:paraId="3C3FC62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0.180</w:t>
            </w:r>
          </w:p>
        </w:tc>
        <w:tc>
          <w:tcPr>
            <w:tcW w:w="1322" w:type="dxa"/>
            <w:tcBorders>
              <w:tl2br w:val="nil"/>
              <w:tr2bl w:val="nil"/>
            </w:tcBorders>
            <w:vAlign w:val="center"/>
          </w:tcPr>
          <w:p w14:paraId="1804ABB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0.125</w:t>
            </w:r>
          </w:p>
        </w:tc>
        <w:tc>
          <w:tcPr>
            <w:tcW w:w="1322" w:type="dxa"/>
            <w:tcBorders>
              <w:tl2br w:val="nil"/>
              <w:tr2bl w:val="nil"/>
            </w:tcBorders>
            <w:vAlign w:val="center"/>
          </w:tcPr>
          <w:p w14:paraId="397D853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0.016L</w:t>
            </w:r>
          </w:p>
        </w:tc>
        <w:tc>
          <w:tcPr>
            <w:tcW w:w="1322" w:type="dxa"/>
            <w:tcBorders>
              <w:tl2br w:val="nil"/>
              <w:tr2bl w:val="nil"/>
            </w:tcBorders>
            <w:vAlign w:val="center"/>
          </w:tcPr>
          <w:p w14:paraId="76F6C949">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0.016L</w:t>
            </w:r>
          </w:p>
        </w:tc>
        <w:tc>
          <w:tcPr>
            <w:tcW w:w="1322" w:type="dxa"/>
            <w:tcBorders>
              <w:tl2br w:val="nil"/>
              <w:tr2bl w:val="nil"/>
            </w:tcBorders>
            <w:vAlign w:val="center"/>
          </w:tcPr>
          <w:p w14:paraId="6DDA7BE8">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0.190</w:t>
            </w:r>
          </w:p>
        </w:tc>
        <w:tc>
          <w:tcPr>
            <w:tcW w:w="1358" w:type="dxa"/>
            <w:tcBorders>
              <w:tl2br w:val="nil"/>
              <w:tr2bl w:val="nil"/>
            </w:tcBorders>
            <w:vAlign w:val="center"/>
          </w:tcPr>
          <w:p w14:paraId="41D4CD7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≤1.0</w:t>
            </w:r>
          </w:p>
        </w:tc>
      </w:tr>
      <w:tr w14:paraId="4B333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09E3390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氨氮</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24D1A5F6">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0.418</w:t>
            </w:r>
          </w:p>
        </w:tc>
        <w:tc>
          <w:tcPr>
            <w:tcW w:w="1322" w:type="dxa"/>
            <w:tcBorders>
              <w:tl2br w:val="nil"/>
              <w:tr2bl w:val="nil"/>
            </w:tcBorders>
            <w:vAlign w:val="center"/>
          </w:tcPr>
          <w:p w14:paraId="1CB65875">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0.440</w:t>
            </w:r>
          </w:p>
        </w:tc>
        <w:tc>
          <w:tcPr>
            <w:tcW w:w="1322" w:type="dxa"/>
            <w:tcBorders>
              <w:tl2br w:val="nil"/>
              <w:tr2bl w:val="nil"/>
            </w:tcBorders>
            <w:vAlign w:val="center"/>
          </w:tcPr>
          <w:p w14:paraId="1779DC9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0.444</w:t>
            </w:r>
          </w:p>
        </w:tc>
        <w:tc>
          <w:tcPr>
            <w:tcW w:w="1322" w:type="dxa"/>
            <w:tcBorders>
              <w:tl2br w:val="nil"/>
              <w:tr2bl w:val="nil"/>
            </w:tcBorders>
            <w:vAlign w:val="center"/>
          </w:tcPr>
          <w:p w14:paraId="09FD2D0C">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0.452</w:t>
            </w:r>
          </w:p>
        </w:tc>
        <w:tc>
          <w:tcPr>
            <w:tcW w:w="1322" w:type="dxa"/>
            <w:tcBorders>
              <w:tl2br w:val="nil"/>
              <w:tr2bl w:val="nil"/>
            </w:tcBorders>
            <w:vAlign w:val="center"/>
          </w:tcPr>
          <w:p w14:paraId="24E248E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0.461</w:t>
            </w:r>
          </w:p>
        </w:tc>
        <w:tc>
          <w:tcPr>
            <w:tcW w:w="1322" w:type="dxa"/>
            <w:tcBorders>
              <w:tl2br w:val="nil"/>
              <w:tr2bl w:val="nil"/>
            </w:tcBorders>
            <w:vAlign w:val="center"/>
          </w:tcPr>
          <w:p w14:paraId="54FD9B6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0.427</w:t>
            </w:r>
          </w:p>
        </w:tc>
        <w:tc>
          <w:tcPr>
            <w:tcW w:w="1322" w:type="dxa"/>
            <w:tcBorders>
              <w:tl2br w:val="nil"/>
              <w:tr2bl w:val="nil"/>
            </w:tcBorders>
            <w:vAlign w:val="center"/>
          </w:tcPr>
          <w:p w14:paraId="5F387AF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0.458</w:t>
            </w:r>
          </w:p>
        </w:tc>
        <w:tc>
          <w:tcPr>
            <w:tcW w:w="1358" w:type="dxa"/>
            <w:tcBorders>
              <w:tl2br w:val="nil"/>
              <w:tr2bl w:val="nil"/>
            </w:tcBorders>
            <w:vAlign w:val="center"/>
          </w:tcPr>
          <w:p w14:paraId="189F294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≤0.5</w:t>
            </w:r>
          </w:p>
        </w:tc>
      </w:tr>
      <w:tr w14:paraId="6A310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1E65D47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六价铬</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52985AD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2A7C084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1BF35D5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6D07C91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38B1817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4F5D12C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22" w:type="dxa"/>
            <w:tcBorders>
              <w:tl2br w:val="nil"/>
              <w:tr2bl w:val="nil"/>
            </w:tcBorders>
            <w:vAlign w:val="center"/>
          </w:tcPr>
          <w:p w14:paraId="504E5D4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0.004L</w:t>
            </w:r>
          </w:p>
        </w:tc>
        <w:tc>
          <w:tcPr>
            <w:tcW w:w="1358" w:type="dxa"/>
            <w:tcBorders>
              <w:tl2br w:val="nil"/>
              <w:tr2bl w:val="nil"/>
            </w:tcBorders>
            <w:vAlign w:val="center"/>
          </w:tcPr>
          <w:p w14:paraId="3847E40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≤0.05</w:t>
            </w:r>
          </w:p>
        </w:tc>
      </w:tr>
      <w:tr w14:paraId="60AA4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5AF9E58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砷</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（μg</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18" w:type="dxa"/>
            <w:tcBorders>
              <w:tl2br w:val="nil"/>
              <w:tr2bl w:val="nil"/>
            </w:tcBorders>
            <w:vAlign w:val="center"/>
          </w:tcPr>
          <w:p w14:paraId="384A9FBE">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22" w:type="dxa"/>
            <w:tcBorders>
              <w:tl2br w:val="nil"/>
              <w:tr2bl w:val="nil"/>
            </w:tcBorders>
            <w:vAlign w:val="center"/>
          </w:tcPr>
          <w:p w14:paraId="1D01A143">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22" w:type="dxa"/>
            <w:tcBorders>
              <w:tl2br w:val="nil"/>
              <w:tr2bl w:val="nil"/>
            </w:tcBorders>
            <w:vAlign w:val="center"/>
          </w:tcPr>
          <w:p w14:paraId="53F1FEF9">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22" w:type="dxa"/>
            <w:tcBorders>
              <w:tl2br w:val="nil"/>
              <w:tr2bl w:val="nil"/>
            </w:tcBorders>
            <w:vAlign w:val="center"/>
          </w:tcPr>
          <w:p w14:paraId="00DDA129">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22" w:type="dxa"/>
            <w:tcBorders>
              <w:tl2br w:val="nil"/>
              <w:tr2bl w:val="nil"/>
            </w:tcBorders>
            <w:vAlign w:val="center"/>
          </w:tcPr>
          <w:p w14:paraId="4623EA3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22" w:type="dxa"/>
            <w:tcBorders>
              <w:tl2br w:val="nil"/>
              <w:tr2bl w:val="nil"/>
            </w:tcBorders>
            <w:vAlign w:val="center"/>
          </w:tcPr>
          <w:p w14:paraId="3C08224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22" w:type="dxa"/>
            <w:tcBorders>
              <w:tl2br w:val="nil"/>
              <w:tr2bl w:val="nil"/>
            </w:tcBorders>
            <w:vAlign w:val="center"/>
          </w:tcPr>
          <w:p w14:paraId="4A14D4A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0.3L</w:t>
            </w:r>
          </w:p>
        </w:tc>
        <w:tc>
          <w:tcPr>
            <w:tcW w:w="1358" w:type="dxa"/>
            <w:tcBorders>
              <w:tl2br w:val="nil"/>
              <w:tr2bl w:val="nil"/>
            </w:tcBorders>
            <w:vAlign w:val="center"/>
          </w:tcPr>
          <w:p w14:paraId="5E60E7B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w:t>
            </w:r>
          </w:p>
        </w:tc>
      </w:tr>
      <w:tr w14:paraId="25C33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054A588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铅</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（μg</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18" w:type="dxa"/>
            <w:tcBorders>
              <w:tl2br w:val="nil"/>
              <w:tr2bl w:val="nil"/>
            </w:tcBorders>
            <w:vAlign w:val="center"/>
          </w:tcPr>
          <w:p w14:paraId="4989152D">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22" w:type="dxa"/>
            <w:tcBorders>
              <w:tl2br w:val="nil"/>
              <w:tr2bl w:val="nil"/>
            </w:tcBorders>
            <w:vAlign w:val="center"/>
          </w:tcPr>
          <w:p w14:paraId="51AB1EED">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22" w:type="dxa"/>
            <w:tcBorders>
              <w:tl2br w:val="nil"/>
              <w:tr2bl w:val="nil"/>
            </w:tcBorders>
            <w:vAlign w:val="center"/>
          </w:tcPr>
          <w:p w14:paraId="238323A4">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22" w:type="dxa"/>
            <w:tcBorders>
              <w:tl2br w:val="nil"/>
              <w:tr2bl w:val="nil"/>
            </w:tcBorders>
            <w:vAlign w:val="center"/>
          </w:tcPr>
          <w:p w14:paraId="6EDEE3C2">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22" w:type="dxa"/>
            <w:tcBorders>
              <w:tl2br w:val="nil"/>
              <w:tr2bl w:val="nil"/>
            </w:tcBorders>
            <w:vAlign w:val="center"/>
          </w:tcPr>
          <w:p w14:paraId="27993EB6">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22" w:type="dxa"/>
            <w:tcBorders>
              <w:tl2br w:val="nil"/>
              <w:tr2bl w:val="nil"/>
            </w:tcBorders>
            <w:vAlign w:val="center"/>
          </w:tcPr>
          <w:p w14:paraId="142A22A8">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22" w:type="dxa"/>
            <w:tcBorders>
              <w:tl2br w:val="nil"/>
              <w:tr2bl w:val="nil"/>
            </w:tcBorders>
            <w:vAlign w:val="center"/>
          </w:tcPr>
          <w:p w14:paraId="31BDCE38">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10L</w:t>
            </w:r>
          </w:p>
        </w:tc>
        <w:tc>
          <w:tcPr>
            <w:tcW w:w="1358" w:type="dxa"/>
            <w:tcBorders>
              <w:tl2br w:val="nil"/>
              <w:tr2bl w:val="nil"/>
            </w:tcBorders>
            <w:vAlign w:val="center"/>
          </w:tcPr>
          <w:p w14:paraId="33C5CF8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w:t>
            </w:r>
          </w:p>
        </w:tc>
      </w:tr>
      <w:tr w14:paraId="081F5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2F28653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铁</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4B26549C">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22" w:type="dxa"/>
            <w:tcBorders>
              <w:tl2br w:val="nil"/>
              <w:tr2bl w:val="nil"/>
            </w:tcBorders>
            <w:vAlign w:val="center"/>
          </w:tcPr>
          <w:p w14:paraId="36F63EA1">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22" w:type="dxa"/>
            <w:tcBorders>
              <w:tl2br w:val="nil"/>
              <w:tr2bl w:val="nil"/>
            </w:tcBorders>
            <w:vAlign w:val="center"/>
          </w:tcPr>
          <w:p w14:paraId="2C4A279A">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22" w:type="dxa"/>
            <w:tcBorders>
              <w:tl2br w:val="nil"/>
              <w:tr2bl w:val="nil"/>
            </w:tcBorders>
            <w:vAlign w:val="center"/>
          </w:tcPr>
          <w:p w14:paraId="61E753E5">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22" w:type="dxa"/>
            <w:tcBorders>
              <w:tl2br w:val="nil"/>
              <w:tr2bl w:val="nil"/>
            </w:tcBorders>
            <w:vAlign w:val="center"/>
          </w:tcPr>
          <w:p w14:paraId="3389BD5F">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22" w:type="dxa"/>
            <w:tcBorders>
              <w:tl2br w:val="nil"/>
              <w:tr2bl w:val="nil"/>
            </w:tcBorders>
            <w:vAlign w:val="center"/>
          </w:tcPr>
          <w:p w14:paraId="6DB00E8A">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22" w:type="dxa"/>
            <w:tcBorders>
              <w:tl2br w:val="nil"/>
              <w:tr2bl w:val="nil"/>
            </w:tcBorders>
            <w:vAlign w:val="center"/>
          </w:tcPr>
          <w:p w14:paraId="53E9DA9F">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0.03L</w:t>
            </w:r>
          </w:p>
        </w:tc>
        <w:tc>
          <w:tcPr>
            <w:tcW w:w="1358" w:type="dxa"/>
            <w:tcBorders>
              <w:tl2br w:val="nil"/>
              <w:tr2bl w:val="nil"/>
            </w:tcBorders>
            <w:vAlign w:val="center"/>
          </w:tcPr>
          <w:p w14:paraId="2BCD371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≤0.3</w:t>
            </w:r>
          </w:p>
        </w:tc>
      </w:tr>
      <w:tr w14:paraId="34196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549FE6B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汞</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（μg</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18" w:type="dxa"/>
            <w:tcBorders>
              <w:tl2br w:val="nil"/>
              <w:tr2bl w:val="nil"/>
            </w:tcBorders>
            <w:vAlign w:val="center"/>
          </w:tcPr>
          <w:p w14:paraId="5C1705D7">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22" w:type="dxa"/>
            <w:tcBorders>
              <w:tl2br w:val="nil"/>
              <w:tr2bl w:val="nil"/>
            </w:tcBorders>
            <w:vAlign w:val="center"/>
          </w:tcPr>
          <w:p w14:paraId="1FE22854">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22" w:type="dxa"/>
            <w:tcBorders>
              <w:tl2br w:val="nil"/>
              <w:tr2bl w:val="nil"/>
            </w:tcBorders>
            <w:vAlign w:val="center"/>
          </w:tcPr>
          <w:p w14:paraId="073360A3">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22" w:type="dxa"/>
            <w:tcBorders>
              <w:tl2br w:val="nil"/>
              <w:tr2bl w:val="nil"/>
            </w:tcBorders>
            <w:vAlign w:val="center"/>
          </w:tcPr>
          <w:p w14:paraId="42695A48">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22" w:type="dxa"/>
            <w:tcBorders>
              <w:tl2br w:val="nil"/>
              <w:tr2bl w:val="nil"/>
            </w:tcBorders>
            <w:vAlign w:val="center"/>
          </w:tcPr>
          <w:p w14:paraId="0BE4BAD9">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22" w:type="dxa"/>
            <w:tcBorders>
              <w:tl2br w:val="nil"/>
              <w:tr2bl w:val="nil"/>
            </w:tcBorders>
            <w:vAlign w:val="center"/>
          </w:tcPr>
          <w:p w14:paraId="75889C1F">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22" w:type="dxa"/>
            <w:tcBorders>
              <w:tl2br w:val="nil"/>
              <w:tr2bl w:val="nil"/>
            </w:tcBorders>
            <w:vAlign w:val="center"/>
          </w:tcPr>
          <w:p w14:paraId="416CD5B0">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0.04L</w:t>
            </w:r>
          </w:p>
        </w:tc>
        <w:tc>
          <w:tcPr>
            <w:tcW w:w="1358" w:type="dxa"/>
            <w:tcBorders>
              <w:tl2br w:val="nil"/>
              <w:tr2bl w:val="nil"/>
            </w:tcBorders>
            <w:vAlign w:val="center"/>
          </w:tcPr>
          <w:p w14:paraId="1BECBA2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≤0.001</w:t>
            </w:r>
          </w:p>
        </w:tc>
      </w:tr>
      <w:tr w14:paraId="2C62C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4E4BA28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锰</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38063175">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22" w:type="dxa"/>
            <w:tcBorders>
              <w:tl2br w:val="nil"/>
              <w:tr2bl w:val="nil"/>
            </w:tcBorders>
            <w:vAlign w:val="center"/>
          </w:tcPr>
          <w:p w14:paraId="70B218EA">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22" w:type="dxa"/>
            <w:tcBorders>
              <w:tl2br w:val="nil"/>
              <w:tr2bl w:val="nil"/>
            </w:tcBorders>
            <w:vAlign w:val="center"/>
          </w:tcPr>
          <w:p w14:paraId="7B1F8B6C">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22" w:type="dxa"/>
            <w:tcBorders>
              <w:tl2br w:val="nil"/>
              <w:tr2bl w:val="nil"/>
            </w:tcBorders>
            <w:vAlign w:val="center"/>
          </w:tcPr>
          <w:p w14:paraId="0C996A13">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22" w:type="dxa"/>
            <w:tcBorders>
              <w:tl2br w:val="nil"/>
              <w:tr2bl w:val="nil"/>
            </w:tcBorders>
            <w:vAlign w:val="center"/>
          </w:tcPr>
          <w:p w14:paraId="02F44DA3">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22" w:type="dxa"/>
            <w:tcBorders>
              <w:tl2br w:val="nil"/>
              <w:tr2bl w:val="nil"/>
            </w:tcBorders>
            <w:vAlign w:val="center"/>
          </w:tcPr>
          <w:p w14:paraId="3DF816EE">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22" w:type="dxa"/>
            <w:tcBorders>
              <w:tl2br w:val="nil"/>
              <w:tr2bl w:val="nil"/>
            </w:tcBorders>
            <w:vAlign w:val="center"/>
          </w:tcPr>
          <w:p w14:paraId="188532D2">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0.01L</w:t>
            </w:r>
          </w:p>
        </w:tc>
        <w:tc>
          <w:tcPr>
            <w:tcW w:w="1358" w:type="dxa"/>
            <w:tcBorders>
              <w:tl2br w:val="nil"/>
              <w:tr2bl w:val="nil"/>
            </w:tcBorders>
            <w:vAlign w:val="center"/>
          </w:tcPr>
          <w:p w14:paraId="19BB892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≤0.1</w:t>
            </w:r>
          </w:p>
        </w:tc>
      </w:tr>
      <w:tr w14:paraId="67236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3402D41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镉</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（μg</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p>
        </w:tc>
        <w:tc>
          <w:tcPr>
            <w:tcW w:w="1318" w:type="dxa"/>
            <w:tcBorders>
              <w:tl2br w:val="nil"/>
              <w:tr2bl w:val="nil"/>
            </w:tcBorders>
            <w:vAlign w:val="center"/>
          </w:tcPr>
          <w:p w14:paraId="423DC2EA">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22" w:type="dxa"/>
            <w:tcBorders>
              <w:tl2br w:val="nil"/>
              <w:tr2bl w:val="nil"/>
            </w:tcBorders>
            <w:vAlign w:val="center"/>
          </w:tcPr>
          <w:p w14:paraId="5A5B77E7">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22" w:type="dxa"/>
            <w:tcBorders>
              <w:tl2br w:val="nil"/>
              <w:tr2bl w:val="nil"/>
            </w:tcBorders>
            <w:vAlign w:val="center"/>
          </w:tcPr>
          <w:p w14:paraId="060DA06D">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22" w:type="dxa"/>
            <w:tcBorders>
              <w:tl2br w:val="nil"/>
              <w:tr2bl w:val="nil"/>
            </w:tcBorders>
            <w:vAlign w:val="center"/>
          </w:tcPr>
          <w:p w14:paraId="03702EC3">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22" w:type="dxa"/>
            <w:tcBorders>
              <w:tl2br w:val="nil"/>
              <w:tr2bl w:val="nil"/>
            </w:tcBorders>
            <w:vAlign w:val="center"/>
          </w:tcPr>
          <w:p w14:paraId="06405667">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22" w:type="dxa"/>
            <w:tcBorders>
              <w:tl2br w:val="nil"/>
              <w:tr2bl w:val="nil"/>
            </w:tcBorders>
            <w:vAlign w:val="center"/>
          </w:tcPr>
          <w:p w14:paraId="078F344F">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22" w:type="dxa"/>
            <w:tcBorders>
              <w:tl2br w:val="nil"/>
              <w:tr2bl w:val="nil"/>
            </w:tcBorders>
            <w:vAlign w:val="center"/>
          </w:tcPr>
          <w:p w14:paraId="513479B8">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1L</w:t>
            </w:r>
          </w:p>
        </w:tc>
        <w:tc>
          <w:tcPr>
            <w:tcW w:w="1358" w:type="dxa"/>
            <w:tcBorders>
              <w:tl2br w:val="nil"/>
              <w:tr2bl w:val="nil"/>
            </w:tcBorders>
            <w:vAlign w:val="center"/>
          </w:tcPr>
          <w:p w14:paraId="7779BB5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≤0.005</w:t>
            </w:r>
          </w:p>
        </w:tc>
      </w:tr>
      <w:tr w14:paraId="62353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vAlign w:val="center"/>
          </w:tcPr>
          <w:p w14:paraId="7017A94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石油类</w:t>
            </w:r>
            <w:r>
              <w:rPr>
                <w:rFonts w:hint="default" w:ascii="Times New Roman" w:hAnsi="Times New Roman" w:eastAsia="宋体" w:cs="Times New Roman"/>
                <w:color w:val="000000" w:themeColor="text1"/>
                <w:kern w:val="2"/>
                <w:sz w:val="21"/>
                <w:szCs w:val="21"/>
                <w:highlight w:val="none"/>
                <w:vertAlign w:val="baseline"/>
                <w:lang w:val="zh-CN"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p>
        </w:tc>
        <w:tc>
          <w:tcPr>
            <w:tcW w:w="1318" w:type="dxa"/>
            <w:tcBorders>
              <w:tl2br w:val="nil"/>
              <w:tr2bl w:val="nil"/>
            </w:tcBorders>
            <w:vAlign w:val="center"/>
          </w:tcPr>
          <w:p w14:paraId="14444B7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22" w:type="dxa"/>
            <w:tcBorders>
              <w:tl2br w:val="nil"/>
              <w:tr2bl w:val="nil"/>
            </w:tcBorders>
            <w:vAlign w:val="center"/>
          </w:tcPr>
          <w:p w14:paraId="3CFB460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22" w:type="dxa"/>
            <w:tcBorders>
              <w:tl2br w:val="nil"/>
              <w:tr2bl w:val="nil"/>
            </w:tcBorders>
            <w:vAlign w:val="center"/>
          </w:tcPr>
          <w:p w14:paraId="49DA816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22" w:type="dxa"/>
            <w:tcBorders>
              <w:tl2br w:val="nil"/>
              <w:tr2bl w:val="nil"/>
            </w:tcBorders>
            <w:vAlign w:val="center"/>
          </w:tcPr>
          <w:p w14:paraId="1F6BAA3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22" w:type="dxa"/>
            <w:tcBorders>
              <w:tl2br w:val="nil"/>
              <w:tr2bl w:val="nil"/>
            </w:tcBorders>
            <w:vAlign w:val="center"/>
          </w:tcPr>
          <w:p w14:paraId="7B618E1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22" w:type="dxa"/>
            <w:tcBorders>
              <w:tl2br w:val="nil"/>
              <w:tr2bl w:val="nil"/>
            </w:tcBorders>
            <w:vAlign w:val="center"/>
          </w:tcPr>
          <w:p w14:paraId="70EE4FE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22" w:type="dxa"/>
            <w:tcBorders>
              <w:tl2br w:val="nil"/>
              <w:tr2bl w:val="nil"/>
            </w:tcBorders>
            <w:vAlign w:val="center"/>
          </w:tcPr>
          <w:p w14:paraId="68430E0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0.01L</w:t>
            </w:r>
          </w:p>
        </w:tc>
        <w:tc>
          <w:tcPr>
            <w:tcW w:w="1358" w:type="dxa"/>
            <w:tcBorders>
              <w:tl2br w:val="nil"/>
              <w:tr2bl w:val="nil"/>
            </w:tcBorders>
            <w:vAlign w:val="center"/>
          </w:tcPr>
          <w:p w14:paraId="57E98CD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≤0.05</w:t>
            </w:r>
          </w:p>
        </w:tc>
      </w:tr>
      <w:tr w14:paraId="46003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shd w:val="clear" w:color="auto" w:fill="auto"/>
            <w:vAlign w:val="center"/>
          </w:tcPr>
          <w:p w14:paraId="4388F51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总大肠菌群（MPN/100mL）</w:t>
            </w:r>
          </w:p>
        </w:tc>
        <w:tc>
          <w:tcPr>
            <w:tcW w:w="1318" w:type="dxa"/>
            <w:tcBorders>
              <w:tl2br w:val="nil"/>
              <w:tr2bl w:val="nil"/>
            </w:tcBorders>
            <w:shd w:val="clear" w:color="auto" w:fill="auto"/>
            <w:vAlign w:val="center"/>
          </w:tcPr>
          <w:p w14:paraId="7EF3DBDA">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22" w:type="dxa"/>
            <w:tcBorders>
              <w:tl2br w:val="nil"/>
              <w:tr2bl w:val="nil"/>
            </w:tcBorders>
            <w:shd w:val="clear" w:color="auto" w:fill="auto"/>
            <w:vAlign w:val="center"/>
          </w:tcPr>
          <w:p w14:paraId="7AE316CD">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22" w:type="dxa"/>
            <w:tcBorders>
              <w:tl2br w:val="nil"/>
              <w:tr2bl w:val="nil"/>
            </w:tcBorders>
            <w:shd w:val="clear" w:color="auto" w:fill="auto"/>
            <w:vAlign w:val="center"/>
          </w:tcPr>
          <w:p w14:paraId="71ABB7D2">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22" w:type="dxa"/>
            <w:tcBorders>
              <w:tl2br w:val="nil"/>
              <w:tr2bl w:val="nil"/>
            </w:tcBorders>
            <w:shd w:val="clear" w:color="auto" w:fill="auto"/>
            <w:vAlign w:val="center"/>
          </w:tcPr>
          <w:p w14:paraId="318170A0">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22" w:type="dxa"/>
            <w:tcBorders>
              <w:tl2br w:val="nil"/>
              <w:tr2bl w:val="nil"/>
            </w:tcBorders>
            <w:shd w:val="clear" w:color="auto" w:fill="auto"/>
            <w:vAlign w:val="center"/>
          </w:tcPr>
          <w:p w14:paraId="08174A5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22" w:type="dxa"/>
            <w:tcBorders>
              <w:tl2br w:val="nil"/>
              <w:tr2bl w:val="nil"/>
            </w:tcBorders>
            <w:shd w:val="clear" w:color="auto" w:fill="auto"/>
            <w:vAlign w:val="center"/>
          </w:tcPr>
          <w:p w14:paraId="785C912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22" w:type="dxa"/>
            <w:tcBorders>
              <w:tl2br w:val="nil"/>
              <w:tr2bl w:val="nil"/>
            </w:tcBorders>
            <w:shd w:val="clear" w:color="auto" w:fill="auto"/>
            <w:vAlign w:val="center"/>
          </w:tcPr>
          <w:p w14:paraId="51792E6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&lt;3</w:t>
            </w:r>
          </w:p>
        </w:tc>
        <w:tc>
          <w:tcPr>
            <w:tcW w:w="1358" w:type="dxa"/>
            <w:tcBorders>
              <w:tl2br w:val="nil"/>
              <w:tr2bl w:val="nil"/>
            </w:tcBorders>
            <w:shd w:val="clear" w:color="auto" w:fill="auto"/>
            <w:vAlign w:val="center"/>
          </w:tcPr>
          <w:p w14:paraId="7321E75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≤3.0</w:t>
            </w:r>
          </w:p>
        </w:tc>
      </w:tr>
      <w:tr w14:paraId="038F6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shd w:val="clear" w:color="auto" w:fill="auto"/>
            <w:vAlign w:val="center"/>
          </w:tcPr>
          <w:p w14:paraId="7D4F0A7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菌落总数（CFU/mL）</w:t>
            </w:r>
          </w:p>
        </w:tc>
        <w:tc>
          <w:tcPr>
            <w:tcW w:w="1318" w:type="dxa"/>
            <w:tcBorders>
              <w:tl2br w:val="nil"/>
              <w:tr2bl w:val="nil"/>
            </w:tcBorders>
            <w:shd w:val="clear" w:color="auto" w:fill="auto"/>
            <w:vAlign w:val="center"/>
          </w:tcPr>
          <w:p w14:paraId="01E2245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30</w:t>
            </w:r>
          </w:p>
        </w:tc>
        <w:tc>
          <w:tcPr>
            <w:tcW w:w="1322" w:type="dxa"/>
            <w:tcBorders>
              <w:tl2br w:val="nil"/>
              <w:tr2bl w:val="nil"/>
            </w:tcBorders>
            <w:shd w:val="clear" w:color="auto" w:fill="auto"/>
            <w:vAlign w:val="center"/>
          </w:tcPr>
          <w:p w14:paraId="5D7019E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40</w:t>
            </w:r>
          </w:p>
        </w:tc>
        <w:tc>
          <w:tcPr>
            <w:tcW w:w="1322" w:type="dxa"/>
            <w:tcBorders>
              <w:tl2br w:val="nil"/>
              <w:tr2bl w:val="nil"/>
            </w:tcBorders>
            <w:shd w:val="clear" w:color="auto" w:fill="auto"/>
            <w:vAlign w:val="center"/>
          </w:tcPr>
          <w:p w14:paraId="1E645C8D">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40</w:t>
            </w:r>
          </w:p>
        </w:tc>
        <w:tc>
          <w:tcPr>
            <w:tcW w:w="1322" w:type="dxa"/>
            <w:tcBorders>
              <w:tl2br w:val="nil"/>
              <w:tr2bl w:val="nil"/>
            </w:tcBorders>
            <w:shd w:val="clear" w:color="auto" w:fill="auto"/>
            <w:vAlign w:val="center"/>
          </w:tcPr>
          <w:p w14:paraId="5CE28B3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30</w:t>
            </w:r>
          </w:p>
        </w:tc>
        <w:tc>
          <w:tcPr>
            <w:tcW w:w="1322" w:type="dxa"/>
            <w:tcBorders>
              <w:tl2br w:val="nil"/>
              <w:tr2bl w:val="nil"/>
            </w:tcBorders>
            <w:shd w:val="clear" w:color="auto" w:fill="auto"/>
            <w:vAlign w:val="center"/>
          </w:tcPr>
          <w:p w14:paraId="2B8C12D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40</w:t>
            </w:r>
          </w:p>
        </w:tc>
        <w:tc>
          <w:tcPr>
            <w:tcW w:w="1322" w:type="dxa"/>
            <w:tcBorders>
              <w:tl2br w:val="nil"/>
              <w:tr2bl w:val="nil"/>
            </w:tcBorders>
            <w:shd w:val="clear" w:color="auto" w:fill="auto"/>
            <w:vAlign w:val="center"/>
          </w:tcPr>
          <w:p w14:paraId="6B6FEDFA">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40</w:t>
            </w:r>
          </w:p>
        </w:tc>
        <w:tc>
          <w:tcPr>
            <w:tcW w:w="1322" w:type="dxa"/>
            <w:tcBorders>
              <w:tl2br w:val="nil"/>
              <w:tr2bl w:val="nil"/>
            </w:tcBorders>
            <w:shd w:val="clear" w:color="auto" w:fill="auto"/>
            <w:vAlign w:val="center"/>
          </w:tcPr>
          <w:p w14:paraId="4E017EFE">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30</w:t>
            </w:r>
          </w:p>
        </w:tc>
        <w:tc>
          <w:tcPr>
            <w:tcW w:w="1358" w:type="dxa"/>
            <w:tcBorders>
              <w:tl2br w:val="nil"/>
              <w:tr2bl w:val="nil"/>
            </w:tcBorders>
            <w:shd w:val="clear" w:color="auto" w:fill="auto"/>
            <w:vAlign w:val="center"/>
          </w:tcPr>
          <w:p w14:paraId="7267086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≤100</w:t>
            </w:r>
          </w:p>
        </w:tc>
      </w:tr>
      <w:tr w14:paraId="63880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shd w:val="clear" w:color="auto" w:fill="auto"/>
            <w:vAlign w:val="center"/>
          </w:tcPr>
          <w:p w14:paraId="4105CC8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硫化物（</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mg/L</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318" w:type="dxa"/>
            <w:tcBorders>
              <w:tl2br w:val="nil"/>
              <w:tr2bl w:val="nil"/>
            </w:tcBorders>
            <w:shd w:val="clear" w:color="auto" w:fill="auto"/>
            <w:vAlign w:val="center"/>
          </w:tcPr>
          <w:p w14:paraId="7CB1B565">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22" w:type="dxa"/>
            <w:tcBorders>
              <w:tl2br w:val="nil"/>
              <w:tr2bl w:val="nil"/>
            </w:tcBorders>
            <w:shd w:val="clear" w:color="auto" w:fill="auto"/>
            <w:vAlign w:val="center"/>
          </w:tcPr>
          <w:p w14:paraId="1721F32E">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22" w:type="dxa"/>
            <w:tcBorders>
              <w:tl2br w:val="nil"/>
              <w:tr2bl w:val="nil"/>
            </w:tcBorders>
            <w:shd w:val="clear" w:color="auto" w:fill="auto"/>
            <w:vAlign w:val="center"/>
          </w:tcPr>
          <w:p w14:paraId="4475BAF6">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22" w:type="dxa"/>
            <w:tcBorders>
              <w:tl2br w:val="nil"/>
              <w:tr2bl w:val="nil"/>
            </w:tcBorders>
            <w:shd w:val="clear" w:color="auto" w:fill="auto"/>
            <w:vAlign w:val="center"/>
          </w:tcPr>
          <w:p w14:paraId="30D6D795">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22" w:type="dxa"/>
            <w:tcBorders>
              <w:tl2br w:val="nil"/>
              <w:tr2bl w:val="nil"/>
            </w:tcBorders>
            <w:shd w:val="clear" w:color="auto" w:fill="auto"/>
            <w:vAlign w:val="center"/>
          </w:tcPr>
          <w:p w14:paraId="4581DF3B">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22" w:type="dxa"/>
            <w:tcBorders>
              <w:tl2br w:val="nil"/>
              <w:tr2bl w:val="nil"/>
            </w:tcBorders>
            <w:shd w:val="clear" w:color="auto" w:fill="auto"/>
            <w:vAlign w:val="center"/>
          </w:tcPr>
          <w:p w14:paraId="042DAF23">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22" w:type="dxa"/>
            <w:tcBorders>
              <w:tl2br w:val="nil"/>
              <w:tr2bl w:val="nil"/>
            </w:tcBorders>
            <w:shd w:val="clear" w:color="auto" w:fill="auto"/>
            <w:vAlign w:val="center"/>
          </w:tcPr>
          <w:p w14:paraId="34203728">
            <w:pPr>
              <w:keepNext w:val="0"/>
              <w:keepLines w:val="0"/>
              <w:pageBreakBefore w:val="0"/>
              <w:widowControl/>
              <w:tabs>
                <w:tab w:val="left" w:pos="1890"/>
              </w:tabs>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0.003L</w:t>
            </w:r>
          </w:p>
        </w:tc>
        <w:tc>
          <w:tcPr>
            <w:tcW w:w="1358" w:type="dxa"/>
            <w:tcBorders>
              <w:tl2br w:val="nil"/>
              <w:tr2bl w:val="nil"/>
            </w:tcBorders>
            <w:shd w:val="clear" w:color="auto" w:fill="auto"/>
            <w:vAlign w:val="center"/>
          </w:tcPr>
          <w:p w14:paraId="53AC767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0.02</w:t>
            </w:r>
          </w:p>
        </w:tc>
      </w:tr>
      <w:tr w14:paraId="64A66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01" w:type="dxa"/>
            <w:tcBorders>
              <w:tl2br w:val="nil"/>
              <w:tr2bl w:val="nil"/>
            </w:tcBorders>
            <w:shd w:val="clear" w:color="auto" w:fill="auto"/>
            <w:vAlign w:val="center"/>
          </w:tcPr>
          <w:p w14:paraId="61CD4D9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钡</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（μg</w:t>
            </w: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/L</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318" w:type="dxa"/>
            <w:tcBorders>
              <w:tl2br w:val="nil"/>
              <w:tr2bl w:val="nil"/>
            </w:tcBorders>
            <w:shd w:val="clear" w:color="auto" w:fill="auto"/>
            <w:vAlign w:val="center"/>
          </w:tcPr>
          <w:p w14:paraId="76E2CEC7">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22" w:type="dxa"/>
            <w:tcBorders>
              <w:tl2br w:val="nil"/>
              <w:tr2bl w:val="nil"/>
            </w:tcBorders>
            <w:shd w:val="clear" w:color="auto" w:fill="auto"/>
            <w:vAlign w:val="center"/>
          </w:tcPr>
          <w:p w14:paraId="0B3F1C2D">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22" w:type="dxa"/>
            <w:tcBorders>
              <w:tl2br w:val="nil"/>
              <w:tr2bl w:val="nil"/>
            </w:tcBorders>
            <w:shd w:val="clear" w:color="auto" w:fill="auto"/>
            <w:vAlign w:val="center"/>
          </w:tcPr>
          <w:p w14:paraId="0F620B01">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22" w:type="dxa"/>
            <w:tcBorders>
              <w:tl2br w:val="nil"/>
              <w:tr2bl w:val="nil"/>
            </w:tcBorders>
            <w:shd w:val="clear" w:color="auto" w:fill="auto"/>
            <w:vAlign w:val="center"/>
          </w:tcPr>
          <w:p w14:paraId="6CE543CB">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22" w:type="dxa"/>
            <w:tcBorders>
              <w:tl2br w:val="nil"/>
              <w:tr2bl w:val="nil"/>
            </w:tcBorders>
            <w:shd w:val="clear" w:color="auto" w:fill="auto"/>
            <w:vAlign w:val="center"/>
          </w:tcPr>
          <w:p w14:paraId="0D491266">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22" w:type="dxa"/>
            <w:tcBorders>
              <w:tl2br w:val="nil"/>
              <w:tr2bl w:val="nil"/>
            </w:tcBorders>
            <w:shd w:val="clear" w:color="auto" w:fill="auto"/>
            <w:vAlign w:val="center"/>
          </w:tcPr>
          <w:p w14:paraId="6D3F4DF4">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22" w:type="dxa"/>
            <w:tcBorders>
              <w:tl2br w:val="nil"/>
              <w:tr2bl w:val="nil"/>
            </w:tcBorders>
            <w:shd w:val="clear" w:color="auto" w:fill="auto"/>
            <w:vAlign w:val="center"/>
          </w:tcPr>
          <w:p w14:paraId="30CD1A6E">
            <w:pPr>
              <w:keepNext w:val="0"/>
              <w:keepLines w:val="0"/>
              <w:pageBreakBefore w:val="0"/>
              <w:widowControl/>
              <w:kinsoku/>
              <w:wordWrap/>
              <w:overflowPunct/>
              <w:topLinePunct w:val="0"/>
              <w:autoSpaceDE/>
              <w:autoSpaceDN/>
              <w:bidi w:val="0"/>
              <w:snapToGrid w:val="0"/>
              <w:spacing w:after="0"/>
              <w:jc w:val="center"/>
              <w:textAlignment w:val="bottom"/>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358" w:type="dxa"/>
            <w:tcBorders>
              <w:tl2br w:val="nil"/>
              <w:tr2bl w:val="nil"/>
            </w:tcBorders>
            <w:shd w:val="clear" w:color="auto" w:fill="auto"/>
            <w:vAlign w:val="center"/>
          </w:tcPr>
          <w:p w14:paraId="310FAC6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0.07</w:t>
            </w:r>
          </w:p>
        </w:tc>
      </w:tr>
    </w:tbl>
    <w:p w14:paraId="68F4842C">
      <w:pP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sectPr>
          <w:pgSz w:w="16838" w:h="11906" w:orient="landscape"/>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42063E7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4.3.2.3地下水环境现状评价</w:t>
      </w:r>
    </w:p>
    <w:p w14:paraId="1B908B5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（1）评价因子</w:t>
      </w:r>
    </w:p>
    <w:p w14:paraId="1CBD4DC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选择监测数据中的监测因子作为评价因子。</w:t>
      </w:r>
    </w:p>
    <w:p w14:paraId="6E00879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（2）评价标准</w:t>
      </w:r>
    </w:p>
    <w:p w14:paraId="45CF99F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采用《地下水质量标准》（GB/T14848-2017）中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instrText xml:space="preserve"> = 3 \* ROMAN \* MERGEFORMAT </w:instrTex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Ⅲ</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类标准，石油类参考执行《地表水环境质量标准》（GB3838-2002）中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II</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类标准。</w:t>
      </w:r>
    </w:p>
    <w:p w14:paraId="4A4D1B2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（3）评价方法</w:t>
      </w:r>
    </w:p>
    <w:p w14:paraId="370A16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采用标准指数法。模式如下：</w:t>
      </w:r>
    </w:p>
    <w:p w14:paraId="73A90A28">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position w:val="-30"/>
          <w:sz w:val="24"/>
          <w:highlight w:val="none"/>
          <w14:textFill>
            <w14:solidFill>
              <w14:schemeClr w14:val="tx1"/>
            </w14:solidFill>
          </w14:textFill>
        </w:rPr>
        <w:object>
          <v:shape id="_x0000_i1025" o:spt="75" type="#_x0000_t75" style="height:35pt;width:48pt;" o:ole="t" filled="f" o:preferrelative="t" stroked="f" coordsize="21600,21600">
            <v:path/>
            <v:fill on="f" focussize="0,0"/>
            <v:stroke on="f"/>
            <v:imagedata r:id="rId31" o:title=""/>
            <o:lock v:ext="edit" aspectratio="t"/>
            <w10:wrap type="none"/>
            <w10:anchorlock/>
          </v:shape>
          <o:OLEObject Type="Embed" ProgID="Equation.3" ShapeID="_x0000_i1025" DrawAspect="Content" ObjectID="_1468075725" r:id="rId30">
            <o:LockedField>false</o:LockedField>
          </o:OLEObject>
        </w:object>
      </w:r>
    </w:p>
    <w:p w14:paraId="436171F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式中：P</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highlight w:val="none"/>
          <w14:textFill>
            <w14:solidFill>
              <w14:schemeClr w14:val="tx1"/>
            </w14:solidFill>
          </w14:textFill>
        </w:rPr>
        <w:t>——第i个水质因子的标准指数，无量纲；</w:t>
      </w:r>
    </w:p>
    <w:p w14:paraId="59F38C0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C</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highlight w:val="none"/>
          <w14:textFill>
            <w14:solidFill>
              <w14:schemeClr w14:val="tx1"/>
            </w14:solidFill>
          </w14:textFill>
        </w:rPr>
        <w:t>——第i个水质因子的监测浓度值（mg/L）；</w:t>
      </w:r>
    </w:p>
    <w:p w14:paraId="288F5C60">
      <w:pPr>
        <w:keepNext w:val="0"/>
        <w:keepLines w:val="0"/>
        <w:pageBreakBefore w:val="0"/>
        <w:widowControl w:val="0"/>
        <w:kinsoku/>
        <w:wordWrap/>
        <w:overflowPunct/>
        <w:topLinePunct w:val="0"/>
        <w:autoSpaceDE/>
        <w:autoSpaceDN/>
        <w:bidi w:val="0"/>
        <w:adjustRightInd w:val="0"/>
        <w:snapToGrid w:val="0"/>
        <w:spacing w:after="0" w:line="360" w:lineRule="auto"/>
        <w:ind w:firstLine="44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w:t>
      </w:r>
      <w:r>
        <w:rPr>
          <w:rFonts w:hint="default" w:ascii="Times New Roman" w:hAnsi="Times New Roman" w:eastAsia="宋体" w:cs="Times New Roman"/>
          <w:color w:val="000000" w:themeColor="text1"/>
          <w:highlight w:val="none"/>
          <w:vertAlign w:val="subscript"/>
          <w14:textFill>
            <w14:solidFill>
              <w14:schemeClr w14:val="tx1"/>
            </w14:solidFill>
          </w14:textFill>
        </w:rPr>
        <w:t>si</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第i个水质因子的标准浓度值（m</w:t>
      </w:r>
      <w:r>
        <w:rPr>
          <w:rFonts w:hint="default" w:ascii="Times New Roman" w:hAnsi="Times New Roman" w:eastAsia="宋体" w:cs="Times New Roman"/>
          <w:color w:val="000000" w:themeColor="text1"/>
          <w:highlight w:val="none"/>
          <w14:textFill>
            <w14:solidFill>
              <w14:schemeClr w14:val="tx1"/>
            </w14:solidFill>
          </w14:textFill>
        </w:rPr>
        <w:t>g/L）。</w:t>
      </w:r>
    </w:p>
    <w:p w14:paraId="21326E1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pH</w:t>
      </w:r>
      <w:r>
        <w:rPr>
          <w:rFonts w:hint="default" w:ascii="Times New Roman" w:hAnsi="Times New Roman" w:eastAsia="宋体" w:cs="Times New Roman"/>
          <w:color w:val="000000" w:themeColor="text1"/>
          <w:sz w:val="24"/>
          <w:highlight w:val="none"/>
          <w14:textFill>
            <w14:solidFill>
              <w14:schemeClr w14:val="tx1"/>
            </w14:solidFill>
          </w14:textFill>
        </w:rPr>
        <w:t>的标准指数为：</w:t>
      </w:r>
    </w:p>
    <w:p w14:paraId="7E2C14E8">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pict>
          <v:shape id="对象 530" o:spid="_x0000_s1028" o:spt="75" type="#_x0000_t75" style="position:absolute;left:0pt;margin-left:173.25pt;margin-top:-6.65pt;height:34.85pt;width:150.1pt;z-index:251659264;mso-width-relative:page;mso-height-relative:page;" o:ole="t" filled="f" o:preferrelative="t" stroked="f" coordsize="21600,21600">
            <v:path/>
            <v:fill on="f" focussize="0,0"/>
            <v:stroke on="f"/>
            <v:imagedata r:id="rId33" o:title=""/>
            <o:lock v:ext="edit" aspectratio="t"/>
          </v:shape>
          <o:OLEObject Type="Embed" ProgID="" ShapeID="对象 530" DrawAspect="Content" ObjectID="_1468075726" r:id="rId32">
            <o:LockedField>false</o:LockedField>
          </o:OLEObject>
        </w:pict>
      </w:r>
    </w:p>
    <w:p w14:paraId="08138091">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p>
    <w:p w14:paraId="1562A30D">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pict>
          <v:shape id="对象 531" o:spid="_x0000_s1029" o:spt="75" type="#_x0000_t75" style="position:absolute;left:0pt;margin-left:173.25pt;margin-top:8.55pt;height:34.75pt;width:142.7pt;z-index:251660288;mso-width-relative:page;mso-height-relative:page;" o:ole="t" filled="f" o:preferrelative="t" stroked="f" coordsize="21600,21600">
            <v:path/>
            <v:fill on="f" focussize="0,0"/>
            <v:stroke on="f"/>
            <v:imagedata r:id="rId35" o:title=""/>
            <o:lock v:ext="edit" aspectratio="t"/>
          </v:shape>
          <o:OLEObject Type="Embed" ProgID="" ShapeID="对象 531" DrawAspect="Content" ObjectID="_1468075727" r:id="rId34">
            <o:LockedField>false</o:LockedField>
          </o:OLEObject>
        </w:pict>
      </w:r>
    </w:p>
    <w:p w14:paraId="2CEBD583">
      <w:pPr>
        <w:keepNext w:val="0"/>
        <w:keepLines w:val="0"/>
        <w:pageBreakBefore w:val="0"/>
        <w:widowControl w:val="0"/>
        <w:kinsoku/>
        <w:wordWrap/>
        <w:topLinePunct w:val="0"/>
        <w:bidi w:val="0"/>
        <w:adjustRightInd w:val="0"/>
        <w:snapToGrid w:val="0"/>
        <w:spacing w:after="120" w:line="360" w:lineRule="auto"/>
        <w:ind w:left="440" w:leftChars="200"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p>
    <w:p w14:paraId="0ACE6F0E">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式中：P</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pH</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——pH的标准指数，无量纲；</w:t>
      </w:r>
    </w:p>
    <w:p w14:paraId="3AE1808D">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pH——pH监测值；</w:t>
      </w:r>
    </w:p>
    <w:p w14:paraId="2309E187">
      <w:pPr>
        <w:keepNext w:val="0"/>
        <w:keepLines w:val="0"/>
        <w:pageBreakBefore w:val="0"/>
        <w:widowControl w:val="0"/>
        <w:kinsoku/>
        <w:wordWrap/>
        <w:overflowPunct/>
        <w:topLinePunct w:val="0"/>
        <w:autoSpaceDE/>
        <w:autoSpaceDN/>
        <w:bidi w:val="0"/>
        <w:adjustRightIn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pH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su</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pH</w:t>
      </w:r>
      <w:r>
        <w:rPr>
          <w:rFonts w:hint="default" w:ascii="Times New Roman" w:hAnsi="Times New Roman" w:eastAsia="宋体" w:cs="Times New Roman"/>
          <w:color w:val="000000" w:themeColor="text1"/>
          <w:sz w:val="24"/>
          <w:highlight w:val="none"/>
          <w14:textFill>
            <w14:solidFill>
              <w14:schemeClr w14:val="tx1"/>
            </w14:solidFill>
          </w14:textFill>
        </w:rPr>
        <w:t>值标准规定的上限值；</w:t>
      </w:r>
    </w:p>
    <w:p w14:paraId="0E02FFD4">
      <w:pPr>
        <w:keepNext w:val="0"/>
        <w:keepLines w:val="0"/>
        <w:pageBreakBefore w:val="0"/>
        <w:widowControl w:val="0"/>
        <w:kinsoku/>
        <w:wordWrap/>
        <w:overflowPunct/>
        <w:topLinePunct w:val="0"/>
        <w:autoSpaceDE/>
        <w:autoSpaceDN/>
        <w:bidi w:val="0"/>
        <w:adjustRightIn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pH</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sd</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pH</w:t>
      </w:r>
      <w:r>
        <w:rPr>
          <w:rFonts w:hint="default" w:ascii="Times New Roman" w:hAnsi="Times New Roman" w:eastAsia="宋体" w:cs="Times New Roman"/>
          <w:color w:val="000000" w:themeColor="text1"/>
          <w:sz w:val="24"/>
          <w:highlight w:val="none"/>
          <w14:textFill>
            <w14:solidFill>
              <w14:schemeClr w14:val="tx1"/>
            </w14:solidFill>
          </w14:textFill>
        </w:rPr>
        <w:t>标准规定的下限值。</w:t>
      </w:r>
    </w:p>
    <w:p w14:paraId="43BC38C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评价结果及分析</w:t>
      </w:r>
    </w:p>
    <w:p w14:paraId="7C96714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地下水环境现状评价结果见表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4.3-7</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0B1A465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表4.3-7</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地下水单因子标准指数计算结果</w:t>
      </w:r>
    </w:p>
    <w:tbl>
      <w:tblPr>
        <w:tblStyle w:val="18"/>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Layout w:type="fixed"/>
        <w:tblCellMar>
          <w:top w:w="0" w:type="dxa"/>
          <w:left w:w="108" w:type="dxa"/>
          <w:bottom w:w="0" w:type="dxa"/>
          <w:right w:w="108" w:type="dxa"/>
        </w:tblCellMar>
      </w:tblPr>
      <w:tblGrid>
        <w:gridCol w:w="1756"/>
        <w:gridCol w:w="1048"/>
        <w:gridCol w:w="1110"/>
        <w:gridCol w:w="1048"/>
        <w:gridCol w:w="1110"/>
        <w:gridCol w:w="989"/>
        <w:gridCol w:w="1171"/>
        <w:gridCol w:w="1056"/>
      </w:tblGrid>
      <w:tr w14:paraId="66FA13E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PrEx>
        <w:trPr>
          <w:trHeight w:val="0" w:hRule="atLeast"/>
          <w:jc w:val="center"/>
        </w:trPr>
        <w:tc>
          <w:tcPr>
            <w:tcW w:w="1756" w:type="dxa"/>
            <w:tcBorders>
              <w:tl2br w:val="nil"/>
              <w:tr2bl w:val="nil"/>
            </w:tcBorders>
            <w:vAlign w:val="center"/>
          </w:tcPr>
          <w:p w14:paraId="770417F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监测项目</w:t>
            </w:r>
          </w:p>
        </w:tc>
        <w:tc>
          <w:tcPr>
            <w:tcW w:w="1048" w:type="dxa"/>
            <w:tcBorders>
              <w:tl2br w:val="nil"/>
              <w:tr2bl w:val="nil"/>
            </w:tcBorders>
            <w:vAlign w:val="center"/>
          </w:tcPr>
          <w:p w14:paraId="35CF22A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1#</w:t>
            </w:r>
          </w:p>
        </w:tc>
        <w:tc>
          <w:tcPr>
            <w:tcW w:w="1110" w:type="dxa"/>
            <w:tcBorders>
              <w:tl2br w:val="nil"/>
              <w:tr2bl w:val="nil"/>
            </w:tcBorders>
            <w:vAlign w:val="center"/>
          </w:tcPr>
          <w:p w14:paraId="713DB4C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p>
        </w:tc>
        <w:tc>
          <w:tcPr>
            <w:tcW w:w="1048" w:type="dxa"/>
            <w:tcBorders>
              <w:tl2br w:val="nil"/>
              <w:tr2bl w:val="nil"/>
            </w:tcBorders>
            <w:vAlign w:val="center"/>
          </w:tcPr>
          <w:p w14:paraId="6B8AAE3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w:t>
            </w:r>
          </w:p>
        </w:tc>
        <w:tc>
          <w:tcPr>
            <w:tcW w:w="1110" w:type="dxa"/>
            <w:tcBorders>
              <w:tl2br w:val="nil"/>
              <w:tr2bl w:val="nil"/>
            </w:tcBorders>
            <w:vAlign w:val="center"/>
          </w:tcPr>
          <w:p w14:paraId="0F88F96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w:t>
            </w:r>
          </w:p>
        </w:tc>
        <w:tc>
          <w:tcPr>
            <w:tcW w:w="989" w:type="dxa"/>
            <w:tcBorders>
              <w:tl2br w:val="nil"/>
              <w:tr2bl w:val="nil"/>
            </w:tcBorders>
            <w:vAlign w:val="center"/>
          </w:tcPr>
          <w:p w14:paraId="42AE1BA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5#</w:t>
            </w:r>
          </w:p>
        </w:tc>
        <w:tc>
          <w:tcPr>
            <w:tcW w:w="1171" w:type="dxa"/>
            <w:tcBorders>
              <w:tl2br w:val="nil"/>
              <w:tr2bl w:val="nil"/>
            </w:tcBorders>
            <w:vAlign w:val="center"/>
          </w:tcPr>
          <w:p w14:paraId="0FE0535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6#</w:t>
            </w:r>
          </w:p>
        </w:tc>
        <w:tc>
          <w:tcPr>
            <w:tcW w:w="1056" w:type="dxa"/>
            <w:tcBorders>
              <w:tl2br w:val="nil"/>
              <w:tr2bl w:val="nil"/>
            </w:tcBorders>
            <w:vAlign w:val="center"/>
          </w:tcPr>
          <w:p w14:paraId="723B0CA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7#</w:t>
            </w:r>
          </w:p>
        </w:tc>
      </w:tr>
      <w:tr w14:paraId="18756AA6">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73D2591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Na</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w:t>
            </w:r>
          </w:p>
        </w:tc>
        <w:tc>
          <w:tcPr>
            <w:tcW w:w="1048" w:type="dxa"/>
            <w:tcBorders>
              <w:tl2br w:val="nil"/>
              <w:tr2bl w:val="nil"/>
            </w:tcBorders>
            <w:shd w:val="clear" w:color="auto" w:fill="auto"/>
            <w:vAlign w:val="center"/>
          </w:tcPr>
          <w:p w14:paraId="32F93F5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0.148</w:t>
            </w:r>
          </w:p>
        </w:tc>
        <w:tc>
          <w:tcPr>
            <w:tcW w:w="1110" w:type="dxa"/>
            <w:tcBorders>
              <w:tl2br w:val="nil"/>
              <w:tr2bl w:val="nil"/>
            </w:tcBorders>
            <w:shd w:val="clear" w:color="auto" w:fill="auto"/>
            <w:vAlign w:val="center"/>
          </w:tcPr>
          <w:p w14:paraId="39FB394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0.117</w:t>
            </w:r>
          </w:p>
        </w:tc>
        <w:tc>
          <w:tcPr>
            <w:tcW w:w="1048" w:type="dxa"/>
            <w:tcBorders>
              <w:tl2br w:val="nil"/>
              <w:tr2bl w:val="nil"/>
            </w:tcBorders>
            <w:shd w:val="clear" w:color="auto" w:fill="auto"/>
            <w:vAlign w:val="center"/>
          </w:tcPr>
          <w:p w14:paraId="53CD5C71">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0.098</w:t>
            </w:r>
          </w:p>
        </w:tc>
        <w:tc>
          <w:tcPr>
            <w:tcW w:w="1110" w:type="dxa"/>
            <w:tcBorders>
              <w:tl2br w:val="nil"/>
              <w:tr2bl w:val="nil"/>
            </w:tcBorders>
            <w:shd w:val="clear" w:color="auto" w:fill="auto"/>
            <w:vAlign w:val="center"/>
          </w:tcPr>
          <w:p w14:paraId="4951B93C">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0.110</w:t>
            </w:r>
          </w:p>
        </w:tc>
        <w:tc>
          <w:tcPr>
            <w:tcW w:w="989" w:type="dxa"/>
            <w:tcBorders>
              <w:tl2br w:val="nil"/>
              <w:tr2bl w:val="nil"/>
            </w:tcBorders>
            <w:shd w:val="clear" w:color="auto" w:fill="auto"/>
            <w:vAlign w:val="center"/>
          </w:tcPr>
          <w:p w14:paraId="72B6947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0.119</w:t>
            </w:r>
          </w:p>
        </w:tc>
        <w:tc>
          <w:tcPr>
            <w:tcW w:w="1171" w:type="dxa"/>
            <w:tcBorders>
              <w:tl2br w:val="nil"/>
              <w:tr2bl w:val="nil"/>
            </w:tcBorders>
            <w:shd w:val="clear" w:color="auto" w:fill="auto"/>
            <w:vAlign w:val="center"/>
          </w:tcPr>
          <w:p w14:paraId="2CAE7F44">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0.106</w:t>
            </w:r>
          </w:p>
        </w:tc>
        <w:tc>
          <w:tcPr>
            <w:tcW w:w="1056" w:type="dxa"/>
            <w:tcBorders>
              <w:tl2br w:val="nil"/>
              <w:tr2bl w:val="nil"/>
            </w:tcBorders>
            <w:shd w:val="clear" w:color="auto" w:fill="auto"/>
            <w:vAlign w:val="center"/>
          </w:tcPr>
          <w:p w14:paraId="55D4AC74">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0.114</w:t>
            </w:r>
          </w:p>
        </w:tc>
      </w:tr>
      <w:tr w14:paraId="7E47F837">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274" w:hRule="atLeast"/>
          <w:jc w:val="center"/>
        </w:trPr>
        <w:tc>
          <w:tcPr>
            <w:tcW w:w="1756" w:type="dxa"/>
            <w:tcBorders>
              <w:tl2br w:val="nil"/>
              <w:tr2bl w:val="nil"/>
            </w:tcBorders>
            <w:vAlign w:val="center"/>
          </w:tcPr>
          <w:p w14:paraId="7AF7D4E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Cl</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w:t>
            </w:r>
          </w:p>
        </w:tc>
        <w:tc>
          <w:tcPr>
            <w:tcW w:w="1048" w:type="dxa"/>
            <w:tcBorders>
              <w:tl2br w:val="nil"/>
              <w:tr2bl w:val="nil"/>
            </w:tcBorders>
            <w:vAlign w:val="center"/>
          </w:tcPr>
          <w:p w14:paraId="12405B9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0.063</w:t>
            </w:r>
          </w:p>
        </w:tc>
        <w:tc>
          <w:tcPr>
            <w:tcW w:w="1110" w:type="dxa"/>
            <w:tcBorders>
              <w:tl2br w:val="nil"/>
              <w:tr2bl w:val="nil"/>
            </w:tcBorders>
            <w:vAlign w:val="center"/>
          </w:tcPr>
          <w:p w14:paraId="67DF2FE1">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0.068</w:t>
            </w:r>
          </w:p>
        </w:tc>
        <w:tc>
          <w:tcPr>
            <w:tcW w:w="1048" w:type="dxa"/>
            <w:tcBorders>
              <w:tl2br w:val="nil"/>
              <w:tr2bl w:val="nil"/>
            </w:tcBorders>
            <w:vAlign w:val="center"/>
          </w:tcPr>
          <w:p w14:paraId="3F9A148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0.041</w:t>
            </w:r>
          </w:p>
        </w:tc>
        <w:tc>
          <w:tcPr>
            <w:tcW w:w="1110" w:type="dxa"/>
            <w:tcBorders>
              <w:tl2br w:val="nil"/>
              <w:tr2bl w:val="nil"/>
            </w:tcBorders>
            <w:vAlign w:val="center"/>
          </w:tcPr>
          <w:p w14:paraId="7ED4ACE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0.058</w:t>
            </w:r>
          </w:p>
        </w:tc>
        <w:tc>
          <w:tcPr>
            <w:tcW w:w="989" w:type="dxa"/>
            <w:tcBorders>
              <w:tl2br w:val="nil"/>
              <w:tr2bl w:val="nil"/>
            </w:tcBorders>
            <w:vAlign w:val="center"/>
          </w:tcPr>
          <w:p w14:paraId="308D6A7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0.037</w:t>
            </w:r>
          </w:p>
        </w:tc>
        <w:tc>
          <w:tcPr>
            <w:tcW w:w="1171" w:type="dxa"/>
            <w:tcBorders>
              <w:tl2br w:val="nil"/>
              <w:tr2bl w:val="nil"/>
            </w:tcBorders>
            <w:vAlign w:val="center"/>
          </w:tcPr>
          <w:p w14:paraId="50524416">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0.048</w:t>
            </w:r>
          </w:p>
        </w:tc>
        <w:tc>
          <w:tcPr>
            <w:tcW w:w="1056" w:type="dxa"/>
            <w:tcBorders>
              <w:tl2br w:val="nil"/>
              <w:tr2bl w:val="nil"/>
            </w:tcBorders>
            <w:vAlign w:val="center"/>
          </w:tcPr>
          <w:p w14:paraId="35C6780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0.030</w:t>
            </w:r>
          </w:p>
        </w:tc>
      </w:tr>
      <w:tr w14:paraId="0C50572D">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0CB2023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vertAlign w:val="subscript"/>
                <w:lang w:eastAsia="zh-CN"/>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t>2-</w:t>
            </w:r>
          </w:p>
        </w:tc>
        <w:tc>
          <w:tcPr>
            <w:tcW w:w="1048" w:type="dxa"/>
            <w:tcBorders>
              <w:tl2br w:val="nil"/>
              <w:tr2bl w:val="nil"/>
            </w:tcBorders>
            <w:vAlign w:val="center"/>
          </w:tcPr>
          <w:p w14:paraId="13EE105C">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0.158</w:t>
            </w:r>
          </w:p>
        </w:tc>
        <w:tc>
          <w:tcPr>
            <w:tcW w:w="1110" w:type="dxa"/>
            <w:tcBorders>
              <w:tl2br w:val="nil"/>
              <w:tr2bl w:val="nil"/>
            </w:tcBorders>
            <w:vAlign w:val="center"/>
          </w:tcPr>
          <w:p w14:paraId="609175A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0.102</w:t>
            </w:r>
          </w:p>
        </w:tc>
        <w:tc>
          <w:tcPr>
            <w:tcW w:w="1048" w:type="dxa"/>
            <w:tcBorders>
              <w:tl2br w:val="nil"/>
              <w:tr2bl w:val="nil"/>
            </w:tcBorders>
            <w:vAlign w:val="center"/>
          </w:tcPr>
          <w:p w14:paraId="3A76DB2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0.092</w:t>
            </w:r>
          </w:p>
        </w:tc>
        <w:tc>
          <w:tcPr>
            <w:tcW w:w="1110" w:type="dxa"/>
            <w:tcBorders>
              <w:tl2br w:val="nil"/>
              <w:tr2bl w:val="nil"/>
            </w:tcBorders>
            <w:vAlign w:val="center"/>
          </w:tcPr>
          <w:p w14:paraId="43CB761D">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0.146</w:t>
            </w:r>
          </w:p>
        </w:tc>
        <w:tc>
          <w:tcPr>
            <w:tcW w:w="989" w:type="dxa"/>
            <w:tcBorders>
              <w:tl2br w:val="nil"/>
              <w:tr2bl w:val="nil"/>
            </w:tcBorders>
            <w:vAlign w:val="center"/>
          </w:tcPr>
          <w:p w14:paraId="30D381CD">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0.095</w:t>
            </w:r>
          </w:p>
        </w:tc>
        <w:tc>
          <w:tcPr>
            <w:tcW w:w="1171" w:type="dxa"/>
            <w:tcBorders>
              <w:tl2br w:val="nil"/>
              <w:tr2bl w:val="nil"/>
            </w:tcBorders>
            <w:vAlign w:val="center"/>
          </w:tcPr>
          <w:p w14:paraId="6B99C92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0.135</w:t>
            </w:r>
          </w:p>
        </w:tc>
        <w:tc>
          <w:tcPr>
            <w:tcW w:w="1056" w:type="dxa"/>
            <w:tcBorders>
              <w:tl2br w:val="nil"/>
              <w:tr2bl w:val="nil"/>
            </w:tcBorders>
            <w:vAlign w:val="center"/>
          </w:tcPr>
          <w:p w14:paraId="797912D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0.075</w:t>
            </w:r>
          </w:p>
        </w:tc>
      </w:tr>
      <w:tr w14:paraId="2ADB93E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FFA1DF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pH</w:t>
            </w:r>
          </w:p>
        </w:tc>
        <w:tc>
          <w:tcPr>
            <w:tcW w:w="1048" w:type="dxa"/>
            <w:tcBorders>
              <w:tl2br w:val="nil"/>
              <w:tr2bl w:val="nil"/>
            </w:tcBorders>
            <w:vAlign w:val="center"/>
          </w:tcPr>
          <w:p w14:paraId="53B7D7B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0.200</w:t>
            </w:r>
          </w:p>
        </w:tc>
        <w:tc>
          <w:tcPr>
            <w:tcW w:w="1110" w:type="dxa"/>
            <w:tcBorders>
              <w:tl2br w:val="nil"/>
              <w:tr2bl w:val="nil"/>
            </w:tcBorders>
            <w:vAlign w:val="center"/>
          </w:tcPr>
          <w:p w14:paraId="28DAE6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0.133</w:t>
            </w:r>
          </w:p>
        </w:tc>
        <w:tc>
          <w:tcPr>
            <w:tcW w:w="1048" w:type="dxa"/>
            <w:tcBorders>
              <w:tl2br w:val="nil"/>
              <w:tr2bl w:val="nil"/>
            </w:tcBorders>
            <w:vAlign w:val="center"/>
          </w:tcPr>
          <w:p w14:paraId="0254FE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0.067</w:t>
            </w:r>
          </w:p>
        </w:tc>
        <w:tc>
          <w:tcPr>
            <w:tcW w:w="1110" w:type="dxa"/>
            <w:tcBorders>
              <w:tl2br w:val="nil"/>
              <w:tr2bl w:val="nil"/>
            </w:tcBorders>
            <w:vAlign w:val="center"/>
          </w:tcPr>
          <w:p w14:paraId="6B0008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0.067</w:t>
            </w:r>
          </w:p>
        </w:tc>
        <w:tc>
          <w:tcPr>
            <w:tcW w:w="989" w:type="dxa"/>
            <w:tcBorders>
              <w:tl2br w:val="nil"/>
              <w:tr2bl w:val="nil"/>
            </w:tcBorders>
            <w:vAlign w:val="center"/>
          </w:tcPr>
          <w:p w14:paraId="1B8FD27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0.200</w:t>
            </w:r>
          </w:p>
        </w:tc>
        <w:tc>
          <w:tcPr>
            <w:tcW w:w="1171" w:type="dxa"/>
            <w:tcBorders>
              <w:tl2br w:val="nil"/>
              <w:tr2bl w:val="nil"/>
            </w:tcBorders>
            <w:vAlign w:val="center"/>
          </w:tcPr>
          <w:p w14:paraId="4840F2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0.133</w:t>
            </w:r>
          </w:p>
        </w:tc>
        <w:tc>
          <w:tcPr>
            <w:tcW w:w="1056" w:type="dxa"/>
            <w:tcBorders>
              <w:tl2br w:val="nil"/>
              <w:tr2bl w:val="nil"/>
            </w:tcBorders>
            <w:vAlign w:val="center"/>
          </w:tcPr>
          <w:p w14:paraId="7D29B2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0.200</w:t>
            </w:r>
          </w:p>
        </w:tc>
      </w:tr>
      <w:tr w14:paraId="70C6207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2B3E74B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总硬度</w:t>
            </w:r>
          </w:p>
        </w:tc>
        <w:tc>
          <w:tcPr>
            <w:tcW w:w="1048" w:type="dxa"/>
            <w:tcBorders>
              <w:tl2br w:val="nil"/>
              <w:tr2bl w:val="nil"/>
            </w:tcBorders>
            <w:vAlign w:val="center"/>
          </w:tcPr>
          <w:p w14:paraId="691DC91C">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0.809</w:t>
            </w:r>
          </w:p>
        </w:tc>
        <w:tc>
          <w:tcPr>
            <w:tcW w:w="1110" w:type="dxa"/>
            <w:tcBorders>
              <w:tl2br w:val="nil"/>
              <w:tr2bl w:val="nil"/>
            </w:tcBorders>
            <w:vAlign w:val="center"/>
          </w:tcPr>
          <w:p w14:paraId="2B4F804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0.844</w:t>
            </w:r>
          </w:p>
        </w:tc>
        <w:tc>
          <w:tcPr>
            <w:tcW w:w="1048" w:type="dxa"/>
            <w:tcBorders>
              <w:tl2br w:val="nil"/>
              <w:tr2bl w:val="nil"/>
            </w:tcBorders>
            <w:vAlign w:val="center"/>
          </w:tcPr>
          <w:p w14:paraId="6D89D88B">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0.822</w:t>
            </w:r>
          </w:p>
        </w:tc>
        <w:tc>
          <w:tcPr>
            <w:tcW w:w="1110" w:type="dxa"/>
            <w:tcBorders>
              <w:tl2br w:val="nil"/>
              <w:tr2bl w:val="nil"/>
            </w:tcBorders>
            <w:vAlign w:val="center"/>
          </w:tcPr>
          <w:p w14:paraId="1610D12D">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0.853</w:t>
            </w:r>
          </w:p>
        </w:tc>
        <w:tc>
          <w:tcPr>
            <w:tcW w:w="989" w:type="dxa"/>
            <w:tcBorders>
              <w:tl2br w:val="nil"/>
              <w:tr2bl w:val="nil"/>
            </w:tcBorders>
            <w:vAlign w:val="center"/>
          </w:tcPr>
          <w:p w14:paraId="025B3925">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0.827</w:t>
            </w:r>
          </w:p>
        </w:tc>
        <w:tc>
          <w:tcPr>
            <w:tcW w:w="1171" w:type="dxa"/>
            <w:tcBorders>
              <w:tl2br w:val="nil"/>
              <w:tr2bl w:val="nil"/>
            </w:tcBorders>
            <w:vAlign w:val="center"/>
          </w:tcPr>
          <w:p w14:paraId="693BBDB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0.867</w:t>
            </w:r>
          </w:p>
        </w:tc>
        <w:tc>
          <w:tcPr>
            <w:tcW w:w="1056" w:type="dxa"/>
            <w:tcBorders>
              <w:tl2br w:val="nil"/>
              <w:tr2bl w:val="nil"/>
            </w:tcBorders>
            <w:vAlign w:val="center"/>
          </w:tcPr>
          <w:p w14:paraId="24BB7FE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0.831</w:t>
            </w:r>
          </w:p>
        </w:tc>
      </w:tr>
      <w:tr w14:paraId="738CB03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0B42229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溶解性总固体</w:t>
            </w:r>
          </w:p>
        </w:tc>
        <w:tc>
          <w:tcPr>
            <w:tcW w:w="1048" w:type="dxa"/>
            <w:tcBorders>
              <w:tl2br w:val="nil"/>
              <w:tr2bl w:val="nil"/>
            </w:tcBorders>
            <w:vAlign w:val="center"/>
          </w:tcPr>
          <w:p w14:paraId="7145F246">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0.785</w:t>
            </w:r>
          </w:p>
        </w:tc>
        <w:tc>
          <w:tcPr>
            <w:tcW w:w="1110" w:type="dxa"/>
            <w:tcBorders>
              <w:tl2br w:val="nil"/>
              <w:tr2bl w:val="nil"/>
            </w:tcBorders>
            <w:vAlign w:val="center"/>
          </w:tcPr>
          <w:p w14:paraId="2FB75852">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0.803</w:t>
            </w:r>
          </w:p>
        </w:tc>
        <w:tc>
          <w:tcPr>
            <w:tcW w:w="1048" w:type="dxa"/>
            <w:tcBorders>
              <w:tl2br w:val="nil"/>
              <w:tr2bl w:val="nil"/>
            </w:tcBorders>
            <w:vAlign w:val="center"/>
          </w:tcPr>
          <w:p w14:paraId="5EB37EE2">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0.792</w:t>
            </w:r>
          </w:p>
        </w:tc>
        <w:tc>
          <w:tcPr>
            <w:tcW w:w="1110" w:type="dxa"/>
            <w:tcBorders>
              <w:tl2br w:val="nil"/>
              <w:tr2bl w:val="nil"/>
            </w:tcBorders>
            <w:vAlign w:val="center"/>
          </w:tcPr>
          <w:p w14:paraId="1182C916">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0.816</w:t>
            </w:r>
          </w:p>
        </w:tc>
        <w:tc>
          <w:tcPr>
            <w:tcW w:w="989" w:type="dxa"/>
            <w:tcBorders>
              <w:tl2br w:val="nil"/>
              <w:tr2bl w:val="nil"/>
            </w:tcBorders>
            <w:vAlign w:val="center"/>
          </w:tcPr>
          <w:p w14:paraId="3E9D547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0.788</w:t>
            </w:r>
          </w:p>
        </w:tc>
        <w:tc>
          <w:tcPr>
            <w:tcW w:w="1171" w:type="dxa"/>
            <w:tcBorders>
              <w:tl2br w:val="nil"/>
              <w:tr2bl w:val="nil"/>
            </w:tcBorders>
            <w:vAlign w:val="center"/>
          </w:tcPr>
          <w:p w14:paraId="5ED4BC2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0.824</w:t>
            </w:r>
          </w:p>
        </w:tc>
        <w:tc>
          <w:tcPr>
            <w:tcW w:w="1056" w:type="dxa"/>
            <w:tcBorders>
              <w:tl2br w:val="nil"/>
              <w:tr2bl w:val="nil"/>
            </w:tcBorders>
            <w:vAlign w:val="center"/>
          </w:tcPr>
          <w:p w14:paraId="5A4187B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0.796</w:t>
            </w:r>
          </w:p>
        </w:tc>
      </w:tr>
      <w:tr w14:paraId="4B10965E">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17A3ECD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耗氧量</w:t>
            </w:r>
          </w:p>
        </w:tc>
        <w:tc>
          <w:tcPr>
            <w:tcW w:w="1048" w:type="dxa"/>
            <w:tcBorders>
              <w:tl2br w:val="nil"/>
              <w:tr2bl w:val="nil"/>
            </w:tcBorders>
            <w:vAlign w:val="center"/>
          </w:tcPr>
          <w:p w14:paraId="7A7519F8">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0.667</w:t>
            </w:r>
          </w:p>
        </w:tc>
        <w:tc>
          <w:tcPr>
            <w:tcW w:w="1110" w:type="dxa"/>
            <w:tcBorders>
              <w:tl2br w:val="nil"/>
              <w:tr2bl w:val="nil"/>
            </w:tcBorders>
            <w:vAlign w:val="center"/>
          </w:tcPr>
          <w:p w14:paraId="6D2D7DCD">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0.633</w:t>
            </w:r>
          </w:p>
        </w:tc>
        <w:tc>
          <w:tcPr>
            <w:tcW w:w="1048" w:type="dxa"/>
            <w:tcBorders>
              <w:tl2br w:val="nil"/>
              <w:tr2bl w:val="nil"/>
            </w:tcBorders>
            <w:vAlign w:val="center"/>
          </w:tcPr>
          <w:p w14:paraId="3886F85A">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0.733</w:t>
            </w:r>
          </w:p>
        </w:tc>
        <w:tc>
          <w:tcPr>
            <w:tcW w:w="1110" w:type="dxa"/>
            <w:tcBorders>
              <w:tl2br w:val="nil"/>
              <w:tr2bl w:val="nil"/>
            </w:tcBorders>
            <w:vAlign w:val="center"/>
          </w:tcPr>
          <w:p w14:paraId="602238D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0.800</w:t>
            </w:r>
          </w:p>
        </w:tc>
        <w:tc>
          <w:tcPr>
            <w:tcW w:w="989" w:type="dxa"/>
            <w:tcBorders>
              <w:tl2br w:val="nil"/>
              <w:tr2bl w:val="nil"/>
            </w:tcBorders>
            <w:vAlign w:val="center"/>
          </w:tcPr>
          <w:p w14:paraId="74EFD158">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0.733</w:t>
            </w:r>
          </w:p>
        </w:tc>
        <w:tc>
          <w:tcPr>
            <w:tcW w:w="1171" w:type="dxa"/>
            <w:tcBorders>
              <w:tl2br w:val="nil"/>
              <w:tr2bl w:val="nil"/>
            </w:tcBorders>
            <w:vAlign w:val="center"/>
          </w:tcPr>
          <w:p w14:paraId="08CB3CA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0.900</w:t>
            </w:r>
          </w:p>
        </w:tc>
        <w:tc>
          <w:tcPr>
            <w:tcW w:w="1056" w:type="dxa"/>
            <w:tcBorders>
              <w:tl2br w:val="nil"/>
              <w:tr2bl w:val="nil"/>
            </w:tcBorders>
            <w:vAlign w:val="center"/>
          </w:tcPr>
          <w:p w14:paraId="4673E78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0.867</w:t>
            </w:r>
          </w:p>
        </w:tc>
      </w:tr>
      <w:tr w14:paraId="0BBC32E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17C46E0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挥发酚</w:t>
            </w:r>
          </w:p>
        </w:tc>
        <w:tc>
          <w:tcPr>
            <w:tcW w:w="1048" w:type="dxa"/>
            <w:tcBorders>
              <w:tl2br w:val="nil"/>
              <w:tr2bl w:val="nil"/>
            </w:tcBorders>
            <w:vAlign w:val="center"/>
          </w:tcPr>
          <w:p w14:paraId="41DFE57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3000D65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5DC8396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2B68351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051F628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3F680F9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1C53518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30E035A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138F42D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氰化物</w:t>
            </w:r>
          </w:p>
        </w:tc>
        <w:tc>
          <w:tcPr>
            <w:tcW w:w="1048" w:type="dxa"/>
            <w:tcBorders>
              <w:tl2br w:val="nil"/>
              <w:tr2bl w:val="nil"/>
            </w:tcBorders>
            <w:vAlign w:val="center"/>
          </w:tcPr>
          <w:p w14:paraId="1AB97AA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679D33B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264F39F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32EE5EE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7CF8C64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14C075E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20D631D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083CCD13">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BEEB61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氟化物</w:t>
            </w:r>
          </w:p>
        </w:tc>
        <w:tc>
          <w:tcPr>
            <w:tcW w:w="1048" w:type="dxa"/>
            <w:tcBorders>
              <w:tl2br w:val="nil"/>
              <w:tr2bl w:val="nil"/>
            </w:tcBorders>
            <w:vAlign w:val="center"/>
          </w:tcPr>
          <w:p w14:paraId="6AE16C61">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0.812</w:t>
            </w:r>
          </w:p>
        </w:tc>
        <w:tc>
          <w:tcPr>
            <w:tcW w:w="1110" w:type="dxa"/>
            <w:tcBorders>
              <w:tl2br w:val="nil"/>
              <w:tr2bl w:val="nil"/>
            </w:tcBorders>
            <w:vAlign w:val="center"/>
          </w:tcPr>
          <w:p w14:paraId="65729564">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0.973</w:t>
            </w:r>
          </w:p>
        </w:tc>
        <w:tc>
          <w:tcPr>
            <w:tcW w:w="1048" w:type="dxa"/>
            <w:tcBorders>
              <w:tl2br w:val="nil"/>
              <w:tr2bl w:val="nil"/>
            </w:tcBorders>
            <w:vAlign w:val="center"/>
          </w:tcPr>
          <w:p w14:paraId="08B3E1A0">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0.986</w:t>
            </w:r>
          </w:p>
        </w:tc>
        <w:tc>
          <w:tcPr>
            <w:tcW w:w="1110" w:type="dxa"/>
            <w:tcBorders>
              <w:tl2br w:val="nil"/>
              <w:tr2bl w:val="nil"/>
            </w:tcBorders>
            <w:vAlign w:val="center"/>
          </w:tcPr>
          <w:p w14:paraId="51A93766">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0.909</w:t>
            </w:r>
          </w:p>
        </w:tc>
        <w:tc>
          <w:tcPr>
            <w:tcW w:w="989" w:type="dxa"/>
            <w:tcBorders>
              <w:tl2br w:val="nil"/>
              <w:tr2bl w:val="nil"/>
            </w:tcBorders>
            <w:vAlign w:val="center"/>
          </w:tcPr>
          <w:p w14:paraId="33685467">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0.619</w:t>
            </w:r>
          </w:p>
        </w:tc>
        <w:tc>
          <w:tcPr>
            <w:tcW w:w="1171" w:type="dxa"/>
            <w:tcBorders>
              <w:tl2br w:val="nil"/>
              <w:tr2bl w:val="nil"/>
            </w:tcBorders>
            <w:vAlign w:val="center"/>
          </w:tcPr>
          <w:p w14:paraId="370A10B0">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0.594</w:t>
            </w:r>
          </w:p>
        </w:tc>
        <w:tc>
          <w:tcPr>
            <w:tcW w:w="1056" w:type="dxa"/>
            <w:tcBorders>
              <w:tl2br w:val="nil"/>
              <w:tr2bl w:val="nil"/>
            </w:tcBorders>
            <w:vAlign w:val="center"/>
          </w:tcPr>
          <w:p w14:paraId="3DBCC402">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0.497</w:t>
            </w:r>
          </w:p>
        </w:tc>
      </w:tr>
      <w:tr w14:paraId="3AA5C8F5">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1756" w:type="dxa"/>
            <w:tcBorders>
              <w:tl2br w:val="nil"/>
              <w:tr2bl w:val="nil"/>
            </w:tcBorders>
            <w:vAlign w:val="center"/>
          </w:tcPr>
          <w:p w14:paraId="52D8AC4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硝酸盐</w:t>
            </w:r>
          </w:p>
        </w:tc>
        <w:tc>
          <w:tcPr>
            <w:tcW w:w="1048" w:type="dxa"/>
            <w:tcBorders>
              <w:tl2br w:val="nil"/>
              <w:tr2bl w:val="nil"/>
            </w:tcBorders>
            <w:vAlign w:val="center"/>
          </w:tcPr>
          <w:p w14:paraId="0D6490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0.555</w:t>
            </w:r>
          </w:p>
        </w:tc>
        <w:tc>
          <w:tcPr>
            <w:tcW w:w="1110" w:type="dxa"/>
            <w:tcBorders>
              <w:tl2br w:val="nil"/>
              <w:tr2bl w:val="nil"/>
            </w:tcBorders>
            <w:vAlign w:val="center"/>
          </w:tcPr>
          <w:p w14:paraId="61BB21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0.351</w:t>
            </w:r>
          </w:p>
        </w:tc>
        <w:tc>
          <w:tcPr>
            <w:tcW w:w="1048" w:type="dxa"/>
            <w:tcBorders>
              <w:tl2br w:val="nil"/>
              <w:tr2bl w:val="nil"/>
            </w:tcBorders>
            <w:vAlign w:val="center"/>
          </w:tcPr>
          <w:p w14:paraId="5AE59D2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0.403</w:t>
            </w:r>
          </w:p>
        </w:tc>
        <w:tc>
          <w:tcPr>
            <w:tcW w:w="1110" w:type="dxa"/>
            <w:tcBorders>
              <w:tl2br w:val="nil"/>
              <w:tr2bl w:val="nil"/>
            </w:tcBorders>
            <w:vAlign w:val="center"/>
          </w:tcPr>
          <w:p w14:paraId="2B94CD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0.715</w:t>
            </w:r>
          </w:p>
        </w:tc>
        <w:tc>
          <w:tcPr>
            <w:tcW w:w="989" w:type="dxa"/>
            <w:tcBorders>
              <w:tl2br w:val="nil"/>
              <w:tr2bl w:val="nil"/>
            </w:tcBorders>
            <w:vAlign w:val="center"/>
          </w:tcPr>
          <w:p w14:paraId="114F44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0.379</w:t>
            </w:r>
          </w:p>
        </w:tc>
        <w:tc>
          <w:tcPr>
            <w:tcW w:w="1171" w:type="dxa"/>
            <w:tcBorders>
              <w:tl2br w:val="nil"/>
              <w:tr2bl w:val="nil"/>
            </w:tcBorders>
            <w:vAlign w:val="center"/>
          </w:tcPr>
          <w:p w14:paraId="7AA830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0.535</w:t>
            </w:r>
          </w:p>
        </w:tc>
        <w:tc>
          <w:tcPr>
            <w:tcW w:w="1056" w:type="dxa"/>
            <w:tcBorders>
              <w:tl2br w:val="nil"/>
              <w:tr2bl w:val="nil"/>
            </w:tcBorders>
            <w:vAlign w:val="center"/>
          </w:tcPr>
          <w:p w14:paraId="2E4E0A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0.258</w:t>
            </w:r>
          </w:p>
        </w:tc>
      </w:tr>
      <w:tr w14:paraId="2F39F57E">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5252C8E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亚硝酸盐</w:t>
            </w:r>
          </w:p>
        </w:tc>
        <w:tc>
          <w:tcPr>
            <w:tcW w:w="1048" w:type="dxa"/>
            <w:tcBorders>
              <w:tl2br w:val="nil"/>
              <w:tr2bl w:val="nil"/>
            </w:tcBorders>
            <w:vAlign w:val="center"/>
          </w:tcPr>
          <w:p w14:paraId="3C086952">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0.328</w:t>
            </w:r>
          </w:p>
        </w:tc>
        <w:tc>
          <w:tcPr>
            <w:tcW w:w="1110" w:type="dxa"/>
            <w:tcBorders>
              <w:tl2br w:val="nil"/>
              <w:tr2bl w:val="nil"/>
            </w:tcBorders>
            <w:vAlign w:val="center"/>
          </w:tcPr>
          <w:p w14:paraId="44828E4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0.252</w:t>
            </w:r>
          </w:p>
        </w:tc>
        <w:tc>
          <w:tcPr>
            <w:tcW w:w="1048" w:type="dxa"/>
            <w:tcBorders>
              <w:tl2br w:val="nil"/>
              <w:tr2bl w:val="nil"/>
            </w:tcBorders>
            <w:vAlign w:val="center"/>
          </w:tcPr>
          <w:p w14:paraId="24009F3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0.180</w:t>
            </w:r>
          </w:p>
        </w:tc>
        <w:tc>
          <w:tcPr>
            <w:tcW w:w="1110" w:type="dxa"/>
            <w:tcBorders>
              <w:tl2br w:val="nil"/>
              <w:tr2bl w:val="nil"/>
            </w:tcBorders>
            <w:vAlign w:val="center"/>
          </w:tcPr>
          <w:p w14:paraId="040ACB74">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0.125</w:t>
            </w:r>
          </w:p>
        </w:tc>
        <w:tc>
          <w:tcPr>
            <w:tcW w:w="989" w:type="dxa"/>
            <w:tcBorders>
              <w:tl2br w:val="nil"/>
              <w:tr2bl w:val="nil"/>
            </w:tcBorders>
            <w:vAlign w:val="center"/>
          </w:tcPr>
          <w:p w14:paraId="4D598CA3">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0.016L</w:t>
            </w:r>
          </w:p>
        </w:tc>
        <w:tc>
          <w:tcPr>
            <w:tcW w:w="1171" w:type="dxa"/>
            <w:tcBorders>
              <w:tl2br w:val="nil"/>
              <w:tr2bl w:val="nil"/>
            </w:tcBorders>
            <w:vAlign w:val="center"/>
          </w:tcPr>
          <w:p w14:paraId="10805EBB">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0.016L</w:t>
            </w:r>
          </w:p>
        </w:tc>
        <w:tc>
          <w:tcPr>
            <w:tcW w:w="1056" w:type="dxa"/>
            <w:tcBorders>
              <w:tl2br w:val="nil"/>
              <w:tr2bl w:val="nil"/>
            </w:tcBorders>
            <w:vAlign w:val="center"/>
          </w:tcPr>
          <w:p w14:paraId="71964BEF">
            <w:pPr>
              <w:snapToGrid w:val="0"/>
              <w:spacing w:before="0" w:beforeAutospacing="0" w:after="0" w:afterAutospacing="0" w:line="240" w:lineRule="auto"/>
              <w:jc w:val="center"/>
              <w:textAlignment w:val="baseline"/>
              <w:rPr>
                <w:rFonts w:hint="default" w:ascii="Times New Roman" w:hAnsi="Times New Roman" w:eastAsia="宋体" w:cs="Times New Roman"/>
                <w:color w:val="000000" w:themeColor="text1"/>
                <w:kern w:val="2"/>
                <w:sz w:val="21"/>
                <w:szCs w:val="21"/>
                <w:highlight w:val="yellow"/>
                <w:vertAlign w:val="baseline"/>
                <w:lang w:val="en-US" w:eastAsia="zh-CN"/>
                <w14:textFill>
                  <w14:solidFill>
                    <w14:schemeClr w14:val="tx1"/>
                  </w14:solidFill>
                </w14:textFill>
              </w:rPr>
            </w:pPr>
            <w:r>
              <w:rPr>
                <w:rStyle w:val="118"/>
                <w:rFonts w:hint="default" w:ascii="Times New Roman" w:hAnsi="Times New Roman"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0.190</w:t>
            </w:r>
          </w:p>
        </w:tc>
      </w:tr>
      <w:tr w14:paraId="1D30EB14">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932423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氨氮</w:t>
            </w:r>
          </w:p>
        </w:tc>
        <w:tc>
          <w:tcPr>
            <w:tcW w:w="1048" w:type="dxa"/>
            <w:tcBorders>
              <w:tl2br w:val="nil"/>
              <w:tr2bl w:val="nil"/>
            </w:tcBorders>
            <w:vAlign w:val="center"/>
          </w:tcPr>
          <w:p w14:paraId="33C45A4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0.507</w:t>
            </w:r>
          </w:p>
        </w:tc>
        <w:tc>
          <w:tcPr>
            <w:tcW w:w="1110" w:type="dxa"/>
            <w:tcBorders>
              <w:tl2br w:val="nil"/>
              <w:tr2bl w:val="nil"/>
            </w:tcBorders>
            <w:vAlign w:val="center"/>
          </w:tcPr>
          <w:p w14:paraId="43577ED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0.514</w:t>
            </w:r>
          </w:p>
        </w:tc>
        <w:tc>
          <w:tcPr>
            <w:tcW w:w="1048" w:type="dxa"/>
            <w:tcBorders>
              <w:tl2br w:val="nil"/>
              <w:tr2bl w:val="nil"/>
            </w:tcBorders>
            <w:vAlign w:val="center"/>
          </w:tcPr>
          <w:p w14:paraId="6DEB5BE4">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0.511</w:t>
            </w:r>
          </w:p>
        </w:tc>
        <w:tc>
          <w:tcPr>
            <w:tcW w:w="1110" w:type="dxa"/>
            <w:tcBorders>
              <w:tl2br w:val="nil"/>
              <w:tr2bl w:val="nil"/>
            </w:tcBorders>
            <w:vAlign w:val="center"/>
          </w:tcPr>
          <w:p w14:paraId="66FD0C52">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0.509</w:t>
            </w:r>
          </w:p>
        </w:tc>
        <w:tc>
          <w:tcPr>
            <w:tcW w:w="989" w:type="dxa"/>
            <w:tcBorders>
              <w:tl2br w:val="nil"/>
              <w:tr2bl w:val="nil"/>
            </w:tcBorders>
            <w:vAlign w:val="center"/>
          </w:tcPr>
          <w:p w14:paraId="3D05CEB6">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0.544</w:t>
            </w:r>
          </w:p>
        </w:tc>
        <w:tc>
          <w:tcPr>
            <w:tcW w:w="1171" w:type="dxa"/>
            <w:tcBorders>
              <w:tl2br w:val="nil"/>
              <w:tr2bl w:val="nil"/>
            </w:tcBorders>
            <w:vAlign w:val="center"/>
          </w:tcPr>
          <w:p w14:paraId="28AFC4F1">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0.536</w:t>
            </w:r>
          </w:p>
        </w:tc>
        <w:tc>
          <w:tcPr>
            <w:tcW w:w="1056" w:type="dxa"/>
            <w:tcBorders>
              <w:tl2br w:val="nil"/>
              <w:tr2bl w:val="nil"/>
            </w:tcBorders>
            <w:vAlign w:val="center"/>
          </w:tcPr>
          <w:p w14:paraId="5D078E8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0.542</w:t>
            </w:r>
          </w:p>
        </w:tc>
      </w:tr>
      <w:tr w14:paraId="5FE479C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8AC8E4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六价铬</w:t>
            </w:r>
          </w:p>
        </w:tc>
        <w:tc>
          <w:tcPr>
            <w:tcW w:w="1048" w:type="dxa"/>
            <w:tcBorders>
              <w:tl2br w:val="nil"/>
              <w:tr2bl w:val="nil"/>
            </w:tcBorders>
            <w:vAlign w:val="center"/>
          </w:tcPr>
          <w:p w14:paraId="43C13B0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604AEDB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461973D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0A8D9CA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64E4B74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5CCC944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611BEE0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7ABDC3D0">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6C2893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砷</w:t>
            </w:r>
          </w:p>
        </w:tc>
        <w:tc>
          <w:tcPr>
            <w:tcW w:w="1048" w:type="dxa"/>
            <w:tcBorders>
              <w:tl2br w:val="nil"/>
              <w:tr2bl w:val="nil"/>
            </w:tcBorders>
            <w:vAlign w:val="center"/>
          </w:tcPr>
          <w:p w14:paraId="0B56744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3112B42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111D52A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3309779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0A1BAD6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097DB19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3A23706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6F7FD5A1">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90" w:hRule="atLeast"/>
          <w:jc w:val="center"/>
        </w:trPr>
        <w:tc>
          <w:tcPr>
            <w:tcW w:w="1756" w:type="dxa"/>
            <w:tcBorders>
              <w:tl2br w:val="nil"/>
              <w:tr2bl w:val="nil"/>
            </w:tcBorders>
            <w:vAlign w:val="center"/>
          </w:tcPr>
          <w:p w14:paraId="35EF779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铅</w:t>
            </w:r>
          </w:p>
        </w:tc>
        <w:tc>
          <w:tcPr>
            <w:tcW w:w="1048" w:type="dxa"/>
            <w:tcBorders>
              <w:tl2br w:val="nil"/>
              <w:tr2bl w:val="nil"/>
            </w:tcBorders>
            <w:vAlign w:val="center"/>
          </w:tcPr>
          <w:p w14:paraId="4AB4E0D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1C4084B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439645A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574F563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17EBBAB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0BCBF77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14BBC20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0EB747D0">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7A359E1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铁</w:t>
            </w:r>
          </w:p>
        </w:tc>
        <w:tc>
          <w:tcPr>
            <w:tcW w:w="1048" w:type="dxa"/>
            <w:tcBorders>
              <w:tl2br w:val="nil"/>
              <w:tr2bl w:val="nil"/>
            </w:tcBorders>
            <w:vAlign w:val="center"/>
          </w:tcPr>
          <w:p w14:paraId="720C91A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10" w:type="dxa"/>
            <w:tcBorders>
              <w:tl2br w:val="nil"/>
              <w:tr2bl w:val="nil"/>
            </w:tcBorders>
            <w:vAlign w:val="center"/>
          </w:tcPr>
          <w:p w14:paraId="77FE9F4F">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48" w:type="dxa"/>
            <w:tcBorders>
              <w:tl2br w:val="nil"/>
              <w:tr2bl w:val="nil"/>
            </w:tcBorders>
            <w:vAlign w:val="center"/>
          </w:tcPr>
          <w:p w14:paraId="272AB74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10" w:type="dxa"/>
            <w:tcBorders>
              <w:tl2br w:val="nil"/>
              <w:tr2bl w:val="nil"/>
            </w:tcBorders>
            <w:vAlign w:val="center"/>
          </w:tcPr>
          <w:p w14:paraId="59BBC72E">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9" w:type="dxa"/>
            <w:tcBorders>
              <w:tl2br w:val="nil"/>
              <w:tr2bl w:val="nil"/>
            </w:tcBorders>
            <w:vAlign w:val="center"/>
          </w:tcPr>
          <w:p w14:paraId="1031CA7C">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71" w:type="dxa"/>
            <w:tcBorders>
              <w:tl2br w:val="nil"/>
              <w:tr2bl w:val="nil"/>
            </w:tcBorders>
            <w:vAlign w:val="center"/>
          </w:tcPr>
          <w:p w14:paraId="4BEC94F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56" w:type="dxa"/>
            <w:tcBorders>
              <w:tl2br w:val="nil"/>
              <w:tr2bl w:val="nil"/>
            </w:tcBorders>
            <w:vAlign w:val="center"/>
          </w:tcPr>
          <w:p w14:paraId="54D60E4B">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966814A">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BF42D7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汞</w:t>
            </w:r>
          </w:p>
        </w:tc>
        <w:tc>
          <w:tcPr>
            <w:tcW w:w="1048" w:type="dxa"/>
            <w:tcBorders>
              <w:tl2br w:val="nil"/>
              <w:tr2bl w:val="nil"/>
            </w:tcBorders>
            <w:vAlign w:val="center"/>
          </w:tcPr>
          <w:p w14:paraId="22D19CC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7074075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5C8EC62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5FA91A2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3221B3E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4A5FADE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0D90DFC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3D8A1DF2">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69FB042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锰</w:t>
            </w:r>
          </w:p>
        </w:tc>
        <w:tc>
          <w:tcPr>
            <w:tcW w:w="1048" w:type="dxa"/>
            <w:tcBorders>
              <w:tl2br w:val="nil"/>
              <w:tr2bl w:val="nil"/>
            </w:tcBorders>
            <w:vAlign w:val="center"/>
          </w:tcPr>
          <w:p w14:paraId="24FB8A6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10" w:type="dxa"/>
            <w:tcBorders>
              <w:tl2br w:val="nil"/>
              <w:tr2bl w:val="nil"/>
            </w:tcBorders>
            <w:vAlign w:val="center"/>
          </w:tcPr>
          <w:p w14:paraId="62929731">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b/>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48" w:type="dxa"/>
            <w:tcBorders>
              <w:tl2br w:val="nil"/>
              <w:tr2bl w:val="nil"/>
            </w:tcBorders>
            <w:vAlign w:val="center"/>
          </w:tcPr>
          <w:p w14:paraId="128A724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10" w:type="dxa"/>
            <w:tcBorders>
              <w:tl2br w:val="nil"/>
              <w:tr2bl w:val="nil"/>
            </w:tcBorders>
            <w:vAlign w:val="center"/>
          </w:tcPr>
          <w:p w14:paraId="447F0193">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989" w:type="dxa"/>
            <w:tcBorders>
              <w:tl2br w:val="nil"/>
              <w:tr2bl w:val="nil"/>
            </w:tcBorders>
            <w:vAlign w:val="center"/>
          </w:tcPr>
          <w:p w14:paraId="45BD72E1">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171" w:type="dxa"/>
            <w:tcBorders>
              <w:tl2br w:val="nil"/>
              <w:tr2bl w:val="nil"/>
            </w:tcBorders>
            <w:vAlign w:val="center"/>
          </w:tcPr>
          <w:p w14:paraId="2861E5FA">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1056" w:type="dxa"/>
            <w:tcBorders>
              <w:tl2br w:val="nil"/>
              <w:tr2bl w:val="nil"/>
            </w:tcBorders>
            <w:vAlign w:val="center"/>
          </w:tcPr>
          <w:p w14:paraId="360FE5E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58660EB">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16F908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镉</w:t>
            </w:r>
          </w:p>
        </w:tc>
        <w:tc>
          <w:tcPr>
            <w:tcW w:w="1048" w:type="dxa"/>
            <w:tcBorders>
              <w:tl2br w:val="nil"/>
              <w:tr2bl w:val="nil"/>
            </w:tcBorders>
            <w:vAlign w:val="center"/>
          </w:tcPr>
          <w:p w14:paraId="1116994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281A4D6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27AF27F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61A0D32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2DAED7E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1BA55AC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577E7AA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0988515F">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2206A44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石油类</w:t>
            </w:r>
          </w:p>
        </w:tc>
        <w:tc>
          <w:tcPr>
            <w:tcW w:w="1048" w:type="dxa"/>
            <w:tcBorders>
              <w:tl2br w:val="nil"/>
              <w:tr2bl w:val="nil"/>
            </w:tcBorders>
            <w:vAlign w:val="center"/>
          </w:tcPr>
          <w:p w14:paraId="7843180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39D1F1E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02EA756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6E9E917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7931509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288D166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65799EC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494E6B09">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shd w:val="clear" w:color="auto" w:fill="auto"/>
            <w:vAlign w:val="center"/>
          </w:tcPr>
          <w:p w14:paraId="55F5AE0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总大肠菌群</w:t>
            </w:r>
          </w:p>
        </w:tc>
        <w:tc>
          <w:tcPr>
            <w:tcW w:w="1048" w:type="dxa"/>
            <w:tcBorders>
              <w:tl2br w:val="nil"/>
              <w:tr2bl w:val="nil"/>
            </w:tcBorders>
            <w:shd w:val="clear" w:color="auto" w:fill="auto"/>
            <w:vAlign w:val="center"/>
          </w:tcPr>
          <w:p w14:paraId="4382F7F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shd w:val="clear" w:color="auto" w:fill="auto"/>
            <w:vAlign w:val="center"/>
          </w:tcPr>
          <w:p w14:paraId="2EA642A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shd w:val="clear" w:color="auto" w:fill="auto"/>
            <w:vAlign w:val="center"/>
          </w:tcPr>
          <w:p w14:paraId="62FDE02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shd w:val="clear" w:color="auto" w:fill="auto"/>
            <w:vAlign w:val="center"/>
          </w:tcPr>
          <w:p w14:paraId="3453A41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shd w:val="clear" w:color="auto" w:fill="auto"/>
            <w:vAlign w:val="center"/>
          </w:tcPr>
          <w:p w14:paraId="7D6B017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shd w:val="clear" w:color="auto" w:fill="auto"/>
            <w:vAlign w:val="center"/>
          </w:tcPr>
          <w:p w14:paraId="330DD55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shd w:val="clear" w:color="auto" w:fill="auto"/>
            <w:vAlign w:val="center"/>
          </w:tcPr>
          <w:p w14:paraId="4DE2813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69C69A58">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139" w:hRule="atLeast"/>
          <w:jc w:val="center"/>
        </w:trPr>
        <w:tc>
          <w:tcPr>
            <w:tcW w:w="1756" w:type="dxa"/>
            <w:tcBorders>
              <w:tl2br w:val="nil"/>
              <w:tr2bl w:val="nil"/>
            </w:tcBorders>
            <w:shd w:val="clear" w:color="auto" w:fill="auto"/>
            <w:vAlign w:val="center"/>
          </w:tcPr>
          <w:p w14:paraId="55E5AE5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菌落总数</w:t>
            </w:r>
          </w:p>
        </w:tc>
        <w:tc>
          <w:tcPr>
            <w:tcW w:w="1048" w:type="dxa"/>
            <w:tcBorders>
              <w:tl2br w:val="nil"/>
              <w:tr2bl w:val="nil"/>
            </w:tcBorders>
            <w:shd w:val="clear" w:color="auto" w:fill="auto"/>
            <w:vAlign w:val="center"/>
          </w:tcPr>
          <w:p w14:paraId="0663FADD">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0.300 </w:t>
            </w:r>
          </w:p>
        </w:tc>
        <w:tc>
          <w:tcPr>
            <w:tcW w:w="1110" w:type="dxa"/>
            <w:tcBorders>
              <w:tl2br w:val="nil"/>
              <w:tr2bl w:val="nil"/>
            </w:tcBorders>
            <w:shd w:val="clear" w:color="auto" w:fill="auto"/>
            <w:vAlign w:val="center"/>
          </w:tcPr>
          <w:p w14:paraId="58336F65">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0.400 </w:t>
            </w:r>
          </w:p>
        </w:tc>
        <w:tc>
          <w:tcPr>
            <w:tcW w:w="1048" w:type="dxa"/>
            <w:tcBorders>
              <w:tl2br w:val="nil"/>
              <w:tr2bl w:val="nil"/>
            </w:tcBorders>
            <w:shd w:val="clear" w:color="auto" w:fill="auto"/>
            <w:vAlign w:val="center"/>
          </w:tcPr>
          <w:p w14:paraId="0AFE20C9">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0.400 </w:t>
            </w:r>
          </w:p>
        </w:tc>
        <w:tc>
          <w:tcPr>
            <w:tcW w:w="1110" w:type="dxa"/>
            <w:tcBorders>
              <w:tl2br w:val="nil"/>
              <w:tr2bl w:val="nil"/>
            </w:tcBorders>
            <w:shd w:val="clear" w:color="auto" w:fill="auto"/>
            <w:vAlign w:val="center"/>
          </w:tcPr>
          <w:p w14:paraId="25C6A310">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0.300 </w:t>
            </w:r>
          </w:p>
        </w:tc>
        <w:tc>
          <w:tcPr>
            <w:tcW w:w="989" w:type="dxa"/>
            <w:tcBorders>
              <w:tl2br w:val="nil"/>
              <w:tr2bl w:val="nil"/>
            </w:tcBorders>
            <w:shd w:val="clear" w:color="auto" w:fill="auto"/>
            <w:vAlign w:val="center"/>
          </w:tcPr>
          <w:p w14:paraId="747CA2AB">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0.400 </w:t>
            </w:r>
          </w:p>
        </w:tc>
        <w:tc>
          <w:tcPr>
            <w:tcW w:w="1171" w:type="dxa"/>
            <w:tcBorders>
              <w:tl2br w:val="nil"/>
              <w:tr2bl w:val="nil"/>
            </w:tcBorders>
            <w:shd w:val="clear" w:color="auto" w:fill="auto"/>
            <w:vAlign w:val="center"/>
          </w:tcPr>
          <w:p w14:paraId="35B3C237">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0.400 </w:t>
            </w:r>
          </w:p>
        </w:tc>
        <w:tc>
          <w:tcPr>
            <w:tcW w:w="1056" w:type="dxa"/>
            <w:tcBorders>
              <w:tl2br w:val="nil"/>
              <w:tr2bl w:val="nil"/>
            </w:tcBorders>
            <w:shd w:val="clear" w:color="auto" w:fill="auto"/>
            <w:vAlign w:val="center"/>
          </w:tcPr>
          <w:p w14:paraId="1BDA9278">
            <w:pPr>
              <w:keepNext w:val="0"/>
              <w:keepLines w:val="0"/>
              <w:pageBreakBefore w:val="0"/>
              <w:widowControl/>
              <w:suppressLineNumbers w:val="0"/>
              <w:kinsoku/>
              <w:wordWrap/>
              <w:overflowPunct/>
              <w:topLinePunct w:val="0"/>
              <w:autoSpaceDE/>
              <w:autoSpaceDN/>
              <w:bidi w:val="0"/>
              <w:snapToGrid w:val="0"/>
              <w:spacing w:after="0"/>
              <w:jc w:val="center"/>
              <w:textAlignment w:val="cente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0.300 </w:t>
            </w:r>
          </w:p>
        </w:tc>
      </w:tr>
      <w:tr w14:paraId="744E0E08">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3EBE7AC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硫化物</w:t>
            </w:r>
          </w:p>
        </w:tc>
        <w:tc>
          <w:tcPr>
            <w:tcW w:w="1048" w:type="dxa"/>
            <w:tcBorders>
              <w:tl2br w:val="nil"/>
              <w:tr2bl w:val="nil"/>
            </w:tcBorders>
            <w:vAlign w:val="center"/>
          </w:tcPr>
          <w:p w14:paraId="1D3DE19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1819639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3CE425A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6F9AB2E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4A670EE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5342F74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6FA59E2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r w14:paraId="7EDC39CC">
        <w:tblPrEx>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CellMar>
            <w:top w:w="0" w:type="dxa"/>
            <w:left w:w="108" w:type="dxa"/>
            <w:bottom w:w="0" w:type="dxa"/>
            <w:right w:w="108" w:type="dxa"/>
          </w:tblCellMar>
        </w:tblPrEx>
        <w:trPr>
          <w:trHeight w:val="0" w:hRule="atLeast"/>
          <w:jc w:val="center"/>
        </w:trPr>
        <w:tc>
          <w:tcPr>
            <w:tcW w:w="1756" w:type="dxa"/>
            <w:tcBorders>
              <w:tl2br w:val="nil"/>
              <w:tr2bl w:val="nil"/>
            </w:tcBorders>
            <w:vAlign w:val="center"/>
          </w:tcPr>
          <w:p w14:paraId="43B1CB1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钡</w:t>
            </w:r>
          </w:p>
        </w:tc>
        <w:tc>
          <w:tcPr>
            <w:tcW w:w="1048" w:type="dxa"/>
            <w:tcBorders>
              <w:tl2br w:val="nil"/>
              <w:tr2bl w:val="nil"/>
            </w:tcBorders>
            <w:vAlign w:val="center"/>
          </w:tcPr>
          <w:p w14:paraId="27549A0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649BBF5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48" w:type="dxa"/>
            <w:tcBorders>
              <w:tl2br w:val="nil"/>
              <w:tr2bl w:val="nil"/>
            </w:tcBorders>
            <w:vAlign w:val="center"/>
          </w:tcPr>
          <w:p w14:paraId="46628B8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10" w:type="dxa"/>
            <w:tcBorders>
              <w:tl2br w:val="nil"/>
              <w:tr2bl w:val="nil"/>
            </w:tcBorders>
            <w:vAlign w:val="center"/>
          </w:tcPr>
          <w:p w14:paraId="4DBA5B3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89" w:type="dxa"/>
            <w:tcBorders>
              <w:tl2br w:val="nil"/>
              <w:tr2bl w:val="nil"/>
            </w:tcBorders>
            <w:vAlign w:val="center"/>
          </w:tcPr>
          <w:p w14:paraId="4749E48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171" w:type="dxa"/>
            <w:tcBorders>
              <w:tl2br w:val="nil"/>
              <w:tr2bl w:val="nil"/>
            </w:tcBorders>
            <w:vAlign w:val="center"/>
          </w:tcPr>
          <w:p w14:paraId="7EA9FE0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1056" w:type="dxa"/>
            <w:tcBorders>
              <w:tl2br w:val="nil"/>
              <w:tr2bl w:val="nil"/>
            </w:tcBorders>
            <w:vAlign w:val="center"/>
          </w:tcPr>
          <w:p w14:paraId="66700F9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r>
    </w:tbl>
    <w:p w14:paraId="23A1691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从上表可以看出，地下水环境质量监测项目均能满足《地下水质量标准》（GB/T14848-2017）III类标准，</w:t>
      </w:r>
      <w:r>
        <w:rPr>
          <w:rFonts w:hint="default" w:ascii="Times New Roman" w:hAnsi="Times New Roman" w:eastAsia="宋体" w:cs="Times New Roman"/>
          <w:bCs/>
          <w:iCs/>
          <w:color w:val="000000" w:themeColor="text1"/>
          <w:sz w:val="24"/>
          <w:szCs w:val="24"/>
          <w:highlight w:val="none"/>
          <w:lang w:eastAsia="zh-CN" w:bidi="en-US"/>
          <w14:textFill>
            <w14:solidFill>
              <w14:schemeClr w14:val="tx1"/>
            </w14:solidFill>
          </w14:textFill>
        </w:rPr>
        <w:t>石油类能够满足《地表水环境质量标准》（GB3838-2002）中</w:t>
      </w:r>
      <w:r>
        <w:rPr>
          <w:rFonts w:hint="eastAsia" w:ascii="Times New Roman" w:hAnsi="Times New Roman" w:eastAsia="宋体" w:cs="Times New Roman"/>
          <w:bCs/>
          <w:iCs/>
          <w:color w:val="000000" w:themeColor="text1"/>
          <w:sz w:val="24"/>
          <w:szCs w:val="24"/>
          <w:highlight w:val="none"/>
          <w:lang w:val="en-US" w:eastAsia="zh-CN" w:bidi="en-US"/>
          <w14:textFill>
            <w14:solidFill>
              <w14:schemeClr w14:val="tx1"/>
            </w14:solidFill>
          </w14:textFill>
        </w:rPr>
        <w:t>II</w:t>
      </w:r>
      <w:r>
        <w:rPr>
          <w:rFonts w:hint="default" w:ascii="Times New Roman" w:hAnsi="Times New Roman" w:eastAsia="宋体" w:cs="Times New Roman"/>
          <w:bCs/>
          <w:iCs/>
          <w:color w:val="000000" w:themeColor="text1"/>
          <w:sz w:val="24"/>
          <w:szCs w:val="24"/>
          <w:highlight w:val="none"/>
          <w:lang w:eastAsia="zh-CN" w:bidi="en-US"/>
          <w14:textFill>
            <w14:solidFill>
              <w14:schemeClr w14:val="tx1"/>
            </w14:solidFill>
          </w14:textFill>
        </w:rPr>
        <w:t>类标准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24FED9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（4）区域地下承压水化学类型分析</w:t>
      </w:r>
    </w:p>
    <w:p w14:paraId="140B713C">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根据舒卡列夫分类法，地下水中Ca</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、Mg</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、Na</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（Na</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+K</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）、Cl</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、SO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、HCO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将Meq（毫克当量）百分数大于25%的阴、阳离子进行组合，每种类型以阿拉伯数字为代号，共49类。舒卡列夫分类表见表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4.3-8</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D24434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表4.3-8</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舒卡列夫分类表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3"/>
        <w:gridCol w:w="1000"/>
        <w:gridCol w:w="1333"/>
        <w:gridCol w:w="1600"/>
        <w:gridCol w:w="1199"/>
        <w:gridCol w:w="584"/>
        <w:gridCol w:w="1032"/>
        <w:gridCol w:w="527"/>
      </w:tblGrid>
      <w:tr w14:paraId="14D37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36D5285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含量＞25%Meq的离子</w:t>
            </w:r>
          </w:p>
        </w:tc>
        <w:tc>
          <w:tcPr>
            <w:tcW w:w="1000" w:type="dxa"/>
            <w:tcBorders>
              <w:tl2br w:val="nil"/>
              <w:tr2bl w:val="nil"/>
            </w:tcBorders>
            <w:noWrap w:val="0"/>
            <w:vAlign w:val="center"/>
          </w:tcPr>
          <w:p w14:paraId="653D7E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HCO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3</w:t>
            </w:r>
          </w:p>
        </w:tc>
        <w:tc>
          <w:tcPr>
            <w:tcW w:w="1333" w:type="dxa"/>
            <w:tcBorders>
              <w:tl2br w:val="nil"/>
              <w:tr2bl w:val="nil"/>
            </w:tcBorders>
            <w:noWrap w:val="0"/>
            <w:vAlign w:val="center"/>
          </w:tcPr>
          <w:p w14:paraId="307E222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HCO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+SO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4</w:t>
            </w:r>
          </w:p>
        </w:tc>
        <w:tc>
          <w:tcPr>
            <w:tcW w:w="1600" w:type="dxa"/>
            <w:tcBorders>
              <w:tl2br w:val="nil"/>
              <w:tr2bl w:val="nil"/>
            </w:tcBorders>
            <w:noWrap w:val="0"/>
            <w:vAlign w:val="center"/>
          </w:tcPr>
          <w:p w14:paraId="0E20A46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HCO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+SO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+Cl</w:t>
            </w:r>
          </w:p>
        </w:tc>
        <w:tc>
          <w:tcPr>
            <w:tcW w:w="1199" w:type="dxa"/>
            <w:tcBorders>
              <w:tl2br w:val="nil"/>
              <w:tr2bl w:val="nil"/>
            </w:tcBorders>
            <w:noWrap w:val="0"/>
            <w:vAlign w:val="center"/>
          </w:tcPr>
          <w:p w14:paraId="3E91863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HCO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+Cl</w:t>
            </w:r>
          </w:p>
        </w:tc>
        <w:tc>
          <w:tcPr>
            <w:tcW w:w="584" w:type="dxa"/>
            <w:tcBorders>
              <w:tl2br w:val="nil"/>
              <w:tr2bl w:val="nil"/>
            </w:tcBorders>
            <w:noWrap w:val="0"/>
            <w:vAlign w:val="center"/>
          </w:tcPr>
          <w:p w14:paraId="40A4AA8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SO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4</w:t>
            </w:r>
          </w:p>
        </w:tc>
        <w:tc>
          <w:tcPr>
            <w:tcW w:w="1032" w:type="dxa"/>
            <w:tcBorders>
              <w:tl2br w:val="nil"/>
              <w:tr2bl w:val="nil"/>
            </w:tcBorders>
            <w:noWrap w:val="0"/>
            <w:vAlign w:val="center"/>
          </w:tcPr>
          <w:p w14:paraId="677991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SO</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+Cl</w:t>
            </w:r>
          </w:p>
        </w:tc>
        <w:tc>
          <w:tcPr>
            <w:tcW w:w="527" w:type="dxa"/>
            <w:tcBorders>
              <w:tl2br w:val="nil"/>
              <w:tr2bl w:val="nil"/>
            </w:tcBorders>
            <w:noWrap w:val="0"/>
            <w:vAlign w:val="center"/>
          </w:tcPr>
          <w:p w14:paraId="4C9043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Cl</w:t>
            </w:r>
          </w:p>
        </w:tc>
      </w:tr>
      <w:tr w14:paraId="06182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661773C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Ca</w:t>
            </w:r>
          </w:p>
        </w:tc>
        <w:tc>
          <w:tcPr>
            <w:tcW w:w="1000" w:type="dxa"/>
            <w:tcBorders>
              <w:tl2br w:val="nil"/>
              <w:tr2bl w:val="nil"/>
            </w:tcBorders>
            <w:noWrap w:val="0"/>
            <w:vAlign w:val="center"/>
          </w:tcPr>
          <w:p w14:paraId="16A0DA4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333" w:type="dxa"/>
            <w:tcBorders>
              <w:tl2br w:val="nil"/>
              <w:tr2bl w:val="nil"/>
            </w:tcBorders>
            <w:noWrap w:val="0"/>
            <w:vAlign w:val="center"/>
          </w:tcPr>
          <w:p w14:paraId="175EEB0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600" w:type="dxa"/>
            <w:tcBorders>
              <w:tl2br w:val="nil"/>
              <w:tr2bl w:val="nil"/>
            </w:tcBorders>
            <w:noWrap w:val="0"/>
            <w:vAlign w:val="center"/>
          </w:tcPr>
          <w:p w14:paraId="39024B9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1199" w:type="dxa"/>
            <w:tcBorders>
              <w:tl2br w:val="nil"/>
              <w:tr2bl w:val="nil"/>
            </w:tcBorders>
            <w:noWrap w:val="0"/>
            <w:vAlign w:val="center"/>
          </w:tcPr>
          <w:p w14:paraId="6B3CD9F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584" w:type="dxa"/>
            <w:tcBorders>
              <w:tl2br w:val="nil"/>
              <w:tr2bl w:val="nil"/>
            </w:tcBorders>
            <w:noWrap w:val="0"/>
            <w:vAlign w:val="center"/>
          </w:tcPr>
          <w:p w14:paraId="67E86F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w:t>
            </w:r>
          </w:p>
        </w:tc>
        <w:tc>
          <w:tcPr>
            <w:tcW w:w="1032" w:type="dxa"/>
            <w:tcBorders>
              <w:tl2br w:val="nil"/>
              <w:tr2bl w:val="nil"/>
            </w:tcBorders>
            <w:noWrap w:val="0"/>
            <w:vAlign w:val="center"/>
          </w:tcPr>
          <w:p w14:paraId="45DFD68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36</w:t>
            </w:r>
          </w:p>
        </w:tc>
        <w:tc>
          <w:tcPr>
            <w:tcW w:w="527" w:type="dxa"/>
            <w:tcBorders>
              <w:tl2br w:val="nil"/>
              <w:tr2bl w:val="nil"/>
            </w:tcBorders>
            <w:noWrap w:val="0"/>
            <w:vAlign w:val="center"/>
          </w:tcPr>
          <w:p w14:paraId="2308653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43</w:t>
            </w:r>
          </w:p>
        </w:tc>
      </w:tr>
      <w:tr w14:paraId="6F5C1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5163FCC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Ca+Mg</w:t>
            </w:r>
          </w:p>
        </w:tc>
        <w:tc>
          <w:tcPr>
            <w:tcW w:w="1000" w:type="dxa"/>
            <w:tcBorders>
              <w:tl2br w:val="nil"/>
              <w:tr2bl w:val="nil"/>
            </w:tcBorders>
            <w:noWrap w:val="0"/>
            <w:vAlign w:val="center"/>
          </w:tcPr>
          <w:p w14:paraId="7A6CEC6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333" w:type="dxa"/>
            <w:tcBorders>
              <w:tl2br w:val="nil"/>
              <w:tr2bl w:val="nil"/>
            </w:tcBorders>
            <w:noWrap w:val="0"/>
            <w:vAlign w:val="center"/>
          </w:tcPr>
          <w:p w14:paraId="679B696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600" w:type="dxa"/>
            <w:tcBorders>
              <w:tl2br w:val="nil"/>
              <w:tr2bl w:val="nil"/>
            </w:tcBorders>
            <w:noWrap w:val="0"/>
            <w:vAlign w:val="center"/>
          </w:tcPr>
          <w:p w14:paraId="1D6F5DE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1199" w:type="dxa"/>
            <w:tcBorders>
              <w:tl2br w:val="nil"/>
              <w:tr2bl w:val="nil"/>
            </w:tcBorders>
            <w:noWrap w:val="0"/>
            <w:vAlign w:val="center"/>
          </w:tcPr>
          <w:p w14:paraId="6D1BDFE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w:t>
            </w:r>
          </w:p>
        </w:tc>
        <w:tc>
          <w:tcPr>
            <w:tcW w:w="584" w:type="dxa"/>
            <w:tcBorders>
              <w:tl2br w:val="nil"/>
              <w:tr2bl w:val="nil"/>
            </w:tcBorders>
            <w:noWrap w:val="0"/>
            <w:vAlign w:val="center"/>
          </w:tcPr>
          <w:p w14:paraId="244AEA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1032" w:type="dxa"/>
            <w:tcBorders>
              <w:tl2br w:val="nil"/>
              <w:tr2bl w:val="nil"/>
            </w:tcBorders>
            <w:noWrap w:val="0"/>
            <w:vAlign w:val="center"/>
          </w:tcPr>
          <w:p w14:paraId="617BF15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37</w:t>
            </w:r>
          </w:p>
        </w:tc>
        <w:tc>
          <w:tcPr>
            <w:tcW w:w="527" w:type="dxa"/>
            <w:tcBorders>
              <w:tl2br w:val="nil"/>
              <w:tr2bl w:val="nil"/>
            </w:tcBorders>
            <w:noWrap w:val="0"/>
            <w:vAlign w:val="center"/>
          </w:tcPr>
          <w:p w14:paraId="2BC98E8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44</w:t>
            </w:r>
          </w:p>
        </w:tc>
      </w:tr>
      <w:tr w14:paraId="4DA62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65ECA5D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w:t>
            </w:r>
          </w:p>
        </w:tc>
        <w:tc>
          <w:tcPr>
            <w:tcW w:w="1000" w:type="dxa"/>
            <w:tcBorders>
              <w:tl2br w:val="nil"/>
              <w:tr2bl w:val="nil"/>
            </w:tcBorders>
            <w:noWrap w:val="0"/>
            <w:vAlign w:val="center"/>
          </w:tcPr>
          <w:p w14:paraId="3EFAE71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333" w:type="dxa"/>
            <w:tcBorders>
              <w:tl2br w:val="nil"/>
              <w:tr2bl w:val="nil"/>
            </w:tcBorders>
            <w:noWrap w:val="0"/>
            <w:vAlign w:val="center"/>
          </w:tcPr>
          <w:p w14:paraId="34AC8F0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600" w:type="dxa"/>
            <w:tcBorders>
              <w:tl2br w:val="nil"/>
              <w:tr2bl w:val="nil"/>
            </w:tcBorders>
            <w:noWrap w:val="0"/>
            <w:vAlign w:val="center"/>
          </w:tcPr>
          <w:p w14:paraId="5012F5D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w:t>
            </w:r>
          </w:p>
        </w:tc>
        <w:tc>
          <w:tcPr>
            <w:tcW w:w="1199" w:type="dxa"/>
            <w:tcBorders>
              <w:tl2br w:val="nil"/>
              <w:tr2bl w:val="nil"/>
            </w:tcBorders>
            <w:noWrap w:val="0"/>
            <w:vAlign w:val="center"/>
          </w:tcPr>
          <w:p w14:paraId="74ECACD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w:t>
            </w:r>
          </w:p>
        </w:tc>
        <w:tc>
          <w:tcPr>
            <w:tcW w:w="584" w:type="dxa"/>
            <w:tcBorders>
              <w:tl2br w:val="nil"/>
              <w:tr2bl w:val="nil"/>
            </w:tcBorders>
            <w:noWrap w:val="0"/>
            <w:vAlign w:val="center"/>
          </w:tcPr>
          <w:p w14:paraId="6D0468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w:t>
            </w:r>
          </w:p>
        </w:tc>
        <w:tc>
          <w:tcPr>
            <w:tcW w:w="1032" w:type="dxa"/>
            <w:tcBorders>
              <w:tl2br w:val="nil"/>
              <w:tr2bl w:val="nil"/>
            </w:tcBorders>
            <w:noWrap w:val="0"/>
            <w:vAlign w:val="center"/>
          </w:tcPr>
          <w:p w14:paraId="2863216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w:t>
            </w:r>
          </w:p>
        </w:tc>
        <w:tc>
          <w:tcPr>
            <w:tcW w:w="527" w:type="dxa"/>
            <w:tcBorders>
              <w:tl2br w:val="nil"/>
              <w:tr2bl w:val="nil"/>
            </w:tcBorders>
            <w:noWrap w:val="0"/>
            <w:vAlign w:val="center"/>
          </w:tcPr>
          <w:p w14:paraId="237F93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r>
      <w:tr w14:paraId="66471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0A9C783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Na+Ca</w:t>
            </w:r>
          </w:p>
        </w:tc>
        <w:tc>
          <w:tcPr>
            <w:tcW w:w="1000" w:type="dxa"/>
            <w:tcBorders>
              <w:tl2br w:val="nil"/>
              <w:tr2bl w:val="nil"/>
            </w:tcBorders>
            <w:noWrap w:val="0"/>
            <w:vAlign w:val="center"/>
          </w:tcPr>
          <w:p w14:paraId="2C34CDE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333" w:type="dxa"/>
            <w:tcBorders>
              <w:tl2br w:val="nil"/>
              <w:tr2bl w:val="nil"/>
            </w:tcBorders>
            <w:noWrap w:val="0"/>
            <w:vAlign w:val="center"/>
          </w:tcPr>
          <w:p w14:paraId="19ED9F6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600" w:type="dxa"/>
            <w:tcBorders>
              <w:tl2br w:val="nil"/>
              <w:tr2bl w:val="nil"/>
            </w:tcBorders>
            <w:noWrap w:val="0"/>
            <w:vAlign w:val="center"/>
          </w:tcPr>
          <w:p w14:paraId="429C1D6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1199" w:type="dxa"/>
            <w:tcBorders>
              <w:tl2br w:val="nil"/>
              <w:tr2bl w:val="nil"/>
            </w:tcBorders>
            <w:noWrap w:val="0"/>
            <w:vAlign w:val="center"/>
          </w:tcPr>
          <w:p w14:paraId="2669AB8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c>
          <w:tcPr>
            <w:tcW w:w="584" w:type="dxa"/>
            <w:tcBorders>
              <w:tl2br w:val="nil"/>
              <w:tr2bl w:val="nil"/>
            </w:tcBorders>
            <w:noWrap w:val="0"/>
            <w:vAlign w:val="center"/>
          </w:tcPr>
          <w:p w14:paraId="785F3C0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32</w:t>
            </w:r>
          </w:p>
        </w:tc>
        <w:tc>
          <w:tcPr>
            <w:tcW w:w="1032" w:type="dxa"/>
            <w:tcBorders>
              <w:tl2br w:val="nil"/>
              <w:tr2bl w:val="nil"/>
            </w:tcBorders>
            <w:noWrap w:val="0"/>
            <w:vAlign w:val="center"/>
          </w:tcPr>
          <w:p w14:paraId="5D5BE56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39</w:t>
            </w:r>
          </w:p>
        </w:tc>
        <w:tc>
          <w:tcPr>
            <w:tcW w:w="527" w:type="dxa"/>
            <w:tcBorders>
              <w:tl2br w:val="nil"/>
              <w:tr2bl w:val="nil"/>
            </w:tcBorders>
            <w:noWrap w:val="0"/>
            <w:vAlign w:val="center"/>
          </w:tcPr>
          <w:p w14:paraId="2431B8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46</w:t>
            </w:r>
          </w:p>
        </w:tc>
      </w:tr>
      <w:tr w14:paraId="36D38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216D283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Na+Ca+Mg</w:t>
            </w:r>
          </w:p>
        </w:tc>
        <w:tc>
          <w:tcPr>
            <w:tcW w:w="1000" w:type="dxa"/>
            <w:tcBorders>
              <w:tl2br w:val="nil"/>
              <w:tr2bl w:val="nil"/>
            </w:tcBorders>
            <w:noWrap w:val="0"/>
            <w:vAlign w:val="center"/>
          </w:tcPr>
          <w:p w14:paraId="4058EF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333" w:type="dxa"/>
            <w:tcBorders>
              <w:tl2br w:val="nil"/>
              <w:tr2bl w:val="nil"/>
            </w:tcBorders>
            <w:noWrap w:val="0"/>
            <w:vAlign w:val="center"/>
          </w:tcPr>
          <w:p w14:paraId="09C52F7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600" w:type="dxa"/>
            <w:tcBorders>
              <w:tl2br w:val="nil"/>
              <w:tr2bl w:val="nil"/>
            </w:tcBorders>
            <w:noWrap w:val="0"/>
            <w:vAlign w:val="center"/>
          </w:tcPr>
          <w:p w14:paraId="78C3CD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w:t>
            </w:r>
          </w:p>
        </w:tc>
        <w:tc>
          <w:tcPr>
            <w:tcW w:w="1199" w:type="dxa"/>
            <w:tcBorders>
              <w:tl2br w:val="nil"/>
              <w:tr2bl w:val="nil"/>
            </w:tcBorders>
            <w:noWrap w:val="0"/>
            <w:vAlign w:val="center"/>
          </w:tcPr>
          <w:p w14:paraId="274F29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w:t>
            </w:r>
          </w:p>
        </w:tc>
        <w:tc>
          <w:tcPr>
            <w:tcW w:w="584" w:type="dxa"/>
            <w:tcBorders>
              <w:tl2br w:val="nil"/>
              <w:tr2bl w:val="nil"/>
            </w:tcBorders>
            <w:noWrap w:val="0"/>
            <w:vAlign w:val="center"/>
          </w:tcPr>
          <w:p w14:paraId="5DF2CA7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w:t>
            </w:r>
          </w:p>
        </w:tc>
        <w:tc>
          <w:tcPr>
            <w:tcW w:w="1032" w:type="dxa"/>
            <w:tcBorders>
              <w:tl2br w:val="nil"/>
              <w:tr2bl w:val="nil"/>
            </w:tcBorders>
            <w:noWrap w:val="0"/>
            <w:vAlign w:val="center"/>
          </w:tcPr>
          <w:p w14:paraId="1901DD8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527" w:type="dxa"/>
            <w:tcBorders>
              <w:tl2br w:val="nil"/>
              <w:tr2bl w:val="nil"/>
            </w:tcBorders>
            <w:noWrap w:val="0"/>
            <w:vAlign w:val="center"/>
          </w:tcPr>
          <w:p w14:paraId="40C2007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47</w:t>
            </w:r>
          </w:p>
        </w:tc>
      </w:tr>
      <w:tr w14:paraId="18956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303A484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Na+Mg</w:t>
            </w:r>
          </w:p>
        </w:tc>
        <w:tc>
          <w:tcPr>
            <w:tcW w:w="1000" w:type="dxa"/>
            <w:tcBorders>
              <w:tl2br w:val="nil"/>
              <w:tr2bl w:val="nil"/>
            </w:tcBorders>
            <w:noWrap w:val="0"/>
            <w:vAlign w:val="center"/>
          </w:tcPr>
          <w:p w14:paraId="0B2DAD5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333" w:type="dxa"/>
            <w:tcBorders>
              <w:tl2br w:val="nil"/>
              <w:tr2bl w:val="nil"/>
            </w:tcBorders>
            <w:noWrap w:val="0"/>
            <w:vAlign w:val="center"/>
          </w:tcPr>
          <w:p w14:paraId="093C3B8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1600" w:type="dxa"/>
            <w:tcBorders>
              <w:tl2br w:val="nil"/>
              <w:tr2bl w:val="nil"/>
            </w:tcBorders>
            <w:noWrap w:val="0"/>
            <w:vAlign w:val="center"/>
          </w:tcPr>
          <w:p w14:paraId="228BB7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199" w:type="dxa"/>
            <w:tcBorders>
              <w:tl2br w:val="nil"/>
              <w:tr2bl w:val="nil"/>
            </w:tcBorders>
            <w:noWrap w:val="0"/>
            <w:vAlign w:val="center"/>
          </w:tcPr>
          <w:p w14:paraId="6122AE4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w:t>
            </w:r>
          </w:p>
        </w:tc>
        <w:tc>
          <w:tcPr>
            <w:tcW w:w="584" w:type="dxa"/>
            <w:tcBorders>
              <w:tl2br w:val="nil"/>
              <w:tr2bl w:val="nil"/>
            </w:tcBorders>
            <w:noWrap w:val="0"/>
            <w:vAlign w:val="center"/>
          </w:tcPr>
          <w:p w14:paraId="538F1A9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w:t>
            </w:r>
          </w:p>
        </w:tc>
        <w:tc>
          <w:tcPr>
            <w:tcW w:w="1032" w:type="dxa"/>
            <w:tcBorders>
              <w:tl2br w:val="nil"/>
              <w:tr2bl w:val="nil"/>
            </w:tcBorders>
            <w:noWrap w:val="0"/>
            <w:vAlign w:val="center"/>
          </w:tcPr>
          <w:p w14:paraId="4ED707E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41</w:t>
            </w:r>
          </w:p>
        </w:tc>
        <w:tc>
          <w:tcPr>
            <w:tcW w:w="527" w:type="dxa"/>
            <w:tcBorders>
              <w:tl2br w:val="nil"/>
              <w:tr2bl w:val="nil"/>
            </w:tcBorders>
            <w:noWrap w:val="0"/>
            <w:vAlign w:val="center"/>
          </w:tcPr>
          <w:p w14:paraId="1B4A718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48</w:t>
            </w:r>
          </w:p>
        </w:tc>
      </w:tr>
      <w:tr w14:paraId="75D96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33" w:type="dxa"/>
            <w:tcBorders>
              <w:tl2br w:val="nil"/>
              <w:tr2bl w:val="nil"/>
            </w:tcBorders>
            <w:noWrap w:val="0"/>
            <w:vAlign w:val="center"/>
          </w:tcPr>
          <w:p w14:paraId="26D5470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Na</w:t>
            </w:r>
          </w:p>
        </w:tc>
        <w:tc>
          <w:tcPr>
            <w:tcW w:w="1000" w:type="dxa"/>
            <w:tcBorders>
              <w:tl2br w:val="nil"/>
              <w:tr2bl w:val="nil"/>
            </w:tcBorders>
            <w:noWrap w:val="0"/>
            <w:vAlign w:val="center"/>
          </w:tcPr>
          <w:p w14:paraId="3DE8452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1333" w:type="dxa"/>
            <w:tcBorders>
              <w:tl2br w:val="nil"/>
              <w:tr2bl w:val="nil"/>
            </w:tcBorders>
            <w:noWrap w:val="0"/>
            <w:vAlign w:val="center"/>
          </w:tcPr>
          <w:p w14:paraId="5F764E1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1600" w:type="dxa"/>
            <w:tcBorders>
              <w:tl2br w:val="nil"/>
              <w:tr2bl w:val="nil"/>
            </w:tcBorders>
            <w:noWrap w:val="0"/>
            <w:vAlign w:val="center"/>
          </w:tcPr>
          <w:p w14:paraId="6770D73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w:t>
            </w:r>
          </w:p>
        </w:tc>
        <w:tc>
          <w:tcPr>
            <w:tcW w:w="1199" w:type="dxa"/>
            <w:tcBorders>
              <w:tl2br w:val="nil"/>
              <w:tr2bl w:val="nil"/>
            </w:tcBorders>
            <w:noWrap w:val="0"/>
            <w:vAlign w:val="center"/>
          </w:tcPr>
          <w:p w14:paraId="514C3C4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c>
          <w:tcPr>
            <w:tcW w:w="584" w:type="dxa"/>
            <w:tcBorders>
              <w:tl2br w:val="nil"/>
              <w:tr2bl w:val="nil"/>
            </w:tcBorders>
            <w:noWrap w:val="0"/>
            <w:vAlign w:val="center"/>
          </w:tcPr>
          <w:p w14:paraId="79B87AE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1032" w:type="dxa"/>
            <w:tcBorders>
              <w:tl2br w:val="nil"/>
              <w:tr2bl w:val="nil"/>
            </w:tcBorders>
            <w:noWrap w:val="0"/>
            <w:vAlign w:val="center"/>
          </w:tcPr>
          <w:p w14:paraId="6E4A6F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42</w:t>
            </w:r>
          </w:p>
        </w:tc>
        <w:tc>
          <w:tcPr>
            <w:tcW w:w="527" w:type="dxa"/>
            <w:tcBorders>
              <w:tl2br w:val="nil"/>
              <w:tr2bl w:val="nil"/>
            </w:tcBorders>
            <w:noWrap w:val="0"/>
            <w:vAlign w:val="center"/>
          </w:tcPr>
          <w:p w14:paraId="1C38636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49</w:t>
            </w:r>
          </w:p>
        </w:tc>
      </w:tr>
    </w:tbl>
    <w:p w14:paraId="1E12CCC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w w:val="99"/>
          <w:szCs w:val="32"/>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按矿化度又分为4组：A组矿化度&lt;1.5g/L，B组1.5</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10g/L，C组10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40g/L，D组&gt;40g/L。命名时在数字与字母间加连接号，如1-A型：指的是M&lt;1.5g/L，阴离子只有HCO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&gt;25％Meq，阳离子只有Ca大于25%Meq。49-D型，表示矿化度大于40g/L的Cl-Na型水，该型水可能是</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与</w:t>
      </w:r>
      <w:r>
        <w:rPr>
          <w:rFonts w:hint="default" w:ascii="Times New Roman" w:hAnsi="Times New Roman" w:eastAsia="宋体" w:cs="Times New Roman"/>
          <w:color w:val="000000" w:themeColor="text1"/>
          <w:sz w:val="24"/>
          <w:highlight w:val="none"/>
          <w14:textFill>
            <w14:solidFill>
              <w14:schemeClr w14:val="tx1"/>
            </w14:solidFill>
          </w14:textFill>
        </w:rPr>
        <w:t>海水及海相沉积有关的地下水，或是大陆盐化潜水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0AE8D9A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根据本项目地下水监测结果，分别计算承压水、潜水各监测点位中Ca</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、Mg</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、Na</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K</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、Cl</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、SO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、HCO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浓度均值，进而计算各离子Meq（毫克当量）百分数及监测点位矿化度，从而对工程区域内承压水、潜水的水化学类型进行分类，工程所在地潜水水质八大离子浓度统计结果见表4.3-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，工程所在地承压水水质八大离子浓度统计结果见表4.3-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AF13C8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表4.3-9</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潜水水质八大离子水化学类型分析结果</w:t>
      </w:r>
    </w:p>
    <w:tbl>
      <w:tblPr>
        <w:tblStyle w:val="18"/>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1"/>
        <w:gridCol w:w="907"/>
        <w:gridCol w:w="1615"/>
        <w:gridCol w:w="1740"/>
        <w:gridCol w:w="1065"/>
        <w:gridCol w:w="1026"/>
        <w:gridCol w:w="1052"/>
        <w:gridCol w:w="942"/>
      </w:tblGrid>
      <w:tr w14:paraId="26702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1" w:type="dxa"/>
            <w:vMerge w:val="restart"/>
            <w:tcBorders>
              <w:tl2br w:val="nil"/>
              <w:tr2bl w:val="nil"/>
            </w:tcBorders>
            <w:vAlign w:val="center"/>
          </w:tcPr>
          <w:p w14:paraId="1EE8D5A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监测井点位</w:t>
            </w:r>
          </w:p>
        </w:tc>
        <w:tc>
          <w:tcPr>
            <w:tcW w:w="907" w:type="dxa"/>
            <w:vMerge w:val="restart"/>
            <w:tcBorders>
              <w:tl2br w:val="nil"/>
              <w:tr2bl w:val="nil"/>
            </w:tcBorders>
            <w:vAlign w:val="center"/>
          </w:tcPr>
          <w:p w14:paraId="38AF52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离子名称</w:t>
            </w:r>
          </w:p>
        </w:tc>
        <w:tc>
          <w:tcPr>
            <w:tcW w:w="1615" w:type="dxa"/>
            <w:vMerge w:val="restart"/>
            <w:tcBorders>
              <w:tl2br w:val="nil"/>
              <w:tr2bl w:val="nil"/>
            </w:tcBorders>
            <w:vAlign w:val="center"/>
          </w:tcPr>
          <w:p w14:paraId="6C1633A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毫克当量（</w:t>
            </w: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meq</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/L）</w:t>
            </w:r>
          </w:p>
        </w:tc>
        <w:tc>
          <w:tcPr>
            <w:tcW w:w="1740" w:type="dxa"/>
            <w:vMerge w:val="restart"/>
            <w:tcBorders>
              <w:tl2br w:val="nil"/>
              <w:tr2bl w:val="nil"/>
            </w:tcBorders>
            <w:vAlign w:val="center"/>
          </w:tcPr>
          <w:p w14:paraId="6734016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毫克当量百分比（%）</w:t>
            </w:r>
          </w:p>
        </w:tc>
        <w:tc>
          <w:tcPr>
            <w:tcW w:w="2091" w:type="dxa"/>
            <w:gridSpan w:val="2"/>
            <w:tcBorders>
              <w:tl2br w:val="nil"/>
              <w:tr2bl w:val="nil"/>
            </w:tcBorders>
            <w:vAlign w:val="center"/>
          </w:tcPr>
          <w:p w14:paraId="58E45F5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离子毫克当量合计（</w:t>
            </w: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meq</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/L）</w:t>
            </w:r>
          </w:p>
        </w:tc>
        <w:tc>
          <w:tcPr>
            <w:tcW w:w="1052" w:type="dxa"/>
            <w:vMerge w:val="restart"/>
            <w:tcBorders>
              <w:tl2br w:val="nil"/>
              <w:tr2bl w:val="nil"/>
            </w:tcBorders>
            <w:vAlign w:val="center"/>
          </w:tcPr>
          <w:p w14:paraId="5B61A1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相对误差%</w:t>
            </w:r>
          </w:p>
        </w:tc>
        <w:tc>
          <w:tcPr>
            <w:tcW w:w="942" w:type="dxa"/>
            <w:vMerge w:val="restart"/>
            <w:tcBorders>
              <w:tl2br w:val="nil"/>
              <w:tr2bl w:val="nil"/>
            </w:tcBorders>
            <w:vAlign w:val="center"/>
          </w:tcPr>
          <w:p w14:paraId="3CC9C36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矿化度</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g/L</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r>
      <w:tr w14:paraId="48174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dxa"/>
            <w:vMerge w:val="continue"/>
            <w:tcBorders>
              <w:tl2br w:val="nil"/>
              <w:tr2bl w:val="nil"/>
            </w:tcBorders>
            <w:vAlign w:val="center"/>
          </w:tcPr>
          <w:p w14:paraId="07C01F7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07" w:type="dxa"/>
            <w:vMerge w:val="continue"/>
            <w:tcBorders>
              <w:tl2br w:val="nil"/>
              <w:tr2bl w:val="nil"/>
            </w:tcBorders>
            <w:vAlign w:val="center"/>
          </w:tcPr>
          <w:p w14:paraId="3096467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615" w:type="dxa"/>
            <w:vMerge w:val="continue"/>
            <w:tcBorders>
              <w:tl2br w:val="nil"/>
              <w:tr2bl w:val="nil"/>
            </w:tcBorders>
            <w:vAlign w:val="center"/>
          </w:tcPr>
          <w:p w14:paraId="5A353C5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740" w:type="dxa"/>
            <w:vMerge w:val="continue"/>
            <w:tcBorders>
              <w:tl2br w:val="nil"/>
              <w:tr2bl w:val="nil"/>
            </w:tcBorders>
            <w:vAlign w:val="center"/>
          </w:tcPr>
          <w:p w14:paraId="2F2B705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65" w:type="dxa"/>
            <w:tcBorders>
              <w:tl2br w:val="nil"/>
              <w:tr2bl w:val="nil"/>
            </w:tcBorders>
            <w:vAlign w:val="center"/>
          </w:tcPr>
          <w:p w14:paraId="0CEE117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阴离子</w:t>
            </w:r>
          </w:p>
        </w:tc>
        <w:tc>
          <w:tcPr>
            <w:tcW w:w="1026" w:type="dxa"/>
            <w:tcBorders>
              <w:tl2br w:val="nil"/>
              <w:tr2bl w:val="nil"/>
            </w:tcBorders>
            <w:vAlign w:val="center"/>
          </w:tcPr>
          <w:p w14:paraId="61BC314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阳离子</w:t>
            </w:r>
          </w:p>
        </w:tc>
        <w:tc>
          <w:tcPr>
            <w:tcW w:w="1052" w:type="dxa"/>
            <w:vMerge w:val="continue"/>
            <w:tcBorders>
              <w:tl2br w:val="nil"/>
              <w:tr2bl w:val="nil"/>
            </w:tcBorders>
            <w:vAlign w:val="center"/>
          </w:tcPr>
          <w:p w14:paraId="40EEBE3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42" w:type="dxa"/>
            <w:vMerge w:val="continue"/>
            <w:tcBorders>
              <w:tl2br w:val="nil"/>
              <w:tr2bl w:val="nil"/>
            </w:tcBorders>
            <w:vAlign w:val="center"/>
          </w:tcPr>
          <w:p w14:paraId="3173FB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14:paraId="29C82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restart"/>
            <w:tcBorders>
              <w:tl2br w:val="nil"/>
              <w:tr2bl w:val="nil"/>
            </w:tcBorders>
            <w:vAlign w:val="center"/>
          </w:tcPr>
          <w:p w14:paraId="7C4116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07" w:type="dxa"/>
            <w:tcBorders>
              <w:tl2br w:val="nil"/>
              <w:tr2bl w:val="nil"/>
            </w:tcBorders>
            <w:vAlign w:val="center"/>
          </w:tcPr>
          <w:p w14:paraId="69A44FB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3C858C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8.44 </w:t>
            </w:r>
          </w:p>
        </w:tc>
        <w:tc>
          <w:tcPr>
            <w:tcW w:w="1740" w:type="dxa"/>
            <w:tcBorders>
              <w:tl2br w:val="nil"/>
              <w:tr2bl w:val="nil"/>
            </w:tcBorders>
            <w:vAlign w:val="center"/>
          </w:tcPr>
          <w:p w14:paraId="5BD59CF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0.443 </w:t>
            </w:r>
          </w:p>
        </w:tc>
        <w:tc>
          <w:tcPr>
            <w:tcW w:w="1065" w:type="dxa"/>
            <w:vMerge w:val="restart"/>
            <w:tcBorders>
              <w:tl2br w:val="nil"/>
              <w:tr2bl w:val="nil"/>
            </w:tcBorders>
            <w:vAlign w:val="center"/>
          </w:tcPr>
          <w:p w14:paraId="785622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9.45 </w:t>
            </w:r>
          </w:p>
        </w:tc>
        <w:tc>
          <w:tcPr>
            <w:tcW w:w="1026" w:type="dxa"/>
            <w:vMerge w:val="restart"/>
            <w:tcBorders>
              <w:tl2br w:val="nil"/>
              <w:tr2bl w:val="nil"/>
            </w:tcBorders>
            <w:vAlign w:val="center"/>
          </w:tcPr>
          <w:p w14:paraId="6EBD64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9.62 </w:t>
            </w:r>
          </w:p>
        </w:tc>
        <w:tc>
          <w:tcPr>
            <w:tcW w:w="1052" w:type="dxa"/>
            <w:vMerge w:val="restart"/>
            <w:tcBorders>
              <w:tl2br w:val="nil"/>
              <w:tr2bl w:val="nil"/>
            </w:tcBorders>
            <w:vAlign w:val="center"/>
          </w:tcPr>
          <w:p w14:paraId="37E07DA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0.85</w:t>
            </w:r>
          </w:p>
        </w:tc>
        <w:tc>
          <w:tcPr>
            <w:tcW w:w="942" w:type="dxa"/>
            <w:vMerge w:val="restart"/>
            <w:tcBorders>
              <w:tl2br w:val="nil"/>
              <w:tr2bl w:val="nil"/>
            </w:tcBorders>
            <w:vAlign w:val="center"/>
          </w:tcPr>
          <w:p w14:paraId="4B5E701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0.7361</w:t>
            </w:r>
          </w:p>
        </w:tc>
      </w:tr>
      <w:tr w14:paraId="37A0C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19CF41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7BA410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1999C6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40" w:type="dxa"/>
            <w:tcBorders>
              <w:tl2br w:val="nil"/>
              <w:tr2bl w:val="nil"/>
            </w:tcBorders>
            <w:vAlign w:val="center"/>
          </w:tcPr>
          <w:p w14:paraId="33FCB95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65" w:type="dxa"/>
            <w:vMerge w:val="continue"/>
            <w:tcBorders>
              <w:tl2br w:val="nil"/>
              <w:tr2bl w:val="nil"/>
            </w:tcBorders>
            <w:vAlign w:val="center"/>
          </w:tcPr>
          <w:p w14:paraId="7C45754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00622BE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2BF875D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553993E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0FF99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1595CC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2B93B90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1615" w:type="dxa"/>
            <w:tcBorders>
              <w:tl2br w:val="nil"/>
              <w:tr2bl w:val="nil"/>
            </w:tcBorders>
            <w:vAlign w:val="center"/>
          </w:tcPr>
          <w:p w14:paraId="2675BC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5.25 </w:t>
            </w:r>
          </w:p>
        </w:tc>
        <w:tc>
          <w:tcPr>
            <w:tcW w:w="1740" w:type="dxa"/>
            <w:tcBorders>
              <w:tl2br w:val="nil"/>
              <w:tr2bl w:val="nil"/>
            </w:tcBorders>
            <w:vAlign w:val="center"/>
          </w:tcPr>
          <w:p w14:paraId="56D8D4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0.275 </w:t>
            </w:r>
          </w:p>
        </w:tc>
        <w:tc>
          <w:tcPr>
            <w:tcW w:w="1065" w:type="dxa"/>
            <w:vMerge w:val="continue"/>
            <w:tcBorders>
              <w:tl2br w:val="nil"/>
              <w:tr2bl w:val="nil"/>
            </w:tcBorders>
            <w:vAlign w:val="center"/>
          </w:tcPr>
          <w:p w14:paraId="7A752AA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08FEE71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0C1D0C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60C4328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76FE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6C64580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E564D8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666731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2.98 </w:t>
            </w:r>
          </w:p>
        </w:tc>
        <w:tc>
          <w:tcPr>
            <w:tcW w:w="1740" w:type="dxa"/>
            <w:tcBorders>
              <w:tl2br w:val="nil"/>
              <w:tr2bl w:val="nil"/>
            </w:tcBorders>
            <w:vAlign w:val="center"/>
          </w:tcPr>
          <w:p w14:paraId="619538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0.156 </w:t>
            </w:r>
          </w:p>
        </w:tc>
        <w:tc>
          <w:tcPr>
            <w:tcW w:w="1065" w:type="dxa"/>
            <w:vMerge w:val="continue"/>
            <w:tcBorders>
              <w:tl2br w:val="nil"/>
              <w:tr2bl w:val="nil"/>
            </w:tcBorders>
            <w:vAlign w:val="center"/>
          </w:tcPr>
          <w:p w14:paraId="711E38B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2D7CAF4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440F35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21B1C3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6BC5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1CC4CF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61EBE33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2C3CC6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0.48 </w:t>
            </w:r>
          </w:p>
        </w:tc>
        <w:tc>
          <w:tcPr>
            <w:tcW w:w="1740" w:type="dxa"/>
            <w:tcBorders>
              <w:tl2br w:val="nil"/>
              <w:tr2bl w:val="nil"/>
            </w:tcBorders>
            <w:vAlign w:val="center"/>
          </w:tcPr>
          <w:p w14:paraId="31FB3A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0.025 </w:t>
            </w:r>
          </w:p>
        </w:tc>
        <w:tc>
          <w:tcPr>
            <w:tcW w:w="1065" w:type="dxa"/>
            <w:vMerge w:val="continue"/>
            <w:tcBorders>
              <w:tl2br w:val="nil"/>
              <w:tr2bl w:val="nil"/>
            </w:tcBorders>
            <w:vAlign w:val="center"/>
          </w:tcPr>
          <w:p w14:paraId="3D50FA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2D41C27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5872D38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315278E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35DAB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0445C6C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2B6DCE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49F976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0.53 </w:t>
            </w:r>
          </w:p>
        </w:tc>
        <w:tc>
          <w:tcPr>
            <w:tcW w:w="1740" w:type="dxa"/>
            <w:tcBorders>
              <w:tl2br w:val="nil"/>
              <w:tr2bl w:val="nil"/>
            </w:tcBorders>
            <w:vAlign w:val="center"/>
          </w:tcPr>
          <w:p w14:paraId="27B929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0.028 </w:t>
            </w:r>
          </w:p>
        </w:tc>
        <w:tc>
          <w:tcPr>
            <w:tcW w:w="1065" w:type="dxa"/>
            <w:vMerge w:val="continue"/>
            <w:tcBorders>
              <w:tl2br w:val="nil"/>
              <w:tr2bl w:val="nil"/>
            </w:tcBorders>
            <w:vAlign w:val="center"/>
          </w:tcPr>
          <w:p w14:paraId="4769428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3CC3AE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01852F5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6512D9D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3592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23ADF6A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525642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1111D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0.37 </w:t>
            </w:r>
          </w:p>
        </w:tc>
        <w:tc>
          <w:tcPr>
            <w:tcW w:w="1740" w:type="dxa"/>
            <w:tcBorders>
              <w:tl2br w:val="nil"/>
              <w:tr2bl w:val="nil"/>
            </w:tcBorders>
            <w:vAlign w:val="center"/>
          </w:tcPr>
          <w:p w14:paraId="13CB85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0.019 </w:t>
            </w:r>
          </w:p>
        </w:tc>
        <w:tc>
          <w:tcPr>
            <w:tcW w:w="1065" w:type="dxa"/>
            <w:vMerge w:val="continue"/>
            <w:tcBorders>
              <w:tl2br w:val="nil"/>
              <w:tr2bl w:val="nil"/>
            </w:tcBorders>
            <w:vAlign w:val="center"/>
          </w:tcPr>
          <w:p w14:paraId="1847AED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4E39538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314B340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36E17FC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E12F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9B5F5F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97D66B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3E6245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1.02 </w:t>
            </w:r>
          </w:p>
        </w:tc>
        <w:tc>
          <w:tcPr>
            <w:tcW w:w="1740" w:type="dxa"/>
            <w:tcBorders>
              <w:tl2br w:val="nil"/>
              <w:tr2bl w:val="nil"/>
            </w:tcBorders>
            <w:vAlign w:val="center"/>
          </w:tcPr>
          <w:p w14:paraId="53405B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0.053 </w:t>
            </w:r>
          </w:p>
        </w:tc>
        <w:tc>
          <w:tcPr>
            <w:tcW w:w="1065" w:type="dxa"/>
            <w:vMerge w:val="continue"/>
            <w:tcBorders>
              <w:tl2br w:val="nil"/>
              <w:tr2bl w:val="nil"/>
            </w:tcBorders>
            <w:vAlign w:val="center"/>
          </w:tcPr>
          <w:p w14:paraId="1111F8A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663E46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C38079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5F606A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30485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restart"/>
            <w:tcBorders>
              <w:tl2br w:val="nil"/>
              <w:tr2bl w:val="nil"/>
            </w:tcBorders>
            <w:vAlign w:val="center"/>
          </w:tcPr>
          <w:p w14:paraId="7736ACC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3#</w:t>
            </w:r>
          </w:p>
        </w:tc>
        <w:tc>
          <w:tcPr>
            <w:tcW w:w="907" w:type="dxa"/>
            <w:tcBorders>
              <w:tl2br w:val="nil"/>
              <w:tr2bl w:val="nil"/>
            </w:tcBorders>
            <w:vAlign w:val="center"/>
          </w:tcPr>
          <w:p w14:paraId="50955D4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0BF7FE1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8.72 </w:t>
            </w:r>
          </w:p>
        </w:tc>
        <w:tc>
          <w:tcPr>
            <w:tcW w:w="1740" w:type="dxa"/>
            <w:tcBorders>
              <w:tl2br w:val="nil"/>
              <w:tr2bl w:val="nil"/>
            </w:tcBorders>
            <w:vAlign w:val="center"/>
          </w:tcPr>
          <w:p w14:paraId="00424E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0.478 </w:t>
            </w:r>
          </w:p>
        </w:tc>
        <w:tc>
          <w:tcPr>
            <w:tcW w:w="1065" w:type="dxa"/>
            <w:vMerge w:val="restart"/>
            <w:tcBorders>
              <w:tl2br w:val="nil"/>
              <w:tr2bl w:val="nil"/>
            </w:tcBorders>
            <w:vAlign w:val="center"/>
          </w:tcPr>
          <w:p w14:paraId="386FAA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9.49 </w:t>
            </w:r>
          </w:p>
        </w:tc>
        <w:tc>
          <w:tcPr>
            <w:tcW w:w="1026" w:type="dxa"/>
            <w:vMerge w:val="restart"/>
            <w:tcBorders>
              <w:tl2br w:val="nil"/>
              <w:tr2bl w:val="nil"/>
            </w:tcBorders>
            <w:vAlign w:val="center"/>
          </w:tcPr>
          <w:p w14:paraId="1E22FB3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8.75 </w:t>
            </w:r>
          </w:p>
        </w:tc>
        <w:tc>
          <w:tcPr>
            <w:tcW w:w="1052" w:type="dxa"/>
            <w:vMerge w:val="restart"/>
            <w:tcBorders>
              <w:tl2br w:val="nil"/>
              <w:tr2bl w:val="nil"/>
            </w:tcBorders>
            <w:vAlign w:val="center"/>
          </w:tcPr>
          <w:p w14:paraId="4090825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-4.02</w:t>
            </w:r>
          </w:p>
        </w:tc>
        <w:tc>
          <w:tcPr>
            <w:tcW w:w="942" w:type="dxa"/>
            <w:vMerge w:val="restart"/>
            <w:tcBorders>
              <w:tl2br w:val="nil"/>
              <w:tr2bl w:val="nil"/>
            </w:tcBorders>
            <w:vAlign w:val="center"/>
          </w:tcPr>
          <w:p w14:paraId="4CF02FF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0.7261</w:t>
            </w:r>
          </w:p>
        </w:tc>
      </w:tr>
      <w:tr w14:paraId="1DDE7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448F40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63F2019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16187AF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40" w:type="dxa"/>
            <w:tcBorders>
              <w:tl2br w:val="nil"/>
              <w:tr2bl w:val="nil"/>
            </w:tcBorders>
            <w:vAlign w:val="center"/>
          </w:tcPr>
          <w:p w14:paraId="2D52973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65" w:type="dxa"/>
            <w:vMerge w:val="continue"/>
            <w:tcBorders>
              <w:tl2br w:val="nil"/>
              <w:tr2bl w:val="nil"/>
            </w:tcBorders>
            <w:vAlign w:val="center"/>
          </w:tcPr>
          <w:p w14:paraId="4576813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62C8A49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C568D8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B4E525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0AC63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420E02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78F61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1615" w:type="dxa"/>
            <w:tcBorders>
              <w:tl2br w:val="nil"/>
              <w:tr2bl w:val="nil"/>
            </w:tcBorders>
            <w:vAlign w:val="center"/>
          </w:tcPr>
          <w:p w14:paraId="37DE7E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4.82 </w:t>
            </w:r>
          </w:p>
        </w:tc>
        <w:tc>
          <w:tcPr>
            <w:tcW w:w="1740" w:type="dxa"/>
            <w:tcBorders>
              <w:tl2br w:val="nil"/>
              <w:tr2bl w:val="nil"/>
            </w:tcBorders>
            <w:vAlign w:val="center"/>
          </w:tcPr>
          <w:p w14:paraId="5F820E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0.264 </w:t>
            </w:r>
          </w:p>
        </w:tc>
        <w:tc>
          <w:tcPr>
            <w:tcW w:w="1065" w:type="dxa"/>
            <w:vMerge w:val="continue"/>
            <w:tcBorders>
              <w:tl2br w:val="nil"/>
              <w:tr2bl w:val="nil"/>
            </w:tcBorders>
            <w:vAlign w:val="center"/>
          </w:tcPr>
          <w:p w14:paraId="1CD1DEA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54AA358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6EF4E34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2A876B8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4840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1AA0EF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7CD2A99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163B5B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2.78 </w:t>
            </w:r>
          </w:p>
        </w:tc>
        <w:tc>
          <w:tcPr>
            <w:tcW w:w="1740" w:type="dxa"/>
            <w:tcBorders>
              <w:tl2br w:val="nil"/>
              <w:tr2bl w:val="nil"/>
            </w:tcBorders>
            <w:vAlign w:val="center"/>
          </w:tcPr>
          <w:p w14:paraId="029192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0.153 </w:t>
            </w:r>
          </w:p>
        </w:tc>
        <w:tc>
          <w:tcPr>
            <w:tcW w:w="1065" w:type="dxa"/>
            <w:vMerge w:val="continue"/>
            <w:tcBorders>
              <w:tl2br w:val="nil"/>
              <w:tr2bl w:val="nil"/>
            </w:tcBorders>
            <w:vAlign w:val="center"/>
          </w:tcPr>
          <w:p w14:paraId="3B7449D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4107A9A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2B1E3D1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1F43BD0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2957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0BAE5D5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4659C1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AF4F3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0.29 </w:t>
            </w:r>
          </w:p>
        </w:tc>
        <w:tc>
          <w:tcPr>
            <w:tcW w:w="1740" w:type="dxa"/>
            <w:tcBorders>
              <w:tl2br w:val="nil"/>
              <w:tr2bl w:val="nil"/>
            </w:tcBorders>
            <w:vAlign w:val="center"/>
          </w:tcPr>
          <w:p w14:paraId="3DB422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0.016 </w:t>
            </w:r>
          </w:p>
        </w:tc>
        <w:tc>
          <w:tcPr>
            <w:tcW w:w="1065" w:type="dxa"/>
            <w:vMerge w:val="continue"/>
            <w:tcBorders>
              <w:tl2br w:val="nil"/>
              <w:tr2bl w:val="nil"/>
            </w:tcBorders>
            <w:vAlign w:val="center"/>
          </w:tcPr>
          <w:p w14:paraId="6EFBD3A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31D29F6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9449F1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2024391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38917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F4577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177862F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AA4FB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0.48 </w:t>
            </w:r>
          </w:p>
        </w:tc>
        <w:tc>
          <w:tcPr>
            <w:tcW w:w="1740" w:type="dxa"/>
            <w:tcBorders>
              <w:tl2br w:val="nil"/>
              <w:tr2bl w:val="nil"/>
            </w:tcBorders>
            <w:vAlign w:val="center"/>
          </w:tcPr>
          <w:p w14:paraId="194CD8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0.026 </w:t>
            </w:r>
          </w:p>
        </w:tc>
        <w:tc>
          <w:tcPr>
            <w:tcW w:w="1065" w:type="dxa"/>
            <w:vMerge w:val="continue"/>
            <w:tcBorders>
              <w:tl2br w:val="nil"/>
              <w:tr2bl w:val="nil"/>
            </w:tcBorders>
            <w:vAlign w:val="center"/>
          </w:tcPr>
          <w:p w14:paraId="662BE3D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0E7307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8CDED4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2879899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08E6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0026476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1C94F9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7159F7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0.30 </w:t>
            </w:r>
          </w:p>
        </w:tc>
        <w:tc>
          <w:tcPr>
            <w:tcW w:w="1740" w:type="dxa"/>
            <w:tcBorders>
              <w:tl2br w:val="nil"/>
              <w:tr2bl w:val="nil"/>
            </w:tcBorders>
            <w:vAlign w:val="center"/>
          </w:tcPr>
          <w:p w14:paraId="368EBA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0.016 </w:t>
            </w:r>
          </w:p>
        </w:tc>
        <w:tc>
          <w:tcPr>
            <w:tcW w:w="1065" w:type="dxa"/>
            <w:vMerge w:val="continue"/>
            <w:tcBorders>
              <w:tl2br w:val="nil"/>
              <w:tr2bl w:val="nil"/>
            </w:tcBorders>
            <w:vAlign w:val="center"/>
          </w:tcPr>
          <w:p w14:paraId="3DC3771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3C3B0DA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66E9B45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93E2C6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8D3F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159F0F1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10A5BF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6B0F15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0.85 </w:t>
            </w:r>
          </w:p>
        </w:tc>
        <w:tc>
          <w:tcPr>
            <w:tcW w:w="1740" w:type="dxa"/>
            <w:tcBorders>
              <w:tl2br w:val="nil"/>
              <w:tr2bl w:val="nil"/>
            </w:tcBorders>
            <w:vAlign w:val="center"/>
          </w:tcPr>
          <w:p w14:paraId="56769BF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0.047 </w:t>
            </w:r>
          </w:p>
        </w:tc>
        <w:tc>
          <w:tcPr>
            <w:tcW w:w="1065" w:type="dxa"/>
            <w:vMerge w:val="continue"/>
            <w:tcBorders>
              <w:tl2br w:val="nil"/>
              <w:tr2bl w:val="nil"/>
            </w:tcBorders>
            <w:vAlign w:val="center"/>
          </w:tcPr>
          <w:p w14:paraId="5B0D5A3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478F889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4DEACB4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82562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C7A7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restart"/>
            <w:tcBorders>
              <w:tl2br w:val="nil"/>
              <w:tr2bl w:val="nil"/>
            </w:tcBorders>
            <w:vAlign w:val="center"/>
          </w:tcPr>
          <w:p w14:paraId="6C11EB2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4#</w:t>
            </w:r>
          </w:p>
        </w:tc>
        <w:tc>
          <w:tcPr>
            <w:tcW w:w="907" w:type="dxa"/>
            <w:tcBorders>
              <w:tl2br w:val="nil"/>
              <w:tr2bl w:val="nil"/>
            </w:tcBorders>
            <w:vAlign w:val="center"/>
          </w:tcPr>
          <w:p w14:paraId="2FD2436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HCO</w:t>
            </w:r>
            <w:r>
              <w:rPr>
                <w:rStyle w:val="89"/>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701146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8.49 </w:t>
            </w:r>
          </w:p>
        </w:tc>
        <w:tc>
          <w:tcPr>
            <w:tcW w:w="1740" w:type="dxa"/>
            <w:tcBorders>
              <w:tl2br w:val="nil"/>
              <w:tr2bl w:val="nil"/>
            </w:tcBorders>
            <w:vAlign w:val="center"/>
          </w:tcPr>
          <w:p w14:paraId="416BE5B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0.457 </w:t>
            </w:r>
          </w:p>
        </w:tc>
        <w:tc>
          <w:tcPr>
            <w:tcW w:w="1065" w:type="dxa"/>
            <w:vMerge w:val="restart"/>
            <w:tcBorders>
              <w:tl2br w:val="nil"/>
              <w:tr2bl w:val="nil"/>
            </w:tcBorders>
            <w:vAlign w:val="center"/>
          </w:tcPr>
          <w:p w14:paraId="33ADA28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9.66 </w:t>
            </w:r>
          </w:p>
        </w:tc>
        <w:tc>
          <w:tcPr>
            <w:tcW w:w="1026" w:type="dxa"/>
            <w:vMerge w:val="restart"/>
            <w:tcBorders>
              <w:tl2br w:val="nil"/>
              <w:tr2bl w:val="nil"/>
            </w:tcBorders>
            <w:vAlign w:val="center"/>
          </w:tcPr>
          <w:p w14:paraId="7D4960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8.91 </w:t>
            </w:r>
          </w:p>
        </w:tc>
        <w:tc>
          <w:tcPr>
            <w:tcW w:w="1052" w:type="dxa"/>
            <w:vMerge w:val="restart"/>
            <w:tcBorders>
              <w:tl2br w:val="nil"/>
              <w:tr2bl w:val="nil"/>
            </w:tcBorders>
            <w:vAlign w:val="center"/>
          </w:tcPr>
          <w:p w14:paraId="7453B73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-4.08</w:t>
            </w:r>
          </w:p>
        </w:tc>
        <w:tc>
          <w:tcPr>
            <w:tcW w:w="942" w:type="dxa"/>
            <w:vMerge w:val="restart"/>
            <w:tcBorders>
              <w:tl2br w:val="nil"/>
              <w:tr2bl w:val="nil"/>
            </w:tcBorders>
            <w:vAlign w:val="center"/>
          </w:tcPr>
          <w:p w14:paraId="0C5E165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0.7395</w:t>
            </w:r>
          </w:p>
        </w:tc>
      </w:tr>
      <w:tr w14:paraId="19B29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2CC1CFF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6E78BE9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4C126B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40" w:type="dxa"/>
            <w:tcBorders>
              <w:tl2br w:val="nil"/>
              <w:tr2bl w:val="nil"/>
            </w:tcBorders>
            <w:vAlign w:val="center"/>
          </w:tcPr>
          <w:p w14:paraId="0ADD16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65" w:type="dxa"/>
            <w:vMerge w:val="continue"/>
            <w:tcBorders>
              <w:tl2br w:val="nil"/>
              <w:tr2bl w:val="nil"/>
            </w:tcBorders>
            <w:vAlign w:val="center"/>
          </w:tcPr>
          <w:p w14:paraId="033FE45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0A6C810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B58943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1207E58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E8B8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FCADD4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069DDE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Ca</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753F99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5.25 </w:t>
            </w:r>
          </w:p>
        </w:tc>
        <w:tc>
          <w:tcPr>
            <w:tcW w:w="1740" w:type="dxa"/>
            <w:tcBorders>
              <w:tl2br w:val="nil"/>
              <w:tr2bl w:val="nil"/>
            </w:tcBorders>
            <w:vAlign w:val="center"/>
          </w:tcPr>
          <w:p w14:paraId="735254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0.283 </w:t>
            </w:r>
          </w:p>
        </w:tc>
        <w:tc>
          <w:tcPr>
            <w:tcW w:w="1065" w:type="dxa"/>
            <w:vMerge w:val="continue"/>
            <w:tcBorders>
              <w:tl2br w:val="nil"/>
              <w:tr2bl w:val="nil"/>
            </w:tcBorders>
            <w:vAlign w:val="center"/>
          </w:tcPr>
          <w:p w14:paraId="74C6B7D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4F3B582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3A6CF6C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152D80F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A3B6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FD628C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5E35CF9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65470D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2.29 </w:t>
            </w:r>
          </w:p>
        </w:tc>
        <w:tc>
          <w:tcPr>
            <w:tcW w:w="1740" w:type="dxa"/>
            <w:tcBorders>
              <w:tl2br w:val="nil"/>
              <w:tr2bl w:val="nil"/>
            </w:tcBorders>
            <w:vAlign w:val="center"/>
          </w:tcPr>
          <w:p w14:paraId="216BD7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0.123 </w:t>
            </w:r>
          </w:p>
        </w:tc>
        <w:tc>
          <w:tcPr>
            <w:tcW w:w="1065" w:type="dxa"/>
            <w:vMerge w:val="continue"/>
            <w:tcBorders>
              <w:tl2br w:val="nil"/>
              <w:tr2bl w:val="nil"/>
            </w:tcBorders>
            <w:vAlign w:val="center"/>
          </w:tcPr>
          <w:p w14:paraId="419BA2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18FE0C7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02F863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3E99E5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2125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82958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7E5FC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769EC55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0.41 </w:t>
            </w:r>
          </w:p>
        </w:tc>
        <w:tc>
          <w:tcPr>
            <w:tcW w:w="1740" w:type="dxa"/>
            <w:tcBorders>
              <w:tl2br w:val="nil"/>
              <w:tr2bl w:val="nil"/>
            </w:tcBorders>
            <w:vAlign w:val="center"/>
          </w:tcPr>
          <w:p w14:paraId="2C5ECB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0.022 </w:t>
            </w:r>
          </w:p>
        </w:tc>
        <w:tc>
          <w:tcPr>
            <w:tcW w:w="1065" w:type="dxa"/>
            <w:vMerge w:val="continue"/>
            <w:tcBorders>
              <w:tl2br w:val="nil"/>
              <w:tr2bl w:val="nil"/>
            </w:tcBorders>
            <w:vAlign w:val="center"/>
          </w:tcPr>
          <w:p w14:paraId="1619B24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547BA29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70F0E78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29B006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7F84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594936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1037045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05C574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0.76 </w:t>
            </w:r>
          </w:p>
        </w:tc>
        <w:tc>
          <w:tcPr>
            <w:tcW w:w="1740" w:type="dxa"/>
            <w:tcBorders>
              <w:tl2br w:val="nil"/>
              <w:tr2bl w:val="nil"/>
            </w:tcBorders>
            <w:vAlign w:val="center"/>
          </w:tcPr>
          <w:p w14:paraId="64609F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0.041 </w:t>
            </w:r>
          </w:p>
        </w:tc>
        <w:tc>
          <w:tcPr>
            <w:tcW w:w="1065" w:type="dxa"/>
            <w:vMerge w:val="continue"/>
            <w:tcBorders>
              <w:tl2br w:val="nil"/>
              <w:tr2bl w:val="nil"/>
            </w:tcBorders>
            <w:vAlign w:val="center"/>
          </w:tcPr>
          <w:p w14:paraId="62E5C8A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663C334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1CF39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77DAB88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514C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6BA8276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CAA0F2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1805BD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0.41 </w:t>
            </w:r>
          </w:p>
        </w:tc>
        <w:tc>
          <w:tcPr>
            <w:tcW w:w="1740" w:type="dxa"/>
            <w:tcBorders>
              <w:tl2br w:val="nil"/>
              <w:tr2bl w:val="nil"/>
            </w:tcBorders>
            <w:vAlign w:val="center"/>
          </w:tcPr>
          <w:p w14:paraId="48F492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0.022 </w:t>
            </w:r>
          </w:p>
        </w:tc>
        <w:tc>
          <w:tcPr>
            <w:tcW w:w="1065" w:type="dxa"/>
            <w:vMerge w:val="continue"/>
            <w:tcBorders>
              <w:tl2br w:val="nil"/>
              <w:tr2bl w:val="nil"/>
            </w:tcBorders>
            <w:vAlign w:val="center"/>
          </w:tcPr>
          <w:p w14:paraId="19D79F2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1D2AF73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48EC3D6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3360E5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2DD5C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545CF31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47A272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3248F0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0.96 </w:t>
            </w:r>
          </w:p>
        </w:tc>
        <w:tc>
          <w:tcPr>
            <w:tcW w:w="1740" w:type="dxa"/>
            <w:tcBorders>
              <w:tl2br w:val="nil"/>
              <w:tr2bl w:val="nil"/>
            </w:tcBorders>
            <w:vAlign w:val="center"/>
          </w:tcPr>
          <w:p w14:paraId="7889D4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0.052 </w:t>
            </w:r>
          </w:p>
        </w:tc>
        <w:tc>
          <w:tcPr>
            <w:tcW w:w="1065" w:type="dxa"/>
            <w:vMerge w:val="continue"/>
            <w:tcBorders>
              <w:tl2br w:val="nil"/>
              <w:tr2bl w:val="nil"/>
            </w:tcBorders>
            <w:vAlign w:val="center"/>
          </w:tcPr>
          <w:p w14:paraId="3729671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0343693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39DC053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2918B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D8D5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restart"/>
            <w:tcBorders>
              <w:tl2br w:val="nil"/>
              <w:tr2bl w:val="nil"/>
            </w:tcBorders>
            <w:vAlign w:val="center"/>
          </w:tcPr>
          <w:p w14:paraId="52B8BD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07" w:type="dxa"/>
            <w:tcBorders>
              <w:tl2br w:val="nil"/>
              <w:tr2bl w:val="nil"/>
            </w:tcBorders>
            <w:vAlign w:val="center"/>
          </w:tcPr>
          <w:p w14:paraId="2D957C2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HCO</w:t>
            </w:r>
            <w:r>
              <w:rPr>
                <w:rStyle w:val="89"/>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46E6BA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8.75 </w:t>
            </w:r>
          </w:p>
        </w:tc>
        <w:tc>
          <w:tcPr>
            <w:tcW w:w="1740" w:type="dxa"/>
            <w:tcBorders>
              <w:tl2br w:val="nil"/>
              <w:tr2bl w:val="nil"/>
            </w:tcBorders>
            <w:vAlign w:val="center"/>
          </w:tcPr>
          <w:p w14:paraId="50543F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0.476 </w:t>
            </w:r>
          </w:p>
        </w:tc>
        <w:tc>
          <w:tcPr>
            <w:tcW w:w="1065" w:type="dxa"/>
            <w:vMerge w:val="restart"/>
            <w:tcBorders>
              <w:tl2br w:val="nil"/>
              <w:tr2bl w:val="nil"/>
            </w:tcBorders>
            <w:vAlign w:val="center"/>
          </w:tcPr>
          <w:p w14:paraId="652D37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9.51 </w:t>
            </w:r>
          </w:p>
        </w:tc>
        <w:tc>
          <w:tcPr>
            <w:tcW w:w="1026" w:type="dxa"/>
            <w:vMerge w:val="restart"/>
            <w:tcBorders>
              <w:tl2br w:val="nil"/>
              <w:tr2bl w:val="nil"/>
            </w:tcBorders>
            <w:vAlign w:val="center"/>
          </w:tcPr>
          <w:p w14:paraId="3B6BBD2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8.87 </w:t>
            </w:r>
          </w:p>
        </w:tc>
        <w:tc>
          <w:tcPr>
            <w:tcW w:w="1052" w:type="dxa"/>
            <w:vMerge w:val="restart"/>
            <w:tcBorders>
              <w:tl2br w:val="nil"/>
              <w:tr2bl w:val="nil"/>
            </w:tcBorders>
            <w:vAlign w:val="center"/>
          </w:tcPr>
          <w:p w14:paraId="495A698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-3.49</w:t>
            </w:r>
          </w:p>
        </w:tc>
        <w:tc>
          <w:tcPr>
            <w:tcW w:w="942" w:type="dxa"/>
            <w:vMerge w:val="restart"/>
            <w:tcBorders>
              <w:tl2br w:val="nil"/>
              <w:tr2bl w:val="nil"/>
            </w:tcBorders>
            <w:vAlign w:val="center"/>
          </w:tcPr>
          <w:p w14:paraId="63DABA4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0.7355</w:t>
            </w:r>
          </w:p>
        </w:tc>
      </w:tr>
      <w:tr w14:paraId="47324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21C18D7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681923C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25B1D29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40" w:type="dxa"/>
            <w:tcBorders>
              <w:tl2br w:val="nil"/>
              <w:tr2bl w:val="nil"/>
            </w:tcBorders>
            <w:vAlign w:val="center"/>
          </w:tcPr>
          <w:p w14:paraId="77839B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65" w:type="dxa"/>
            <w:vMerge w:val="continue"/>
            <w:tcBorders>
              <w:tl2br w:val="nil"/>
              <w:tr2bl w:val="nil"/>
            </w:tcBorders>
            <w:vAlign w:val="center"/>
          </w:tcPr>
          <w:p w14:paraId="051923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6D6BE2C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2A316B7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B22A9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38F21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54DE84A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7092FB5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1615" w:type="dxa"/>
            <w:tcBorders>
              <w:tl2br w:val="nil"/>
              <w:tr2bl w:val="nil"/>
            </w:tcBorders>
            <w:vAlign w:val="center"/>
          </w:tcPr>
          <w:p w14:paraId="25FE46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5.05 </w:t>
            </w:r>
          </w:p>
        </w:tc>
        <w:tc>
          <w:tcPr>
            <w:tcW w:w="1740" w:type="dxa"/>
            <w:tcBorders>
              <w:tl2br w:val="nil"/>
              <w:tr2bl w:val="nil"/>
            </w:tcBorders>
            <w:vAlign w:val="center"/>
          </w:tcPr>
          <w:p w14:paraId="5097B7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0.275 </w:t>
            </w:r>
          </w:p>
        </w:tc>
        <w:tc>
          <w:tcPr>
            <w:tcW w:w="1065" w:type="dxa"/>
            <w:vMerge w:val="continue"/>
            <w:tcBorders>
              <w:tl2br w:val="nil"/>
              <w:tr2bl w:val="nil"/>
            </w:tcBorders>
            <w:vAlign w:val="center"/>
          </w:tcPr>
          <w:p w14:paraId="75991CC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2A1C40D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103410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EB6E6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B1F1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40831D7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0DD47C8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16CFA84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2.40 </w:t>
            </w:r>
          </w:p>
        </w:tc>
        <w:tc>
          <w:tcPr>
            <w:tcW w:w="1740" w:type="dxa"/>
            <w:tcBorders>
              <w:tl2br w:val="nil"/>
              <w:tr2bl w:val="nil"/>
            </w:tcBorders>
            <w:vAlign w:val="center"/>
          </w:tcPr>
          <w:p w14:paraId="14C4A6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0.131 </w:t>
            </w:r>
          </w:p>
        </w:tc>
        <w:tc>
          <w:tcPr>
            <w:tcW w:w="1065" w:type="dxa"/>
            <w:vMerge w:val="continue"/>
            <w:tcBorders>
              <w:tl2br w:val="nil"/>
              <w:tr2bl w:val="nil"/>
            </w:tcBorders>
            <w:vAlign w:val="center"/>
          </w:tcPr>
          <w:p w14:paraId="56EB5AC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27F4252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49B5CB5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2848A81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03138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32BC09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252381B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7BA2DE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0.26 </w:t>
            </w:r>
          </w:p>
        </w:tc>
        <w:tc>
          <w:tcPr>
            <w:tcW w:w="1740" w:type="dxa"/>
            <w:tcBorders>
              <w:tl2br w:val="nil"/>
              <w:tr2bl w:val="nil"/>
            </w:tcBorders>
            <w:vAlign w:val="center"/>
          </w:tcPr>
          <w:p w14:paraId="6491A5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0.014 </w:t>
            </w:r>
          </w:p>
        </w:tc>
        <w:tc>
          <w:tcPr>
            <w:tcW w:w="1065" w:type="dxa"/>
            <w:vMerge w:val="continue"/>
            <w:tcBorders>
              <w:tl2br w:val="nil"/>
              <w:tr2bl w:val="nil"/>
            </w:tcBorders>
            <w:vAlign w:val="center"/>
          </w:tcPr>
          <w:p w14:paraId="3A53EE6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37C3B7C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0A168DC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4EA2CDC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5326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57BF63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2459A9A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351788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0.49 </w:t>
            </w:r>
          </w:p>
        </w:tc>
        <w:tc>
          <w:tcPr>
            <w:tcW w:w="1740" w:type="dxa"/>
            <w:tcBorders>
              <w:tl2br w:val="nil"/>
              <w:tr2bl w:val="nil"/>
            </w:tcBorders>
            <w:vAlign w:val="center"/>
          </w:tcPr>
          <w:p w14:paraId="715484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0.027 </w:t>
            </w:r>
          </w:p>
        </w:tc>
        <w:tc>
          <w:tcPr>
            <w:tcW w:w="1065" w:type="dxa"/>
            <w:vMerge w:val="continue"/>
            <w:tcBorders>
              <w:tl2br w:val="nil"/>
              <w:tr2bl w:val="nil"/>
            </w:tcBorders>
            <w:vAlign w:val="center"/>
          </w:tcPr>
          <w:p w14:paraId="652AF66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0CAD1EB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6F5BE30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9CE5EB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59B92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570E455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5390549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43245F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0.38 </w:t>
            </w:r>
          </w:p>
        </w:tc>
        <w:tc>
          <w:tcPr>
            <w:tcW w:w="1740" w:type="dxa"/>
            <w:tcBorders>
              <w:tl2br w:val="nil"/>
              <w:tr2bl w:val="nil"/>
            </w:tcBorders>
            <w:vAlign w:val="center"/>
          </w:tcPr>
          <w:p w14:paraId="1D5954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0.021 </w:t>
            </w:r>
          </w:p>
        </w:tc>
        <w:tc>
          <w:tcPr>
            <w:tcW w:w="1065" w:type="dxa"/>
            <w:vMerge w:val="continue"/>
            <w:tcBorders>
              <w:tl2br w:val="nil"/>
              <w:tr2bl w:val="nil"/>
            </w:tcBorders>
            <w:vAlign w:val="center"/>
          </w:tcPr>
          <w:p w14:paraId="0C1D0AD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7E493E9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6D04108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0DBFCC9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61E66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27B86DF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463C4E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27EFF2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1.03 </w:t>
            </w:r>
          </w:p>
        </w:tc>
        <w:tc>
          <w:tcPr>
            <w:tcW w:w="1740" w:type="dxa"/>
            <w:tcBorders>
              <w:tl2br w:val="nil"/>
              <w:tr2bl w:val="nil"/>
            </w:tcBorders>
            <w:vAlign w:val="center"/>
          </w:tcPr>
          <w:p w14:paraId="6D6A6A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0.056 </w:t>
            </w:r>
          </w:p>
        </w:tc>
        <w:tc>
          <w:tcPr>
            <w:tcW w:w="1065" w:type="dxa"/>
            <w:vMerge w:val="continue"/>
            <w:tcBorders>
              <w:tl2br w:val="nil"/>
              <w:tr2bl w:val="nil"/>
            </w:tcBorders>
            <w:vAlign w:val="center"/>
          </w:tcPr>
          <w:p w14:paraId="53E4C1D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26" w:type="dxa"/>
            <w:vMerge w:val="continue"/>
            <w:tcBorders>
              <w:tl2br w:val="nil"/>
              <w:tr2bl w:val="nil"/>
            </w:tcBorders>
            <w:vAlign w:val="center"/>
          </w:tcPr>
          <w:p w14:paraId="703976E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1052" w:type="dxa"/>
            <w:vMerge w:val="continue"/>
            <w:tcBorders>
              <w:tl2br w:val="nil"/>
              <w:tr2bl w:val="nil"/>
            </w:tcBorders>
            <w:vAlign w:val="center"/>
          </w:tcPr>
          <w:p w14:paraId="61CDA26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42" w:type="dxa"/>
            <w:vMerge w:val="continue"/>
            <w:tcBorders>
              <w:tl2br w:val="nil"/>
              <w:tr2bl w:val="nil"/>
            </w:tcBorders>
            <w:vAlign w:val="center"/>
          </w:tcPr>
          <w:p w14:paraId="1DE1365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70578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restart"/>
            <w:tcBorders>
              <w:tl2br w:val="nil"/>
              <w:tr2bl w:val="nil"/>
            </w:tcBorders>
            <w:vAlign w:val="center"/>
          </w:tcPr>
          <w:p w14:paraId="67E4C5A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t>#</w:t>
            </w:r>
          </w:p>
        </w:tc>
        <w:tc>
          <w:tcPr>
            <w:tcW w:w="907" w:type="dxa"/>
            <w:tcBorders>
              <w:tl2br w:val="nil"/>
              <w:tr2bl w:val="nil"/>
            </w:tcBorders>
            <w:vAlign w:val="center"/>
          </w:tcPr>
          <w:p w14:paraId="03D07BA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193050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8.21 </w:t>
            </w:r>
          </w:p>
        </w:tc>
        <w:tc>
          <w:tcPr>
            <w:tcW w:w="1740" w:type="dxa"/>
            <w:tcBorders>
              <w:tl2br w:val="nil"/>
              <w:tr2bl w:val="nil"/>
            </w:tcBorders>
            <w:vAlign w:val="center"/>
          </w:tcPr>
          <w:p w14:paraId="00F0FB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0.458 </w:t>
            </w:r>
          </w:p>
        </w:tc>
        <w:tc>
          <w:tcPr>
            <w:tcW w:w="1065" w:type="dxa"/>
            <w:vMerge w:val="restart"/>
            <w:tcBorders>
              <w:tl2br w:val="nil"/>
              <w:tr2bl w:val="nil"/>
            </w:tcBorders>
            <w:vAlign w:val="center"/>
          </w:tcPr>
          <w:p w14:paraId="2A4A871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9.26 </w:t>
            </w:r>
          </w:p>
        </w:tc>
        <w:tc>
          <w:tcPr>
            <w:tcW w:w="1026" w:type="dxa"/>
            <w:vMerge w:val="restart"/>
            <w:tcBorders>
              <w:tl2br w:val="nil"/>
              <w:tr2bl w:val="nil"/>
            </w:tcBorders>
            <w:vAlign w:val="center"/>
          </w:tcPr>
          <w:p w14:paraId="60F22A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t xml:space="preserve">8.66 </w:t>
            </w:r>
          </w:p>
        </w:tc>
        <w:tc>
          <w:tcPr>
            <w:tcW w:w="1052" w:type="dxa"/>
            <w:vMerge w:val="restart"/>
            <w:tcBorders>
              <w:tl2br w:val="nil"/>
              <w:tr2bl w:val="nil"/>
            </w:tcBorders>
            <w:vAlign w:val="center"/>
          </w:tcPr>
          <w:p w14:paraId="585EE5F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-3.32</w:t>
            </w:r>
          </w:p>
        </w:tc>
        <w:tc>
          <w:tcPr>
            <w:tcW w:w="942" w:type="dxa"/>
            <w:vMerge w:val="restart"/>
            <w:tcBorders>
              <w:tl2br w:val="nil"/>
              <w:tr2bl w:val="nil"/>
            </w:tcBorders>
            <w:vAlign w:val="center"/>
          </w:tcPr>
          <w:p w14:paraId="5E2D2ED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0.7088</w:t>
            </w:r>
          </w:p>
        </w:tc>
      </w:tr>
      <w:tr w14:paraId="778FE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5F62B2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6B48C7E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FA8431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40" w:type="dxa"/>
            <w:tcBorders>
              <w:tl2br w:val="nil"/>
              <w:tr2bl w:val="nil"/>
            </w:tcBorders>
            <w:vAlign w:val="center"/>
          </w:tcPr>
          <w:p w14:paraId="05C4F8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1065" w:type="dxa"/>
            <w:vMerge w:val="continue"/>
            <w:tcBorders>
              <w:tl2br w:val="nil"/>
              <w:tr2bl w:val="nil"/>
            </w:tcBorders>
            <w:vAlign w:val="center"/>
          </w:tcPr>
          <w:p w14:paraId="4806383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26" w:type="dxa"/>
            <w:vMerge w:val="continue"/>
            <w:tcBorders>
              <w:tl2br w:val="nil"/>
              <w:tr2bl w:val="nil"/>
            </w:tcBorders>
            <w:vAlign w:val="center"/>
          </w:tcPr>
          <w:p w14:paraId="3DC5754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52" w:type="dxa"/>
            <w:vMerge w:val="continue"/>
            <w:tcBorders>
              <w:tl2br w:val="nil"/>
              <w:tr2bl w:val="nil"/>
            </w:tcBorders>
            <w:vAlign w:val="center"/>
          </w:tcPr>
          <w:p w14:paraId="4EC4260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42" w:type="dxa"/>
            <w:vMerge w:val="continue"/>
            <w:tcBorders>
              <w:tl2br w:val="nil"/>
              <w:tr2bl w:val="nil"/>
            </w:tcBorders>
            <w:vAlign w:val="center"/>
          </w:tcPr>
          <w:p w14:paraId="2572D4D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r w14:paraId="4EADC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8EDE7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788FD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Ca</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0EAAD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4.71 </w:t>
            </w:r>
          </w:p>
        </w:tc>
        <w:tc>
          <w:tcPr>
            <w:tcW w:w="1740" w:type="dxa"/>
            <w:tcBorders>
              <w:tl2br w:val="nil"/>
              <w:tr2bl w:val="nil"/>
            </w:tcBorders>
            <w:vAlign w:val="center"/>
          </w:tcPr>
          <w:p w14:paraId="4B5BE9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0.263 </w:t>
            </w:r>
          </w:p>
        </w:tc>
        <w:tc>
          <w:tcPr>
            <w:tcW w:w="1065" w:type="dxa"/>
            <w:vMerge w:val="continue"/>
            <w:tcBorders>
              <w:tl2br w:val="nil"/>
              <w:tr2bl w:val="nil"/>
            </w:tcBorders>
            <w:vAlign w:val="center"/>
          </w:tcPr>
          <w:p w14:paraId="13B4E7A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26" w:type="dxa"/>
            <w:vMerge w:val="continue"/>
            <w:tcBorders>
              <w:tl2br w:val="nil"/>
              <w:tr2bl w:val="nil"/>
            </w:tcBorders>
            <w:vAlign w:val="center"/>
          </w:tcPr>
          <w:p w14:paraId="4607C4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52" w:type="dxa"/>
            <w:vMerge w:val="continue"/>
            <w:tcBorders>
              <w:tl2br w:val="nil"/>
              <w:tr2bl w:val="nil"/>
            </w:tcBorders>
            <w:vAlign w:val="center"/>
          </w:tcPr>
          <w:p w14:paraId="5257226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42" w:type="dxa"/>
            <w:vMerge w:val="continue"/>
            <w:tcBorders>
              <w:tl2br w:val="nil"/>
              <w:tr2bl w:val="nil"/>
            </w:tcBorders>
            <w:vAlign w:val="center"/>
          </w:tcPr>
          <w:p w14:paraId="07C5F4F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r w14:paraId="38E20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624DDB6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6119C94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320419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2.65 </w:t>
            </w:r>
          </w:p>
        </w:tc>
        <w:tc>
          <w:tcPr>
            <w:tcW w:w="1740" w:type="dxa"/>
            <w:tcBorders>
              <w:tl2br w:val="nil"/>
              <w:tr2bl w:val="nil"/>
            </w:tcBorders>
            <w:vAlign w:val="center"/>
          </w:tcPr>
          <w:p w14:paraId="3A0985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0.148 </w:t>
            </w:r>
          </w:p>
        </w:tc>
        <w:tc>
          <w:tcPr>
            <w:tcW w:w="1065" w:type="dxa"/>
            <w:vMerge w:val="continue"/>
            <w:tcBorders>
              <w:tl2br w:val="nil"/>
              <w:tr2bl w:val="nil"/>
            </w:tcBorders>
            <w:vAlign w:val="center"/>
          </w:tcPr>
          <w:p w14:paraId="5537AD7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26" w:type="dxa"/>
            <w:vMerge w:val="continue"/>
            <w:tcBorders>
              <w:tl2br w:val="nil"/>
              <w:tr2bl w:val="nil"/>
            </w:tcBorders>
            <w:vAlign w:val="center"/>
          </w:tcPr>
          <w:p w14:paraId="16BC3CD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52" w:type="dxa"/>
            <w:vMerge w:val="continue"/>
            <w:tcBorders>
              <w:tl2br w:val="nil"/>
              <w:tr2bl w:val="nil"/>
            </w:tcBorders>
            <w:vAlign w:val="center"/>
          </w:tcPr>
          <w:p w14:paraId="0269D65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42" w:type="dxa"/>
            <w:vMerge w:val="continue"/>
            <w:tcBorders>
              <w:tl2br w:val="nil"/>
              <w:tr2bl w:val="nil"/>
            </w:tcBorders>
            <w:vAlign w:val="center"/>
          </w:tcPr>
          <w:p w14:paraId="3B378E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r w14:paraId="22575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167DACC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6D91A6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5B9589C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0.34 </w:t>
            </w:r>
          </w:p>
        </w:tc>
        <w:tc>
          <w:tcPr>
            <w:tcW w:w="1740" w:type="dxa"/>
            <w:tcBorders>
              <w:tl2br w:val="nil"/>
              <w:tr2bl w:val="nil"/>
            </w:tcBorders>
            <w:vAlign w:val="center"/>
          </w:tcPr>
          <w:p w14:paraId="237F548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0.019 </w:t>
            </w:r>
          </w:p>
        </w:tc>
        <w:tc>
          <w:tcPr>
            <w:tcW w:w="1065" w:type="dxa"/>
            <w:vMerge w:val="continue"/>
            <w:tcBorders>
              <w:tl2br w:val="nil"/>
              <w:tr2bl w:val="nil"/>
            </w:tcBorders>
            <w:vAlign w:val="center"/>
          </w:tcPr>
          <w:p w14:paraId="06344C7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26" w:type="dxa"/>
            <w:vMerge w:val="continue"/>
            <w:tcBorders>
              <w:tl2br w:val="nil"/>
              <w:tr2bl w:val="nil"/>
            </w:tcBorders>
            <w:vAlign w:val="center"/>
          </w:tcPr>
          <w:p w14:paraId="73400E1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52" w:type="dxa"/>
            <w:vMerge w:val="continue"/>
            <w:tcBorders>
              <w:tl2br w:val="nil"/>
              <w:tr2bl w:val="nil"/>
            </w:tcBorders>
            <w:vAlign w:val="center"/>
          </w:tcPr>
          <w:p w14:paraId="170A83E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42" w:type="dxa"/>
            <w:vMerge w:val="continue"/>
            <w:tcBorders>
              <w:tl2br w:val="nil"/>
              <w:tr2bl w:val="nil"/>
            </w:tcBorders>
            <w:vAlign w:val="center"/>
          </w:tcPr>
          <w:p w14:paraId="7DEB450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r w14:paraId="1E0A6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3C3334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27DB27B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6853FE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0.70 </w:t>
            </w:r>
          </w:p>
        </w:tc>
        <w:tc>
          <w:tcPr>
            <w:tcW w:w="1740" w:type="dxa"/>
            <w:tcBorders>
              <w:tl2br w:val="nil"/>
              <w:tr2bl w:val="nil"/>
            </w:tcBorders>
            <w:vAlign w:val="center"/>
          </w:tcPr>
          <w:p w14:paraId="707F482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0.039 </w:t>
            </w:r>
          </w:p>
        </w:tc>
        <w:tc>
          <w:tcPr>
            <w:tcW w:w="1065" w:type="dxa"/>
            <w:vMerge w:val="continue"/>
            <w:tcBorders>
              <w:tl2br w:val="nil"/>
              <w:tr2bl w:val="nil"/>
            </w:tcBorders>
            <w:vAlign w:val="center"/>
          </w:tcPr>
          <w:p w14:paraId="59B0C9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26" w:type="dxa"/>
            <w:vMerge w:val="continue"/>
            <w:tcBorders>
              <w:tl2br w:val="nil"/>
              <w:tr2bl w:val="nil"/>
            </w:tcBorders>
            <w:vAlign w:val="center"/>
          </w:tcPr>
          <w:p w14:paraId="5AAB1A9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1052" w:type="dxa"/>
            <w:vMerge w:val="continue"/>
            <w:tcBorders>
              <w:tl2br w:val="nil"/>
              <w:tr2bl w:val="nil"/>
            </w:tcBorders>
            <w:vAlign w:val="center"/>
          </w:tcPr>
          <w:p w14:paraId="2AC7477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c>
          <w:tcPr>
            <w:tcW w:w="942" w:type="dxa"/>
            <w:vMerge w:val="continue"/>
            <w:tcBorders>
              <w:tl2br w:val="nil"/>
              <w:tr2bl w:val="nil"/>
            </w:tcBorders>
            <w:vAlign w:val="center"/>
          </w:tcPr>
          <w:p w14:paraId="16B0E96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14:textFill>
                  <w14:solidFill>
                    <w14:schemeClr w14:val="tx1"/>
                  </w14:solidFill>
                </w14:textFill>
              </w:rPr>
            </w:pPr>
          </w:p>
        </w:tc>
      </w:tr>
      <w:tr w14:paraId="17238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42454A7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306451F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3589F8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0.38 </w:t>
            </w:r>
          </w:p>
        </w:tc>
        <w:tc>
          <w:tcPr>
            <w:tcW w:w="1740" w:type="dxa"/>
            <w:tcBorders>
              <w:tl2br w:val="nil"/>
              <w:tr2bl w:val="nil"/>
            </w:tcBorders>
            <w:vAlign w:val="center"/>
          </w:tcPr>
          <w:p w14:paraId="2E10EF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0.021 </w:t>
            </w:r>
          </w:p>
        </w:tc>
        <w:tc>
          <w:tcPr>
            <w:tcW w:w="1065" w:type="dxa"/>
            <w:vMerge w:val="continue"/>
            <w:tcBorders>
              <w:tl2br w:val="nil"/>
              <w:tr2bl w:val="nil"/>
            </w:tcBorders>
            <w:vAlign w:val="center"/>
          </w:tcPr>
          <w:p w14:paraId="53D336E1">
            <w:pPr>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c>
          <w:tcPr>
            <w:tcW w:w="1026" w:type="dxa"/>
            <w:vMerge w:val="continue"/>
            <w:tcBorders>
              <w:tl2br w:val="nil"/>
              <w:tr2bl w:val="nil"/>
            </w:tcBorders>
            <w:vAlign w:val="center"/>
          </w:tcPr>
          <w:p w14:paraId="624C1B2B">
            <w:pPr>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c>
          <w:tcPr>
            <w:tcW w:w="1052" w:type="dxa"/>
            <w:vMerge w:val="continue"/>
            <w:tcBorders>
              <w:tl2br w:val="nil"/>
              <w:tr2bl w:val="nil"/>
            </w:tcBorders>
            <w:vAlign w:val="center"/>
          </w:tcPr>
          <w:p w14:paraId="5FBB0382">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c>
          <w:tcPr>
            <w:tcW w:w="942" w:type="dxa"/>
            <w:vMerge w:val="continue"/>
            <w:tcBorders>
              <w:tl2br w:val="nil"/>
              <w:tr2bl w:val="nil"/>
            </w:tcBorders>
            <w:vAlign w:val="center"/>
          </w:tcPr>
          <w:p w14:paraId="68D71911">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r>
      <w:tr w14:paraId="7788E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1" w:type="dxa"/>
            <w:vMerge w:val="continue"/>
            <w:tcBorders>
              <w:tl2br w:val="nil"/>
              <w:tr2bl w:val="nil"/>
            </w:tcBorders>
            <w:vAlign w:val="center"/>
          </w:tcPr>
          <w:p w14:paraId="7341364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07" w:type="dxa"/>
            <w:tcBorders>
              <w:tl2br w:val="nil"/>
              <w:tr2bl w:val="nil"/>
            </w:tcBorders>
            <w:vAlign w:val="center"/>
          </w:tcPr>
          <w:p w14:paraId="4112172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615" w:type="dxa"/>
            <w:tcBorders>
              <w:tl2br w:val="nil"/>
              <w:tr2bl w:val="nil"/>
            </w:tcBorders>
            <w:vAlign w:val="center"/>
          </w:tcPr>
          <w:p w14:paraId="006AAC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0.92 </w:t>
            </w:r>
          </w:p>
        </w:tc>
        <w:tc>
          <w:tcPr>
            <w:tcW w:w="1740" w:type="dxa"/>
            <w:tcBorders>
              <w:tl2br w:val="nil"/>
              <w:tr2bl w:val="nil"/>
            </w:tcBorders>
            <w:vAlign w:val="center"/>
          </w:tcPr>
          <w:p w14:paraId="1B8D33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0.051 </w:t>
            </w:r>
          </w:p>
        </w:tc>
        <w:tc>
          <w:tcPr>
            <w:tcW w:w="1065" w:type="dxa"/>
            <w:vMerge w:val="continue"/>
            <w:tcBorders>
              <w:tl2br w:val="nil"/>
              <w:tr2bl w:val="nil"/>
            </w:tcBorders>
            <w:vAlign w:val="center"/>
          </w:tcPr>
          <w:p w14:paraId="1506CDD5">
            <w:pPr>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c>
          <w:tcPr>
            <w:tcW w:w="1026" w:type="dxa"/>
            <w:vMerge w:val="continue"/>
            <w:tcBorders>
              <w:tl2br w:val="nil"/>
              <w:tr2bl w:val="nil"/>
            </w:tcBorders>
            <w:vAlign w:val="center"/>
          </w:tcPr>
          <w:p w14:paraId="132BC937">
            <w:pPr>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c>
          <w:tcPr>
            <w:tcW w:w="1052" w:type="dxa"/>
            <w:vMerge w:val="continue"/>
            <w:tcBorders>
              <w:tl2br w:val="nil"/>
              <w:tr2bl w:val="nil"/>
            </w:tcBorders>
            <w:vAlign w:val="center"/>
          </w:tcPr>
          <w:p w14:paraId="46CA6A0E">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c>
          <w:tcPr>
            <w:tcW w:w="942" w:type="dxa"/>
            <w:vMerge w:val="continue"/>
            <w:tcBorders>
              <w:tl2br w:val="nil"/>
              <w:tr2bl w:val="nil"/>
            </w:tcBorders>
            <w:vAlign w:val="center"/>
          </w:tcPr>
          <w:p w14:paraId="35ADE627">
            <w:pPr>
              <w:keepNext w:val="0"/>
              <w:keepLines w:val="0"/>
              <w:pageBreakBefore w:val="0"/>
              <w:widowControl w:val="0"/>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00" w:themeColor="text1"/>
                <w:w w:val="99"/>
                <w:kern w:val="2"/>
                <w:sz w:val="21"/>
                <w:szCs w:val="21"/>
                <w:highlight w:val="none"/>
                <w14:textFill>
                  <w14:solidFill>
                    <w14:schemeClr w14:val="tx1"/>
                  </w14:solidFill>
                </w14:textFill>
              </w:rPr>
            </w:pPr>
          </w:p>
        </w:tc>
      </w:tr>
    </w:tbl>
    <w:p w14:paraId="1AC5999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p>
    <w:p w14:paraId="7C0C7F9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表4.3-10</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承压水水质八大离子浓度评价结果</w:t>
      </w:r>
    </w:p>
    <w:tbl>
      <w:tblPr>
        <w:tblStyle w:val="18"/>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093"/>
        <w:gridCol w:w="1552"/>
        <w:gridCol w:w="1710"/>
        <w:gridCol w:w="990"/>
        <w:gridCol w:w="1080"/>
        <w:gridCol w:w="1065"/>
        <w:gridCol w:w="951"/>
      </w:tblGrid>
      <w:tr w14:paraId="1552D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47" w:type="dxa"/>
            <w:vMerge w:val="restart"/>
            <w:tcBorders>
              <w:tl2br w:val="nil"/>
              <w:tr2bl w:val="nil"/>
            </w:tcBorders>
            <w:vAlign w:val="center"/>
          </w:tcPr>
          <w:p w14:paraId="62EFA28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监测井点位</w:t>
            </w:r>
          </w:p>
        </w:tc>
        <w:tc>
          <w:tcPr>
            <w:tcW w:w="1093" w:type="dxa"/>
            <w:vMerge w:val="restart"/>
            <w:tcBorders>
              <w:tl2br w:val="nil"/>
              <w:tr2bl w:val="nil"/>
            </w:tcBorders>
            <w:vAlign w:val="center"/>
          </w:tcPr>
          <w:p w14:paraId="537D542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离子名称</w:t>
            </w:r>
          </w:p>
        </w:tc>
        <w:tc>
          <w:tcPr>
            <w:tcW w:w="1552" w:type="dxa"/>
            <w:vMerge w:val="restart"/>
            <w:tcBorders>
              <w:tl2br w:val="nil"/>
              <w:tr2bl w:val="nil"/>
            </w:tcBorders>
            <w:vAlign w:val="center"/>
          </w:tcPr>
          <w:p w14:paraId="7E0BBC4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毫克当量（</w:t>
            </w:r>
            <w: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eq</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/L）</w:t>
            </w:r>
          </w:p>
        </w:tc>
        <w:tc>
          <w:tcPr>
            <w:tcW w:w="1710" w:type="dxa"/>
            <w:vMerge w:val="restart"/>
            <w:tcBorders>
              <w:tl2br w:val="nil"/>
              <w:tr2bl w:val="nil"/>
            </w:tcBorders>
            <w:vAlign w:val="center"/>
          </w:tcPr>
          <w:p w14:paraId="31F1897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毫克当量百分比（%）</w:t>
            </w:r>
          </w:p>
        </w:tc>
        <w:tc>
          <w:tcPr>
            <w:tcW w:w="2070" w:type="dxa"/>
            <w:gridSpan w:val="2"/>
            <w:tcBorders>
              <w:tl2br w:val="nil"/>
              <w:tr2bl w:val="nil"/>
            </w:tcBorders>
            <w:vAlign w:val="center"/>
          </w:tcPr>
          <w:p w14:paraId="358258C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离子毫克当量合计（</w:t>
            </w:r>
            <w:r>
              <w:rPr>
                <w:rFonts w:hint="default" w:ascii="Times New Roman" w:hAnsi="Times New Roman" w:cs="Times New Roman"/>
                <w:b/>
                <w:bCs/>
                <w:color w:val="000000" w:themeColor="text1"/>
                <w:kern w:val="2"/>
                <w:sz w:val="21"/>
                <w:szCs w:val="21"/>
                <w:highlight w:val="none"/>
                <w:lang w:val="en-US" w:eastAsia="zh-CN"/>
                <w14:textFill>
                  <w14:solidFill>
                    <w14:schemeClr w14:val="tx1"/>
                  </w14:solidFill>
                </w14:textFill>
              </w:rPr>
              <w:t>meq</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/L）</w:t>
            </w:r>
          </w:p>
        </w:tc>
        <w:tc>
          <w:tcPr>
            <w:tcW w:w="1065" w:type="dxa"/>
            <w:vMerge w:val="restart"/>
            <w:tcBorders>
              <w:tl2br w:val="nil"/>
              <w:tr2bl w:val="nil"/>
            </w:tcBorders>
            <w:vAlign w:val="center"/>
          </w:tcPr>
          <w:p w14:paraId="4866BA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相对误差%</w:t>
            </w:r>
          </w:p>
        </w:tc>
        <w:tc>
          <w:tcPr>
            <w:tcW w:w="951" w:type="dxa"/>
            <w:vMerge w:val="restart"/>
            <w:tcBorders>
              <w:tl2br w:val="nil"/>
              <w:tr2bl w:val="nil"/>
            </w:tcBorders>
            <w:vAlign w:val="center"/>
          </w:tcPr>
          <w:p w14:paraId="3500C4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矿化度</w:t>
            </w:r>
          </w:p>
        </w:tc>
      </w:tr>
      <w:tr w14:paraId="1168F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847" w:type="dxa"/>
            <w:vMerge w:val="continue"/>
            <w:tcBorders>
              <w:tl2br w:val="nil"/>
              <w:tr2bl w:val="nil"/>
            </w:tcBorders>
            <w:vAlign w:val="center"/>
          </w:tcPr>
          <w:p w14:paraId="546F7AA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93" w:type="dxa"/>
            <w:vMerge w:val="continue"/>
            <w:tcBorders>
              <w:tl2br w:val="nil"/>
              <w:tr2bl w:val="nil"/>
            </w:tcBorders>
            <w:vAlign w:val="center"/>
          </w:tcPr>
          <w:p w14:paraId="7AF997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552" w:type="dxa"/>
            <w:vMerge w:val="continue"/>
            <w:tcBorders>
              <w:tl2br w:val="nil"/>
              <w:tr2bl w:val="nil"/>
            </w:tcBorders>
            <w:vAlign w:val="center"/>
          </w:tcPr>
          <w:p w14:paraId="49797FD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710" w:type="dxa"/>
            <w:vMerge w:val="continue"/>
            <w:tcBorders>
              <w:tl2br w:val="nil"/>
              <w:tr2bl w:val="nil"/>
            </w:tcBorders>
            <w:vAlign w:val="center"/>
          </w:tcPr>
          <w:p w14:paraId="1B9A533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90" w:type="dxa"/>
            <w:tcBorders>
              <w:tl2br w:val="nil"/>
              <w:tr2bl w:val="nil"/>
            </w:tcBorders>
            <w:vAlign w:val="center"/>
          </w:tcPr>
          <w:p w14:paraId="1BE9336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阴离子</w:t>
            </w:r>
          </w:p>
        </w:tc>
        <w:tc>
          <w:tcPr>
            <w:tcW w:w="1080" w:type="dxa"/>
            <w:tcBorders>
              <w:tl2br w:val="nil"/>
              <w:tr2bl w:val="nil"/>
            </w:tcBorders>
            <w:vAlign w:val="center"/>
          </w:tcPr>
          <w:p w14:paraId="0128128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阳离子</w:t>
            </w:r>
          </w:p>
        </w:tc>
        <w:tc>
          <w:tcPr>
            <w:tcW w:w="1065" w:type="dxa"/>
            <w:vMerge w:val="continue"/>
            <w:tcBorders>
              <w:tl2br w:val="nil"/>
              <w:tr2bl w:val="nil"/>
            </w:tcBorders>
            <w:vAlign w:val="center"/>
          </w:tcPr>
          <w:p w14:paraId="7BC9FF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951" w:type="dxa"/>
            <w:vMerge w:val="continue"/>
            <w:tcBorders>
              <w:tl2br w:val="nil"/>
              <w:tr2bl w:val="nil"/>
            </w:tcBorders>
            <w:vAlign w:val="center"/>
          </w:tcPr>
          <w:p w14:paraId="71F66CA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14:paraId="45F66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7" w:type="dxa"/>
            <w:vMerge w:val="restart"/>
            <w:tcBorders>
              <w:tl2br w:val="nil"/>
              <w:tr2bl w:val="nil"/>
            </w:tcBorders>
            <w:vAlign w:val="center"/>
          </w:tcPr>
          <w:p w14:paraId="245D754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093" w:type="dxa"/>
            <w:tcBorders>
              <w:tl2br w:val="nil"/>
              <w:tr2bl w:val="nil"/>
            </w:tcBorders>
            <w:vAlign w:val="center"/>
          </w:tcPr>
          <w:p w14:paraId="5806E20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0D0FAF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9.59 </w:t>
            </w:r>
          </w:p>
        </w:tc>
        <w:tc>
          <w:tcPr>
            <w:tcW w:w="1710" w:type="dxa"/>
            <w:tcBorders>
              <w:tl2br w:val="nil"/>
              <w:tr2bl w:val="nil"/>
            </w:tcBorders>
            <w:vAlign w:val="center"/>
          </w:tcPr>
          <w:p w14:paraId="0038945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0.426 </w:t>
            </w:r>
          </w:p>
        </w:tc>
        <w:tc>
          <w:tcPr>
            <w:tcW w:w="990" w:type="dxa"/>
            <w:vMerge w:val="restart"/>
            <w:tcBorders>
              <w:tl2br w:val="nil"/>
              <w:tr2bl w:val="nil"/>
            </w:tcBorders>
            <w:vAlign w:val="center"/>
          </w:tcPr>
          <w:p w14:paraId="5EE07E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10.86 </w:t>
            </w:r>
          </w:p>
        </w:tc>
        <w:tc>
          <w:tcPr>
            <w:tcW w:w="1080" w:type="dxa"/>
            <w:vMerge w:val="restart"/>
            <w:tcBorders>
              <w:tl2br w:val="nil"/>
              <w:tr2bl w:val="nil"/>
            </w:tcBorders>
            <w:vAlign w:val="center"/>
          </w:tcPr>
          <w:p w14:paraId="02402F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11.63 </w:t>
            </w:r>
          </w:p>
        </w:tc>
        <w:tc>
          <w:tcPr>
            <w:tcW w:w="1065" w:type="dxa"/>
            <w:vMerge w:val="restart"/>
            <w:tcBorders>
              <w:tl2br w:val="nil"/>
              <w:tr2bl w:val="nil"/>
            </w:tcBorders>
            <w:vAlign w:val="center"/>
          </w:tcPr>
          <w:p w14:paraId="2DFA046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3.45</w:t>
            </w:r>
          </w:p>
        </w:tc>
        <w:tc>
          <w:tcPr>
            <w:tcW w:w="951" w:type="dxa"/>
            <w:vMerge w:val="restart"/>
            <w:tcBorders>
              <w:tl2br w:val="nil"/>
              <w:tr2bl w:val="nil"/>
            </w:tcBorders>
            <w:vAlign w:val="center"/>
          </w:tcPr>
          <w:p w14:paraId="3DE1AFC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0.8481</w:t>
            </w:r>
          </w:p>
        </w:tc>
      </w:tr>
      <w:tr w14:paraId="1FD98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713208A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16046CA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40497B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10" w:type="dxa"/>
            <w:tcBorders>
              <w:tl2br w:val="nil"/>
              <w:tr2bl w:val="nil"/>
            </w:tcBorders>
            <w:vAlign w:val="center"/>
          </w:tcPr>
          <w:p w14:paraId="58C0CC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990" w:type="dxa"/>
            <w:vMerge w:val="continue"/>
            <w:tcBorders>
              <w:tl2br w:val="nil"/>
              <w:tr2bl w:val="nil"/>
            </w:tcBorders>
            <w:vAlign w:val="center"/>
          </w:tcPr>
          <w:p w14:paraId="40C850D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3DDB72C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68054A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37143E6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653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453E44D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08EA193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1552" w:type="dxa"/>
            <w:tcBorders>
              <w:tl2br w:val="nil"/>
              <w:tr2bl w:val="nil"/>
            </w:tcBorders>
            <w:vAlign w:val="center"/>
          </w:tcPr>
          <w:p w14:paraId="2A80FB3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5.55 </w:t>
            </w:r>
          </w:p>
        </w:tc>
        <w:tc>
          <w:tcPr>
            <w:tcW w:w="1710" w:type="dxa"/>
            <w:tcBorders>
              <w:tl2br w:val="nil"/>
              <w:tr2bl w:val="nil"/>
            </w:tcBorders>
            <w:vAlign w:val="center"/>
          </w:tcPr>
          <w:p w14:paraId="1EA8A1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0.247 </w:t>
            </w:r>
          </w:p>
        </w:tc>
        <w:tc>
          <w:tcPr>
            <w:tcW w:w="990" w:type="dxa"/>
            <w:vMerge w:val="continue"/>
            <w:tcBorders>
              <w:tl2br w:val="nil"/>
              <w:tr2bl w:val="nil"/>
            </w:tcBorders>
            <w:vAlign w:val="center"/>
          </w:tcPr>
          <w:p w14:paraId="2A3D20D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768F5F9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0D77259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6734488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4EF3D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59790E5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417234E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74C8C5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4.44 </w:t>
            </w:r>
          </w:p>
        </w:tc>
        <w:tc>
          <w:tcPr>
            <w:tcW w:w="1710" w:type="dxa"/>
            <w:tcBorders>
              <w:tl2br w:val="nil"/>
              <w:tr2bl w:val="nil"/>
            </w:tcBorders>
            <w:vAlign w:val="center"/>
          </w:tcPr>
          <w:p w14:paraId="4BE5C15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0.197 </w:t>
            </w:r>
          </w:p>
        </w:tc>
        <w:tc>
          <w:tcPr>
            <w:tcW w:w="990" w:type="dxa"/>
            <w:vMerge w:val="continue"/>
            <w:tcBorders>
              <w:tl2br w:val="nil"/>
              <w:tr2bl w:val="nil"/>
            </w:tcBorders>
            <w:vAlign w:val="center"/>
          </w:tcPr>
          <w:p w14:paraId="0126F6C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3B02F51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68B992E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445996C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700B2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7764F1B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239BDB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15CCD1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0.45 </w:t>
            </w:r>
          </w:p>
        </w:tc>
        <w:tc>
          <w:tcPr>
            <w:tcW w:w="1710" w:type="dxa"/>
            <w:tcBorders>
              <w:tl2br w:val="nil"/>
              <w:tr2bl w:val="nil"/>
            </w:tcBorders>
            <w:vAlign w:val="center"/>
          </w:tcPr>
          <w:p w14:paraId="316241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0.020 </w:t>
            </w:r>
          </w:p>
        </w:tc>
        <w:tc>
          <w:tcPr>
            <w:tcW w:w="990" w:type="dxa"/>
            <w:vMerge w:val="continue"/>
            <w:tcBorders>
              <w:tl2br w:val="nil"/>
              <w:tr2bl w:val="nil"/>
            </w:tcBorders>
            <w:vAlign w:val="center"/>
          </w:tcPr>
          <w:p w14:paraId="4650594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167D7C4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3DC3AD1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2510AD3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77F48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69CDC73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7239F6F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10B917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0.82 </w:t>
            </w:r>
          </w:p>
        </w:tc>
        <w:tc>
          <w:tcPr>
            <w:tcW w:w="1710" w:type="dxa"/>
            <w:tcBorders>
              <w:tl2br w:val="nil"/>
              <w:tr2bl w:val="nil"/>
            </w:tcBorders>
            <w:vAlign w:val="center"/>
          </w:tcPr>
          <w:p w14:paraId="12D249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0.037 </w:t>
            </w:r>
          </w:p>
        </w:tc>
        <w:tc>
          <w:tcPr>
            <w:tcW w:w="990" w:type="dxa"/>
            <w:vMerge w:val="continue"/>
            <w:tcBorders>
              <w:tl2br w:val="nil"/>
              <w:tr2bl w:val="nil"/>
            </w:tcBorders>
            <w:vAlign w:val="center"/>
          </w:tcPr>
          <w:p w14:paraId="0175BBF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3B3A8DE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4EAA645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654C254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D4C4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05D918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6352A73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55314D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0.36 </w:t>
            </w:r>
          </w:p>
        </w:tc>
        <w:tc>
          <w:tcPr>
            <w:tcW w:w="1710" w:type="dxa"/>
            <w:tcBorders>
              <w:tl2br w:val="nil"/>
              <w:tr2bl w:val="nil"/>
            </w:tcBorders>
            <w:vAlign w:val="center"/>
          </w:tcPr>
          <w:p w14:paraId="554727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0.016 </w:t>
            </w:r>
          </w:p>
        </w:tc>
        <w:tc>
          <w:tcPr>
            <w:tcW w:w="990" w:type="dxa"/>
            <w:vMerge w:val="continue"/>
            <w:tcBorders>
              <w:tl2br w:val="nil"/>
              <w:tr2bl w:val="nil"/>
            </w:tcBorders>
            <w:vAlign w:val="center"/>
          </w:tcPr>
          <w:p w14:paraId="0AEBA7D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4D565B8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263A535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1E10550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15CF5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309523E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93" w:type="dxa"/>
            <w:tcBorders>
              <w:tl2br w:val="nil"/>
              <w:tr2bl w:val="nil"/>
            </w:tcBorders>
            <w:vAlign w:val="center"/>
          </w:tcPr>
          <w:p w14:paraId="497A689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06CEF5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1.28 </w:t>
            </w:r>
          </w:p>
        </w:tc>
        <w:tc>
          <w:tcPr>
            <w:tcW w:w="1710" w:type="dxa"/>
            <w:tcBorders>
              <w:tl2br w:val="nil"/>
              <w:tr2bl w:val="nil"/>
            </w:tcBorders>
            <w:vAlign w:val="center"/>
          </w:tcPr>
          <w:p w14:paraId="686220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0.057 </w:t>
            </w:r>
          </w:p>
        </w:tc>
        <w:tc>
          <w:tcPr>
            <w:tcW w:w="990" w:type="dxa"/>
            <w:vMerge w:val="continue"/>
            <w:tcBorders>
              <w:tl2br w:val="nil"/>
              <w:tr2bl w:val="nil"/>
            </w:tcBorders>
            <w:vAlign w:val="center"/>
          </w:tcPr>
          <w:p w14:paraId="241C11A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80" w:type="dxa"/>
            <w:vMerge w:val="continue"/>
            <w:tcBorders>
              <w:tl2br w:val="nil"/>
              <w:tr2bl w:val="nil"/>
            </w:tcBorders>
            <w:vAlign w:val="center"/>
          </w:tcPr>
          <w:p w14:paraId="68E520D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p>
        </w:tc>
        <w:tc>
          <w:tcPr>
            <w:tcW w:w="1065" w:type="dxa"/>
            <w:vMerge w:val="continue"/>
            <w:tcBorders>
              <w:tl2br w:val="nil"/>
              <w:tr2bl w:val="nil"/>
            </w:tcBorders>
            <w:vAlign w:val="center"/>
          </w:tcPr>
          <w:p w14:paraId="05AC0F4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51" w:type="dxa"/>
            <w:vMerge w:val="continue"/>
            <w:tcBorders>
              <w:tl2br w:val="nil"/>
              <w:tr2bl w:val="nil"/>
            </w:tcBorders>
            <w:vAlign w:val="center"/>
          </w:tcPr>
          <w:p w14:paraId="4DC5568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23C1C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restart"/>
            <w:tcBorders>
              <w:tl2br w:val="nil"/>
              <w:tr2bl w:val="nil"/>
            </w:tcBorders>
            <w:vAlign w:val="center"/>
          </w:tcPr>
          <w:p w14:paraId="0B7A9A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093" w:type="dxa"/>
            <w:tcBorders>
              <w:tl2br w:val="nil"/>
              <w:tr2bl w:val="nil"/>
            </w:tcBorders>
            <w:vAlign w:val="center"/>
          </w:tcPr>
          <w:p w14:paraId="16E2EA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HCO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4D2CC6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8.49 </w:t>
            </w:r>
          </w:p>
        </w:tc>
        <w:tc>
          <w:tcPr>
            <w:tcW w:w="1710" w:type="dxa"/>
            <w:tcBorders>
              <w:tl2br w:val="nil"/>
              <w:tr2bl w:val="nil"/>
            </w:tcBorders>
            <w:vAlign w:val="center"/>
          </w:tcPr>
          <w:p w14:paraId="0A9D2E1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0.462 </w:t>
            </w:r>
          </w:p>
        </w:tc>
        <w:tc>
          <w:tcPr>
            <w:tcW w:w="990" w:type="dxa"/>
            <w:vMerge w:val="restart"/>
            <w:tcBorders>
              <w:tl2br w:val="nil"/>
              <w:tr2bl w:val="nil"/>
            </w:tcBorders>
            <w:vAlign w:val="center"/>
          </w:tcPr>
          <w:p w14:paraId="67DF19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9.09 </w:t>
            </w:r>
          </w:p>
        </w:tc>
        <w:tc>
          <w:tcPr>
            <w:tcW w:w="1080" w:type="dxa"/>
            <w:vMerge w:val="restart"/>
            <w:tcBorders>
              <w:tl2br w:val="nil"/>
              <w:tr2bl w:val="nil"/>
            </w:tcBorders>
            <w:vAlign w:val="center"/>
          </w:tcPr>
          <w:p w14:paraId="7214329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yellow"/>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9.31 </w:t>
            </w:r>
          </w:p>
        </w:tc>
        <w:tc>
          <w:tcPr>
            <w:tcW w:w="1065" w:type="dxa"/>
            <w:vMerge w:val="restart"/>
            <w:tcBorders>
              <w:tl2br w:val="nil"/>
              <w:tr2bl w:val="nil"/>
            </w:tcBorders>
            <w:vAlign w:val="center"/>
          </w:tcPr>
          <w:p w14:paraId="4E85A70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1.16</w:t>
            </w:r>
          </w:p>
        </w:tc>
        <w:tc>
          <w:tcPr>
            <w:tcW w:w="951" w:type="dxa"/>
            <w:vMerge w:val="restart"/>
            <w:tcBorders>
              <w:tl2br w:val="nil"/>
              <w:tr2bl w:val="nil"/>
            </w:tcBorders>
            <w:vAlign w:val="center"/>
          </w:tcPr>
          <w:p w14:paraId="1F57702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0.7166</w:t>
            </w:r>
          </w:p>
        </w:tc>
      </w:tr>
      <w:tr w14:paraId="4A7B4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2736CC95">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0C13BEA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3</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589491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 </w:t>
            </w:r>
          </w:p>
        </w:tc>
        <w:tc>
          <w:tcPr>
            <w:tcW w:w="1710" w:type="dxa"/>
            <w:tcBorders>
              <w:tl2br w:val="nil"/>
              <w:tr2bl w:val="nil"/>
            </w:tcBorders>
            <w:vAlign w:val="center"/>
          </w:tcPr>
          <w:p w14:paraId="55A21B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 </w:t>
            </w:r>
          </w:p>
        </w:tc>
        <w:tc>
          <w:tcPr>
            <w:tcW w:w="990" w:type="dxa"/>
            <w:vMerge w:val="continue"/>
            <w:tcBorders>
              <w:tl2br w:val="nil"/>
              <w:tr2bl w:val="nil"/>
            </w:tcBorders>
            <w:vAlign w:val="center"/>
          </w:tcPr>
          <w:p w14:paraId="0B3B982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7641DD1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055CA59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01A05562">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r w14:paraId="01299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7F6B798C">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2C5A5C9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2＋</w:t>
            </w:r>
          </w:p>
        </w:tc>
        <w:tc>
          <w:tcPr>
            <w:tcW w:w="1552" w:type="dxa"/>
            <w:tcBorders>
              <w:tl2br w:val="nil"/>
              <w:tr2bl w:val="nil"/>
            </w:tcBorders>
            <w:vAlign w:val="center"/>
          </w:tcPr>
          <w:p w14:paraId="77D6AA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5.25 </w:t>
            </w:r>
          </w:p>
        </w:tc>
        <w:tc>
          <w:tcPr>
            <w:tcW w:w="1710" w:type="dxa"/>
            <w:tcBorders>
              <w:tl2br w:val="nil"/>
              <w:tr2bl w:val="nil"/>
            </w:tcBorders>
            <w:vAlign w:val="center"/>
          </w:tcPr>
          <w:p w14:paraId="228190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0.285 </w:t>
            </w:r>
          </w:p>
        </w:tc>
        <w:tc>
          <w:tcPr>
            <w:tcW w:w="990" w:type="dxa"/>
            <w:vMerge w:val="continue"/>
            <w:tcBorders>
              <w:tl2br w:val="nil"/>
              <w:tr2bl w:val="nil"/>
            </w:tcBorders>
            <w:vAlign w:val="center"/>
          </w:tcPr>
          <w:p w14:paraId="3D041CB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24B17B7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54EE725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6E22278C">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r w14:paraId="2E87C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70F566BF">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6445806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01C673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2.78 </w:t>
            </w:r>
          </w:p>
        </w:tc>
        <w:tc>
          <w:tcPr>
            <w:tcW w:w="1710" w:type="dxa"/>
            <w:tcBorders>
              <w:tl2br w:val="nil"/>
              <w:tr2bl w:val="nil"/>
            </w:tcBorders>
            <w:vAlign w:val="center"/>
          </w:tcPr>
          <w:p w14:paraId="61269E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0.151 </w:t>
            </w:r>
          </w:p>
        </w:tc>
        <w:tc>
          <w:tcPr>
            <w:tcW w:w="990" w:type="dxa"/>
            <w:vMerge w:val="continue"/>
            <w:tcBorders>
              <w:tl2br w:val="nil"/>
              <w:tr2bl w:val="nil"/>
            </w:tcBorders>
            <w:vAlign w:val="center"/>
          </w:tcPr>
          <w:p w14:paraId="6FCCB71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4314DE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72CBB36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1D14647F">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r w14:paraId="4A6AB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1E39901C">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36336FA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Cl</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243BA4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0.21 </w:t>
            </w:r>
          </w:p>
        </w:tc>
        <w:tc>
          <w:tcPr>
            <w:tcW w:w="1710" w:type="dxa"/>
            <w:tcBorders>
              <w:tl2br w:val="nil"/>
              <w:tr2bl w:val="nil"/>
            </w:tcBorders>
            <w:vAlign w:val="center"/>
          </w:tcPr>
          <w:p w14:paraId="215E9CC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0.011 </w:t>
            </w:r>
          </w:p>
        </w:tc>
        <w:tc>
          <w:tcPr>
            <w:tcW w:w="990" w:type="dxa"/>
            <w:vMerge w:val="continue"/>
            <w:tcBorders>
              <w:tl2br w:val="nil"/>
              <w:tr2bl w:val="nil"/>
            </w:tcBorders>
            <w:vAlign w:val="center"/>
          </w:tcPr>
          <w:p w14:paraId="4928371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0CB47CD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667749C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75ABBEB3">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r w14:paraId="0D710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5D7D10E5">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2D2B2FD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w:t>
            </w:r>
            <w:r>
              <w:rPr>
                <w:rStyle w:val="88"/>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5D198B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0.39 </w:t>
            </w:r>
          </w:p>
        </w:tc>
        <w:tc>
          <w:tcPr>
            <w:tcW w:w="1710" w:type="dxa"/>
            <w:tcBorders>
              <w:tl2br w:val="nil"/>
              <w:tr2bl w:val="nil"/>
            </w:tcBorders>
            <w:vAlign w:val="center"/>
          </w:tcPr>
          <w:p w14:paraId="719813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0.021 </w:t>
            </w:r>
          </w:p>
        </w:tc>
        <w:tc>
          <w:tcPr>
            <w:tcW w:w="990" w:type="dxa"/>
            <w:vMerge w:val="continue"/>
            <w:tcBorders>
              <w:tl2br w:val="nil"/>
              <w:tr2bl w:val="nil"/>
            </w:tcBorders>
            <w:vAlign w:val="center"/>
          </w:tcPr>
          <w:p w14:paraId="5EC3471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676EFFD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2D247CA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42869E62">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r w14:paraId="2F049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25710AC0">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6C7303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5AFCB61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0.29 </w:t>
            </w:r>
          </w:p>
        </w:tc>
        <w:tc>
          <w:tcPr>
            <w:tcW w:w="1710" w:type="dxa"/>
            <w:tcBorders>
              <w:tl2br w:val="nil"/>
              <w:tr2bl w:val="nil"/>
            </w:tcBorders>
            <w:vAlign w:val="center"/>
          </w:tcPr>
          <w:p w14:paraId="50B87C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0.016 </w:t>
            </w:r>
          </w:p>
        </w:tc>
        <w:tc>
          <w:tcPr>
            <w:tcW w:w="990" w:type="dxa"/>
            <w:vMerge w:val="continue"/>
            <w:tcBorders>
              <w:tl2br w:val="nil"/>
              <w:tr2bl w:val="nil"/>
            </w:tcBorders>
            <w:vAlign w:val="center"/>
          </w:tcPr>
          <w:p w14:paraId="53BF8BE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42A7F05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7BEE18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6259A41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r w14:paraId="0AFB1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7" w:type="dxa"/>
            <w:vMerge w:val="continue"/>
            <w:tcBorders>
              <w:tl2br w:val="nil"/>
              <w:tr2bl w:val="nil"/>
            </w:tcBorders>
            <w:vAlign w:val="center"/>
          </w:tcPr>
          <w:p w14:paraId="42628498">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none"/>
                <w14:textFill>
                  <w14:solidFill>
                    <w14:schemeClr w14:val="tx1"/>
                  </w14:solidFill>
                </w14:textFill>
              </w:rPr>
            </w:pPr>
          </w:p>
        </w:tc>
        <w:tc>
          <w:tcPr>
            <w:tcW w:w="1093" w:type="dxa"/>
            <w:tcBorders>
              <w:tl2br w:val="nil"/>
              <w:tr2bl w:val="nil"/>
            </w:tcBorders>
            <w:vAlign w:val="center"/>
          </w:tcPr>
          <w:p w14:paraId="07C2C6C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7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Na</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p>
        </w:tc>
        <w:tc>
          <w:tcPr>
            <w:tcW w:w="1552" w:type="dxa"/>
            <w:tcBorders>
              <w:tl2br w:val="nil"/>
              <w:tr2bl w:val="nil"/>
            </w:tcBorders>
            <w:vAlign w:val="center"/>
          </w:tcPr>
          <w:p w14:paraId="4830CB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0.99 </w:t>
            </w:r>
          </w:p>
        </w:tc>
        <w:tc>
          <w:tcPr>
            <w:tcW w:w="1710" w:type="dxa"/>
            <w:tcBorders>
              <w:tl2br w:val="nil"/>
              <w:tr2bl w:val="nil"/>
            </w:tcBorders>
            <w:vAlign w:val="center"/>
          </w:tcPr>
          <w:p w14:paraId="2953CB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0.054 </w:t>
            </w:r>
          </w:p>
        </w:tc>
        <w:tc>
          <w:tcPr>
            <w:tcW w:w="990" w:type="dxa"/>
            <w:vMerge w:val="continue"/>
            <w:tcBorders>
              <w:tl2br w:val="nil"/>
              <w:tr2bl w:val="nil"/>
            </w:tcBorders>
            <w:vAlign w:val="center"/>
          </w:tcPr>
          <w:p w14:paraId="6AE1FCC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80" w:type="dxa"/>
            <w:vMerge w:val="continue"/>
            <w:tcBorders>
              <w:tl2br w:val="nil"/>
              <w:tr2bl w:val="nil"/>
            </w:tcBorders>
            <w:vAlign w:val="center"/>
          </w:tcPr>
          <w:p w14:paraId="6F4446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065" w:type="dxa"/>
            <w:vMerge w:val="continue"/>
            <w:tcBorders>
              <w:tl2br w:val="nil"/>
              <w:tr2bl w:val="nil"/>
            </w:tcBorders>
            <w:vAlign w:val="center"/>
          </w:tcPr>
          <w:p w14:paraId="2A1BFC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951" w:type="dxa"/>
            <w:vMerge w:val="continue"/>
            <w:tcBorders>
              <w:tl2br w:val="nil"/>
              <w:tr2bl w:val="nil"/>
            </w:tcBorders>
            <w:vAlign w:val="center"/>
          </w:tcPr>
          <w:p w14:paraId="4254FCC3">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000000" w:themeColor="text1"/>
                <w:w w:val="99"/>
                <w:kern w:val="2"/>
                <w:sz w:val="21"/>
                <w:szCs w:val="21"/>
                <w:highlight w:val="yellow"/>
                <w14:textFill>
                  <w14:solidFill>
                    <w14:schemeClr w14:val="tx1"/>
                  </w14:solidFill>
                </w14:textFill>
              </w:rPr>
            </w:pPr>
          </w:p>
        </w:tc>
      </w:tr>
    </w:tbl>
    <w:p w14:paraId="47CEB4F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通过对区域内地下水八大离子监测结果可知，本项目所在区域地下水化学类型以HCO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-Ca+Mg</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-A型淡水型为主，地下水矿化度较低，水质情况较好。根据上表可知，项目区域水质总阳离子（钠、钾、钙、镁）与阴离子（硫酸盐、氯化物、碳酸盐、</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碳酸氢盐</w:t>
      </w:r>
      <w:r>
        <w:rPr>
          <w:rFonts w:hint="default" w:ascii="Times New Roman" w:hAnsi="Times New Roman" w:eastAsia="宋体" w:cs="Times New Roman"/>
          <w:color w:val="000000" w:themeColor="text1"/>
          <w:sz w:val="24"/>
          <w:highlight w:val="none"/>
          <w14:textFill>
            <w14:solidFill>
              <w14:schemeClr w14:val="tx1"/>
            </w14:solidFill>
          </w14:textFill>
        </w:rPr>
        <w:t>）毫克当量浓度相对误差不大于5%，阴阳离子平衡。</w:t>
      </w:r>
    </w:p>
    <w:p w14:paraId="03185DB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4.3.2.4地下水环境质量现状评价结论</w:t>
      </w:r>
    </w:p>
    <w:p w14:paraId="1E789A7F">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由以上地下水单因子标准指数分析可知，评价区域第四系孔隙潜水水质均满足《地下水质量标准》（GB/T148488-2017）中的Ⅲ类标准要求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承压水水质满足</w:t>
      </w:r>
      <w:r>
        <w:rPr>
          <w:rFonts w:hint="default" w:ascii="Times New Roman" w:hAnsi="Times New Roman" w:eastAsia="宋体" w:cs="Times New Roman"/>
          <w:color w:val="000000" w:themeColor="text1"/>
          <w:sz w:val="24"/>
          <w:highlight w:val="none"/>
          <w14:textFill>
            <w14:solidFill>
              <w14:schemeClr w14:val="tx1"/>
            </w14:solidFill>
          </w14:textFill>
        </w:rPr>
        <w:t>《地下水质量标准》（GB/T148488-2017）中的Ⅲ类标准要求。评价区域地下水化学类型主要为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-A型HCO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-Ca+Mg</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型</w:t>
      </w:r>
      <w:r>
        <w:rPr>
          <w:rFonts w:hint="default" w:ascii="Times New Roman" w:hAnsi="Times New Roman" w:eastAsia="宋体" w:cs="Times New Roman"/>
          <w:color w:val="000000" w:themeColor="text1"/>
          <w:sz w:val="24"/>
          <w:highlight w:val="none"/>
          <w14:textFill>
            <w14:solidFill>
              <w14:schemeClr w14:val="tx1"/>
            </w14:solidFill>
          </w14:textFill>
        </w:rPr>
        <w:t>淡水。</w:t>
      </w:r>
    </w:p>
    <w:p w14:paraId="04510F24">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4.3.2.5包气带污染现状调查</w:t>
      </w:r>
    </w:p>
    <w:p w14:paraId="2F05131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根据《环境影响评价技术导则 地下水环境》（HJ610-2016），对于一、二级的改扩建项目，应在可能造成地下水污染的主要装置或设施附近开展包气带污染现状调查，对包气带进行分层取样</w:t>
      </w:r>
      <w:r>
        <w:rPr>
          <w:rFonts w:hint="default" w:ascii="Times New Roman" w:hAnsi="Times New Roman" w:eastAsia="宋体" w:cs="Times New Roman"/>
          <w:color w:val="000000" w:themeColor="text1"/>
          <w:sz w:val="24"/>
          <w:highlight w:val="none"/>
          <w14:textFill>
            <w14:solidFill>
              <w14:schemeClr w14:val="tx1"/>
            </w14:solidFill>
          </w14:textFill>
        </w:rPr>
        <w:t>，根据现场调查，本项目可能造成地下水污染的主要工程为区块内已建井场</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09EAEF0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监测点位</w:t>
      </w:r>
    </w:p>
    <w:p w14:paraId="6BE787F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color w:val="000000" w:themeColor="text1"/>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本项目布设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个包气带监测点，每个点在0-20cm深度取1个样，在20</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40cm深度取1个样。包气带现状调查见表4.3-1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7E5657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p>
    <w:p w14:paraId="2B2690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表4.3-11  包气带监测点</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30" w:type="dxa"/>
          <w:bottom w:w="0" w:type="dxa"/>
          <w:right w:w="30" w:type="dxa"/>
        </w:tblCellMar>
      </w:tblPr>
      <w:tblGrid>
        <w:gridCol w:w="716"/>
        <w:gridCol w:w="2798"/>
        <w:gridCol w:w="2204"/>
        <w:gridCol w:w="3410"/>
      </w:tblGrid>
      <w:tr w14:paraId="400F5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30" w:type="dxa"/>
            <w:bottom w:w="0" w:type="dxa"/>
            <w:right w:w="30" w:type="dxa"/>
          </w:tblCellMar>
        </w:tblPrEx>
        <w:trPr>
          <w:cantSplit/>
          <w:trHeight w:val="0" w:hRule="atLeast"/>
          <w:jc w:val="center"/>
        </w:trPr>
        <w:tc>
          <w:tcPr>
            <w:tcW w:w="392" w:type="pct"/>
            <w:tcBorders>
              <w:tl2br w:val="nil"/>
              <w:tr2bl w:val="nil"/>
            </w:tcBorders>
            <w:shd w:val="clear" w:color="auto" w:fill="auto"/>
            <w:vAlign w:val="center"/>
          </w:tcPr>
          <w:p w14:paraId="0090709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序号</w:t>
            </w:r>
          </w:p>
        </w:tc>
        <w:tc>
          <w:tcPr>
            <w:tcW w:w="1532" w:type="pct"/>
            <w:tcBorders>
              <w:tl2br w:val="nil"/>
              <w:tr2bl w:val="nil"/>
            </w:tcBorders>
            <w:shd w:val="clear" w:color="auto" w:fill="auto"/>
            <w:vAlign w:val="center"/>
          </w:tcPr>
          <w:p w14:paraId="4B2D240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监测点</w:t>
            </w:r>
          </w:p>
        </w:tc>
        <w:tc>
          <w:tcPr>
            <w:tcW w:w="1207" w:type="pct"/>
            <w:tcBorders>
              <w:tl2br w:val="nil"/>
              <w:tr2bl w:val="nil"/>
            </w:tcBorders>
            <w:shd w:val="clear" w:color="auto" w:fill="auto"/>
            <w:vAlign w:val="center"/>
          </w:tcPr>
          <w:p w14:paraId="740021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采样深度</w:t>
            </w:r>
          </w:p>
        </w:tc>
        <w:tc>
          <w:tcPr>
            <w:tcW w:w="1867" w:type="pct"/>
            <w:tcBorders>
              <w:tl2br w:val="nil"/>
              <w:tr2bl w:val="nil"/>
            </w:tcBorders>
            <w:shd w:val="clear" w:color="auto" w:fill="auto"/>
            <w:vAlign w:val="center"/>
          </w:tcPr>
          <w:p w14:paraId="281EE4D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14:textFill>
                  <w14:solidFill>
                    <w14:schemeClr w14:val="tx1"/>
                  </w14:solidFill>
                </w14:textFill>
              </w:rPr>
              <w:t>备注</w:t>
            </w:r>
          </w:p>
        </w:tc>
      </w:tr>
      <w:tr w14:paraId="69879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30" w:type="dxa"/>
            <w:bottom w:w="0" w:type="dxa"/>
            <w:right w:w="30" w:type="dxa"/>
          </w:tblCellMar>
        </w:tblPrEx>
        <w:trPr>
          <w:cantSplit/>
          <w:trHeight w:val="0" w:hRule="atLeast"/>
          <w:jc w:val="center"/>
        </w:trPr>
        <w:tc>
          <w:tcPr>
            <w:tcW w:w="392" w:type="pct"/>
            <w:tcBorders>
              <w:tl2br w:val="nil"/>
              <w:tr2bl w:val="nil"/>
            </w:tcBorders>
            <w:shd w:val="clear" w:color="auto" w:fill="auto"/>
            <w:vAlign w:val="center"/>
          </w:tcPr>
          <w:p w14:paraId="728A063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BQD1</w:t>
            </w:r>
          </w:p>
        </w:tc>
        <w:tc>
          <w:tcPr>
            <w:tcW w:w="2798" w:type="dxa"/>
            <w:tcBorders>
              <w:tl2br w:val="nil"/>
              <w:tr2bl w:val="nil"/>
            </w:tcBorders>
            <w:shd w:val="clear" w:color="auto" w:fill="auto"/>
            <w:vAlign w:val="center"/>
          </w:tcPr>
          <w:p w14:paraId="077BAD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区域老井井场永久占地内（升1-6集油阀组间1环管道）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污染控制点）</w:t>
            </w:r>
          </w:p>
        </w:tc>
        <w:tc>
          <w:tcPr>
            <w:tcW w:w="1207" w:type="pct"/>
            <w:tcBorders>
              <w:tl2br w:val="nil"/>
              <w:tr2bl w:val="nil"/>
            </w:tcBorders>
            <w:shd w:val="clear" w:color="auto" w:fill="auto"/>
            <w:vAlign w:val="center"/>
          </w:tcPr>
          <w:p w14:paraId="4A8DE1B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0</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20cm、20</w:t>
            </w: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40cm</w:t>
            </w:r>
          </w:p>
        </w:tc>
        <w:tc>
          <w:tcPr>
            <w:tcW w:w="1867" w:type="pct"/>
            <w:tcBorders>
              <w:tl2br w:val="nil"/>
              <w:tr2bl w:val="nil"/>
            </w:tcBorders>
            <w:shd w:val="clear" w:color="auto" w:fill="auto"/>
            <w:vAlign w:val="center"/>
          </w:tcPr>
          <w:p w14:paraId="15D9D72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污染控制点</w:t>
            </w:r>
          </w:p>
          <w:p w14:paraId="1C69449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（125.286208</w:t>
            </w: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,46.154002</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p>
        </w:tc>
      </w:tr>
      <w:tr w14:paraId="43FAE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cantSplit/>
          <w:trHeight w:val="549" w:hRule="atLeast"/>
          <w:jc w:val="center"/>
        </w:trPr>
        <w:tc>
          <w:tcPr>
            <w:tcW w:w="392" w:type="pct"/>
            <w:tcBorders>
              <w:tl2br w:val="nil"/>
              <w:tr2bl w:val="nil"/>
            </w:tcBorders>
            <w:shd w:val="clear" w:color="auto" w:fill="auto"/>
            <w:vAlign w:val="center"/>
          </w:tcPr>
          <w:p w14:paraId="46C832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BQD2</w:t>
            </w:r>
          </w:p>
        </w:tc>
        <w:tc>
          <w:tcPr>
            <w:tcW w:w="2798" w:type="dxa"/>
            <w:tcBorders>
              <w:tl2br w:val="nil"/>
              <w:tr2bl w:val="nil"/>
            </w:tcBorders>
            <w:shd w:val="clear" w:color="auto" w:fill="auto"/>
            <w:vAlign w:val="center"/>
          </w:tcPr>
          <w:p w14:paraId="4CACE8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区域老井南侧100m</w:t>
            </w:r>
            <w:r>
              <w:rPr>
                <w:rFonts w:hint="default" w:ascii="Times New Roman" w:hAnsi="Times New Roman" w:eastAsia="宋体" w:cs="Times New Roman"/>
                <w:color w:val="000000" w:themeColor="text1"/>
                <w:sz w:val="21"/>
                <w:szCs w:val="21"/>
                <w:highlight w:val="none"/>
                <w14:textFill>
                  <w14:solidFill>
                    <w14:schemeClr w14:val="tx1"/>
                  </w14:solidFill>
                </w14:textFill>
              </w:rPr>
              <w:t>对照点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（升1-6集油阀组间1环管道）</w:t>
            </w:r>
            <w:r>
              <w:rPr>
                <w:rFonts w:hint="default" w:ascii="Times New Roman" w:hAnsi="Times New Roman" w:eastAsia="宋体" w:cs="Times New Roman"/>
                <w:color w:val="000000" w:themeColor="text1"/>
                <w:sz w:val="21"/>
                <w:szCs w:val="21"/>
                <w:highlight w:val="none"/>
                <w14:textFill>
                  <w14:solidFill>
                    <w14:schemeClr w14:val="tx1"/>
                  </w14:solidFill>
                </w14:textFill>
              </w:rPr>
              <w:t>（清洁对照点）</w:t>
            </w:r>
          </w:p>
        </w:tc>
        <w:tc>
          <w:tcPr>
            <w:tcW w:w="1207" w:type="pct"/>
            <w:tcBorders>
              <w:tl2br w:val="nil"/>
              <w:tr2bl w:val="nil"/>
            </w:tcBorders>
            <w:shd w:val="clear" w:color="auto" w:fill="auto"/>
            <w:vAlign w:val="center"/>
          </w:tcPr>
          <w:p w14:paraId="652536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0</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20cm、20</w:t>
            </w: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40cm</w:t>
            </w:r>
          </w:p>
        </w:tc>
        <w:tc>
          <w:tcPr>
            <w:tcW w:w="1867" w:type="pct"/>
            <w:tcBorders>
              <w:tl2br w:val="nil"/>
              <w:tr2bl w:val="nil"/>
            </w:tcBorders>
            <w:shd w:val="clear" w:color="auto" w:fill="auto"/>
            <w:vAlign w:val="center"/>
          </w:tcPr>
          <w:p w14:paraId="3EB595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清洁对照点</w:t>
            </w:r>
          </w:p>
          <w:p w14:paraId="743BAD9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（125.286181</w:t>
            </w: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,46.152954</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p>
        </w:tc>
      </w:tr>
      <w:tr w14:paraId="1F03D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cantSplit/>
          <w:trHeight w:val="549" w:hRule="atLeast"/>
          <w:jc w:val="center"/>
        </w:trPr>
        <w:tc>
          <w:tcPr>
            <w:tcW w:w="392" w:type="pct"/>
            <w:tcBorders>
              <w:tl2br w:val="nil"/>
              <w:tr2bl w:val="nil"/>
            </w:tcBorders>
            <w:shd w:val="clear" w:color="auto" w:fill="auto"/>
            <w:vAlign w:val="center"/>
          </w:tcPr>
          <w:p w14:paraId="7FAEDB0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BQD3</w:t>
            </w:r>
          </w:p>
        </w:tc>
        <w:tc>
          <w:tcPr>
            <w:tcW w:w="2798" w:type="dxa"/>
            <w:tcBorders>
              <w:tl2br w:val="nil"/>
              <w:tr2bl w:val="nil"/>
            </w:tcBorders>
            <w:shd w:val="clear" w:color="auto" w:fill="auto"/>
            <w:vAlign w:val="center"/>
          </w:tcPr>
          <w:p w14:paraId="173D9A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芳3转油站永久占地内（</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芳3转油站外输油管线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污染控制点）</w:t>
            </w:r>
          </w:p>
        </w:tc>
        <w:tc>
          <w:tcPr>
            <w:tcW w:w="2204" w:type="dxa"/>
            <w:tcBorders>
              <w:tl2br w:val="nil"/>
              <w:tr2bl w:val="nil"/>
            </w:tcBorders>
            <w:shd w:val="clear" w:color="auto" w:fill="auto"/>
            <w:vAlign w:val="center"/>
          </w:tcPr>
          <w:p w14:paraId="1F39D92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0</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20cm、20</w:t>
            </w: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40cm</w:t>
            </w:r>
          </w:p>
        </w:tc>
        <w:tc>
          <w:tcPr>
            <w:tcW w:w="3410" w:type="dxa"/>
            <w:tcBorders>
              <w:tl2br w:val="nil"/>
              <w:tr2bl w:val="nil"/>
            </w:tcBorders>
            <w:shd w:val="clear" w:color="auto" w:fill="auto"/>
            <w:vAlign w:val="center"/>
          </w:tcPr>
          <w:p w14:paraId="769CC8C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污染控制点</w:t>
            </w:r>
          </w:p>
          <w:p w14:paraId="7FC67F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（124.948389</w:t>
            </w: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,45.972267</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p>
        </w:tc>
      </w:tr>
      <w:tr w14:paraId="5CAD3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cantSplit/>
          <w:trHeight w:val="549" w:hRule="atLeast"/>
          <w:jc w:val="center"/>
        </w:trPr>
        <w:tc>
          <w:tcPr>
            <w:tcW w:w="392" w:type="pct"/>
            <w:tcBorders>
              <w:tl2br w:val="nil"/>
              <w:tr2bl w:val="nil"/>
            </w:tcBorders>
            <w:shd w:val="clear" w:color="auto" w:fill="auto"/>
            <w:vAlign w:val="center"/>
          </w:tcPr>
          <w:p w14:paraId="340A8D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BQD4</w:t>
            </w:r>
          </w:p>
        </w:tc>
        <w:tc>
          <w:tcPr>
            <w:tcW w:w="2798" w:type="dxa"/>
            <w:tcBorders>
              <w:tl2br w:val="nil"/>
              <w:tr2bl w:val="nil"/>
            </w:tcBorders>
            <w:shd w:val="clear" w:color="auto" w:fill="auto"/>
            <w:vAlign w:val="center"/>
          </w:tcPr>
          <w:p w14:paraId="533A3A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芳3转油站南侧100m</w:t>
            </w:r>
            <w:r>
              <w:rPr>
                <w:rFonts w:hint="default" w:ascii="Times New Roman" w:hAnsi="Times New Roman" w:eastAsia="宋体" w:cs="Times New Roman"/>
                <w:color w:val="000000" w:themeColor="text1"/>
                <w:sz w:val="21"/>
                <w:szCs w:val="21"/>
                <w:highlight w:val="none"/>
                <w14:textFill>
                  <w14:solidFill>
                    <w14:schemeClr w14:val="tx1"/>
                  </w14:solidFill>
                </w14:textFill>
              </w:rPr>
              <w:t>对照点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芳3转油站外输油管线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（清洁对照点）</w:t>
            </w:r>
          </w:p>
        </w:tc>
        <w:tc>
          <w:tcPr>
            <w:tcW w:w="2204" w:type="dxa"/>
            <w:tcBorders>
              <w:tl2br w:val="nil"/>
              <w:tr2bl w:val="nil"/>
            </w:tcBorders>
            <w:shd w:val="clear" w:color="auto" w:fill="auto"/>
            <w:vAlign w:val="center"/>
          </w:tcPr>
          <w:p w14:paraId="05CC598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0</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20cm、20</w:t>
            </w:r>
            <w:r>
              <w:rPr>
                <w:rFonts w:hint="eastAsia"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40cm</w:t>
            </w:r>
          </w:p>
        </w:tc>
        <w:tc>
          <w:tcPr>
            <w:tcW w:w="3410" w:type="dxa"/>
            <w:tcBorders>
              <w:tl2br w:val="nil"/>
              <w:tr2bl w:val="nil"/>
            </w:tcBorders>
            <w:shd w:val="clear" w:color="auto" w:fill="auto"/>
            <w:vAlign w:val="center"/>
          </w:tcPr>
          <w:p w14:paraId="640813F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清洁对照点</w:t>
            </w:r>
          </w:p>
          <w:p w14:paraId="75B0E3D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（124.948518</w:t>
            </w: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,45.971279</w:t>
            </w:r>
            <w:r>
              <w:rPr>
                <w:rFonts w:hint="default" w:ascii="Times New Roman" w:hAnsi="Times New Roman" w:eastAsia="宋体" w:cs="Times New Roman"/>
                <w:color w:val="000000" w:themeColor="text1"/>
                <w:sz w:val="21"/>
                <w:szCs w:val="21"/>
                <w:highlight w:val="none"/>
                <w:shd w:val="clear" w:color="auto" w:fill="auto"/>
                <w:lang w:eastAsia="zh-CN"/>
                <w14:textFill>
                  <w14:solidFill>
                    <w14:schemeClr w14:val="tx1"/>
                  </w14:solidFill>
                </w14:textFill>
              </w:rPr>
              <w:t>）</w:t>
            </w:r>
          </w:p>
        </w:tc>
      </w:tr>
    </w:tbl>
    <w:p w14:paraId="1ECA71D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监测因子</w:t>
      </w:r>
    </w:p>
    <w:p w14:paraId="197B524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pH、砷、镉、</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铜、镍、</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铅、</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总铬、</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铬（六价）、汞、石油类、</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挥发酚</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2F7862D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监测时间</w:t>
      </w:r>
    </w:p>
    <w:p w14:paraId="25DBFC7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监测时间为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5BB7B84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监测结果</w:t>
      </w:r>
    </w:p>
    <w:p w14:paraId="3EF4FCF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包气带现状监测结果见表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4.3-12。</w:t>
      </w:r>
    </w:p>
    <w:p w14:paraId="44E648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表4.3-12  包气带现状调查结果  </w:t>
      </w:r>
    </w:p>
    <w:tbl>
      <w:tblPr>
        <w:tblStyle w:val="18"/>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055"/>
        <w:gridCol w:w="1750"/>
        <w:gridCol w:w="1910"/>
        <w:gridCol w:w="2185"/>
      </w:tblGrid>
      <w:tr w14:paraId="4BF79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vMerge w:val="restart"/>
            <w:tcBorders>
              <w:tl2br w:val="nil"/>
              <w:tr2bl w:val="nil"/>
            </w:tcBorders>
            <w:vAlign w:val="center"/>
          </w:tcPr>
          <w:p w14:paraId="3BE3158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监测项目</w:t>
            </w:r>
          </w:p>
        </w:tc>
        <w:tc>
          <w:tcPr>
            <w:tcW w:w="3805" w:type="dxa"/>
            <w:gridSpan w:val="2"/>
            <w:tcBorders>
              <w:tl2br w:val="nil"/>
              <w:tr2bl w:val="nil"/>
            </w:tcBorders>
            <w:vAlign w:val="center"/>
          </w:tcPr>
          <w:p w14:paraId="7E625042">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区域老井井场永久占地内（升1-6集油阀组间1环管道）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污染控制点）</w:t>
            </w:r>
          </w:p>
        </w:tc>
        <w:tc>
          <w:tcPr>
            <w:tcW w:w="4095" w:type="dxa"/>
            <w:gridSpan w:val="2"/>
            <w:tcBorders>
              <w:tl2br w:val="nil"/>
              <w:tr2bl w:val="nil"/>
            </w:tcBorders>
            <w:vAlign w:val="center"/>
          </w:tcPr>
          <w:p w14:paraId="27F4F1DB">
            <w:pPr>
              <w:pStyle w:val="14"/>
              <w:keepNext w:val="0"/>
              <w:keepLines w:val="0"/>
              <w:pageBreakBefore w:val="0"/>
              <w:widowControl w:val="0"/>
              <w:kinsoku/>
              <w:wordWrap/>
              <w:overflowPunct/>
              <w:topLinePunct w:val="0"/>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区域老井南侧100m</w:t>
            </w:r>
            <w:r>
              <w:rPr>
                <w:rFonts w:hint="default" w:ascii="Times New Roman" w:hAnsi="Times New Roman" w:eastAsia="宋体" w:cs="Times New Roman"/>
                <w:color w:val="000000" w:themeColor="text1"/>
                <w:sz w:val="21"/>
                <w:szCs w:val="21"/>
                <w:highlight w:val="none"/>
                <w14:textFill>
                  <w14:solidFill>
                    <w14:schemeClr w14:val="tx1"/>
                  </w14:solidFill>
                </w14:textFill>
              </w:rPr>
              <w:t>对照点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（升1-6集油阀组间1环管道）</w:t>
            </w:r>
            <w:r>
              <w:rPr>
                <w:rFonts w:hint="default" w:ascii="Times New Roman" w:hAnsi="Times New Roman" w:eastAsia="宋体" w:cs="Times New Roman"/>
                <w:color w:val="000000" w:themeColor="text1"/>
                <w:sz w:val="21"/>
                <w:szCs w:val="21"/>
                <w:highlight w:val="none"/>
                <w14:textFill>
                  <w14:solidFill>
                    <w14:schemeClr w14:val="tx1"/>
                  </w14:solidFill>
                </w14:textFill>
              </w:rPr>
              <w:t>（清洁对照点）</w:t>
            </w:r>
          </w:p>
        </w:tc>
      </w:tr>
      <w:tr w14:paraId="6918B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vMerge w:val="continue"/>
            <w:tcBorders>
              <w:tl2br w:val="nil"/>
              <w:tr2bl w:val="nil"/>
            </w:tcBorders>
            <w:vAlign w:val="center"/>
          </w:tcPr>
          <w:p w14:paraId="21DD80F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55" w:type="dxa"/>
            <w:tcBorders>
              <w:tl2br w:val="nil"/>
              <w:tr2bl w:val="nil"/>
            </w:tcBorders>
            <w:vAlign w:val="center"/>
          </w:tcPr>
          <w:p w14:paraId="56C008D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20cm</w:t>
            </w:r>
          </w:p>
        </w:tc>
        <w:tc>
          <w:tcPr>
            <w:tcW w:w="1750" w:type="dxa"/>
            <w:tcBorders>
              <w:tl2br w:val="nil"/>
              <w:tr2bl w:val="nil"/>
            </w:tcBorders>
            <w:vAlign w:val="center"/>
          </w:tcPr>
          <w:p w14:paraId="6AAC0FB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40cm</w:t>
            </w:r>
          </w:p>
        </w:tc>
        <w:tc>
          <w:tcPr>
            <w:tcW w:w="1910" w:type="dxa"/>
            <w:tcBorders>
              <w:tl2br w:val="nil"/>
              <w:tr2bl w:val="nil"/>
            </w:tcBorders>
            <w:vAlign w:val="center"/>
          </w:tcPr>
          <w:p w14:paraId="6AE6D29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20cm</w:t>
            </w:r>
          </w:p>
        </w:tc>
        <w:tc>
          <w:tcPr>
            <w:tcW w:w="2185" w:type="dxa"/>
            <w:tcBorders>
              <w:tl2br w:val="nil"/>
              <w:tr2bl w:val="nil"/>
            </w:tcBorders>
            <w:vAlign w:val="center"/>
          </w:tcPr>
          <w:p w14:paraId="43849A5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40cm</w:t>
            </w:r>
          </w:p>
        </w:tc>
      </w:tr>
      <w:tr w14:paraId="71C39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221645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2055" w:type="dxa"/>
            <w:tcBorders>
              <w:tl2br w:val="nil"/>
              <w:tr2bl w:val="nil"/>
            </w:tcBorders>
            <w:vAlign w:val="center"/>
          </w:tcPr>
          <w:p w14:paraId="41DB7B6C">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1750" w:type="dxa"/>
            <w:tcBorders>
              <w:tl2br w:val="nil"/>
              <w:tr2bl w:val="nil"/>
            </w:tcBorders>
            <w:vAlign w:val="center"/>
          </w:tcPr>
          <w:p w14:paraId="24E6FC57">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7.3</w:t>
            </w:r>
          </w:p>
        </w:tc>
        <w:tc>
          <w:tcPr>
            <w:tcW w:w="1910" w:type="dxa"/>
            <w:tcBorders>
              <w:tl2br w:val="nil"/>
              <w:tr2bl w:val="nil"/>
            </w:tcBorders>
            <w:vAlign w:val="center"/>
          </w:tcPr>
          <w:p w14:paraId="3A2028BF">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7.2</w:t>
            </w:r>
          </w:p>
        </w:tc>
        <w:tc>
          <w:tcPr>
            <w:tcW w:w="2185" w:type="dxa"/>
            <w:tcBorders>
              <w:tl2br w:val="nil"/>
              <w:tr2bl w:val="nil"/>
            </w:tcBorders>
            <w:vAlign w:val="center"/>
          </w:tcPr>
          <w:p w14:paraId="156F3427">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7.8</w:t>
            </w:r>
          </w:p>
        </w:tc>
      </w:tr>
      <w:tr w14:paraId="3DB7A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6F8D1A5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2055" w:type="dxa"/>
            <w:tcBorders>
              <w:tl2br w:val="nil"/>
              <w:tr2bl w:val="nil"/>
            </w:tcBorders>
            <w:vAlign w:val="center"/>
          </w:tcPr>
          <w:p w14:paraId="6C4D69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c>
          <w:tcPr>
            <w:tcW w:w="1750" w:type="dxa"/>
            <w:tcBorders>
              <w:tl2br w:val="nil"/>
              <w:tr2bl w:val="nil"/>
            </w:tcBorders>
            <w:vAlign w:val="center"/>
          </w:tcPr>
          <w:p w14:paraId="5938D11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c>
          <w:tcPr>
            <w:tcW w:w="1910" w:type="dxa"/>
            <w:tcBorders>
              <w:tl2br w:val="nil"/>
              <w:tr2bl w:val="nil"/>
            </w:tcBorders>
            <w:vAlign w:val="center"/>
          </w:tcPr>
          <w:p w14:paraId="1E0D1A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c>
          <w:tcPr>
            <w:tcW w:w="2185" w:type="dxa"/>
            <w:tcBorders>
              <w:tl2br w:val="nil"/>
              <w:tr2bl w:val="nil"/>
            </w:tcBorders>
            <w:vAlign w:val="center"/>
          </w:tcPr>
          <w:p w14:paraId="0B2CA5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r>
      <w:tr w14:paraId="255C4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2A8BAF9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2055" w:type="dxa"/>
            <w:tcBorders>
              <w:tl2br w:val="nil"/>
              <w:tr2bl w:val="nil"/>
            </w:tcBorders>
            <w:vAlign w:val="center"/>
          </w:tcPr>
          <w:p w14:paraId="332FA6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750" w:type="dxa"/>
            <w:tcBorders>
              <w:tl2br w:val="nil"/>
              <w:tr2bl w:val="nil"/>
            </w:tcBorders>
            <w:vAlign w:val="center"/>
          </w:tcPr>
          <w:p w14:paraId="34E756D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910" w:type="dxa"/>
            <w:tcBorders>
              <w:tl2br w:val="nil"/>
              <w:tr2bl w:val="nil"/>
            </w:tcBorders>
            <w:vAlign w:val="center"/>
          </w:tcPr>
          <w:p w14:paraId="2EA4D1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2185" w:type="dxa"/>
            <w:tcBorders>
              <w:tl2br w:val="nil"/>
              <w:tr2bl w:val="nil"/>
            </w:tcBorders>
            <w:vAlign w:val="center"/>
          </w:tcPr>
          <w:p w14:paraId="6FEA5A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r>
      <w:tr w14:paraId="3679E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5F37694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汞</w:t>
            </w:r>
          </w:p>
        </w:tc>
        <w:tc>
          <w:tcPr>
            <w:tcW w:w="2055" w:type="dxa"/>
            <w:tcBorders>
              <w:tl2br w:val="nil"/>
              <w:tr2bl w:val="nil"/>
            </w:tcBorders>
            <w:vAlign w:val="center"/>
          </w:tcPr>
          <w:p w14:paraId="67F3124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c>
          <w:tcPr>
            <w:tcW w:w="1750" w:type="dxa"/>
            <w:tcBorders>
              <w:tl2br w:val="nil"/>
              <w:tr2bl w:val="nil"/>
            </w:tcBorders>
            <w:vAlign w:val="center"/>
          </w:tcPr>
          <w:p w14:paraId="746F702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c>
          <w:tcPr>
            <w:tcW w:w="1910" w:type="dxa"/>
            <w:tcBorders>
              <w:tl2br w:val="nil"/>
              <w:tr2bl w:val="nil"/>
            </w:tcBorders>
            <w:vAlign w:val="center"/>
          </w:tcPr>
          <w:p w14:paraId="4A45F4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c>
          <w:tcPr>
            <w:tcW w:w="2185" w:type="dxa"/>
            <w:tcBorders>
              <w:tl2br w:val="nil"/>
              <w:tr2bl w:val="nil"/>
            </w:tcBorders>
            <w:vAlign w:val="center"/>
          </w:tcPr>
          <w:p w14:paraId="510E543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r>
      <w:tr w14:paraId="42D14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5D68384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总铬</w:t>
            </w:r>
          </w:p>
        </w:tc>
        <w:tc>
          <w:tcPr>
            <w:tcW w:w="2055" w:type="dxa"/>
            <w:tcBorders>
              <w:tl2br w:val="nil"/>
              <w:tr2bl w:val="nil"/>
            </w:tcBorders>
            <w:vAlign w:val="center"/>
          </w:tcPr>
          <w:p w14:paraId="00EC16C2">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0.03L</w:t>
            </w:r>
          </w:p>
        </w:tc>
        <w:tc>
          <w:tcPr>
            <w:tcW w:w="1750" w:type="dxa"/>
            <w:tcBorders>
              <w:tl2br w:val="nil"/>
              <w:tr2bl w:val="nil"/>
            </w:tcBorders>
            <w:vAlign w:val="center"/>
          </w:tcPr>
          <w:p w14:paraId="611F0191">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0.03L</w:t>
            </w:r>
          </w:p>
        </w:tc>
        <w:tc>
          <w:tcPr>
            <w:tcW w:w="1910" w:type="dxa"/>
            <w:tcBorders>
              <w:tl2br w:val="nil"/>
              <w:tr2bl w:val="nil"/>
            </w:tcBorders>
            <w:vAlign w:val="center"/>
          </w:tcPr>
          <w:p w14:paraId="50D7A592">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0.03L</w:t>
            </w:r>
          </w:p>
        </w:tc>
        <w:tc>
          <w:tcPr>
            <w:tcW w:w="2185" w:type="dxa"/>
            <w:tcBorders>
              <w:tl2br w:val="nil"/>
              <w:tr2bl w:val="nil"/>
            </w:tcBorders>
            <w:vAlign w:val="center"/>
          </w:tcPr>
          <w:p w14:paraId="554FCA1C">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0.03L</w:t>
            </w:r>
          </w:p>
        </w:tc>
      </w:tr>
      <w:tr w14:paraId="1141A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5735316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2055" w:type="dxa"/>
            <w:tcBorders>
              <w:tl2br w:val="nil"/>
              <w:tr2bl w:val="nil"/>
            </w:tcBorders>
            <w:vAlign w:val="center"/>
          </w:tcPr>
          <w:p w14:paraId="4172DF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c>
          <w:tcPr>
            <w:tcW w:w="1750" w:type="dxa"/>
            <w:tcBorders>
              <w:tl2br w:val="nil"/>
              <w:tr2bl w:val="nil"/>
            </w:tcBorders>
            <w:vAlign w:val="center"/>
          </w:tcPr>
          <w:p w14:paraId="312F23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c>
          <w:tcPr>
            <w:tcW w:w="1910" w:type="dxa"/>
            <w:tcBorders>
              <w:tl2br w:val="nil"/>
              <w:tr2bl w:val="nil"/>
            </w:tcBorders>
            <w:vAlign w:val="center"/>
          </w:tcPr>
          <w:p w14:paraId="0D5EAE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c>
          <w:tcPr>
            <w:tcW w:w="2185" w:type="dxa"/>
            <w:tcBorders>
              <w:tl2br w:val="nil"/>
              <w:tr2bl w:val="nil"/>
            </w:tcBorders>
            <w:vAlign w:val="center"/>
          </w:tcPr>
          <w:p w14:paraId="17FAEF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r>
      <w:tr w14:paraId="68DBB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7F3618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砷</w:t>
            </w:r>
          </w:p>
        </w:tc>
        <w:tc>
          <w:tcPr>
            <w:tcW w:w="2055" w:type="dxa"/>
            <w:tcBorders>
              <w:tl2br w:val="nil"/>
              <w:tr2bl w:val="nil"/>
            </w:tcBorders>
            <w:vAlign w:val="center"/>
          </w:tcPr>
          <w:p w14:paraId="244C29E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c>
          <w:tcPr>
            <w:tcW w:w="1750" w:type="dxa"/>
            <w:tcBorders>
              <w:tl2br w:val="nil"/>
              <w:tr2bl w:val="nil"/>
            </w:tcBorders>
            <w:vAlign w:val="center"/>
          </w:tcPr>
          <w:p w14:paraId="6492C4D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c>
          <w:tcPr>
            <w:tcW w:w="1910" w:type="dxa"/>
            <w:tcBorders>
              <w:tl2br w:val="nil"/>
              <w:tr2bl w:val="nil"/>
            </w:tcBorders>
            <w:vAlign w:val="center"/>
          </w:tcPr>
          <w:p w14:paraId="000FAE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c>
          <w:tcPr>
            <w:tcW w:w="2185" w:type="dxa"/>
            <w:tcBorders>
              <w:tl2br w:val="nil"/>
              <w:tr2bl w:val="nil"/>
            </w:tcBorders>
            <w:vAlign w:val="center"/>
          </w:tcPr>
          <w:p w14:paraId="3A7816F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r>
      <w:tr w14:paraId="0B840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548C2F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挥发酚</w:t>
            </w:r>
          </w:p>
        </w:tc>
        <w:tc>
          <w:tcPr>
            <w:tcW w:w="2055" w:type="dxa"/>
            <w:tcBorders>
              <w:tl2br w:val="nil"/>
              <w:tr2bl w:val="nil"/>
            </w:tcBorders>
            <w:vAlign w:val="center"/>
          </w:tcPr>
          <w:p w14:paraId="0A627D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0.01L</w:t>
            </w:r>
          </w:p>
        </w:tc>
        <w:tc>
          <w:tcPr>
            <w:tcW w:w="1750" w:type="dxa"/>
            <w:tcBorders>
              <w:tl2br w:val="nil"/>
              <w:tr2bl w:val="nil"/>
            </w:tcBorders>
            <w:vAlign w:val="center"/>
          </w:tcPr>
          <w:p w14:paraId="3C0362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0.01L</w:t>
            </w:r>
          </w:p>
        </w:tc>
        <w:tc>
          <w:tcPr>
            <w:tcW w:w="1910" w:type="dxa"/>
            <w:tcBorders>
              <w:tl2br w:val="nil"/>
              <w:tr2bl w:val="nil"/>
            </w:tcBorders>
            <w:vAlign w:val="center"/>
          </w:tcPr>
          <w:p w14:paraId="09661C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0.01L</w:t>
            </w:r>
          </w:p>
        </w:tc>
        <w:tc>
          <w:tcPr>
            <w:tcW w:w="2185" w:type="dxa"/>
            <w:tcBorders>
              <w:tl2br w:val="nil"/>
              <w:tr2bl w:val="nil"/>
            </w:tcBorders>
            <w:vAlign w:val="center"/>
          </w:tcPr>
          <w:p w14:paraId="211D87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0.01L</w:t>
            </w:r>
          </w:p>
        </w:tc>
      </w:tr>
      <w:tr w14:paraId="59E6D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5BB9D8A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铜</w:t>
            </w:r>
          </w:p>
        </w:tc>
        <w:tc>
          <w:tcPr>
            <w:tcW w:w="2055" w:type="dxa"/>
            <w:tcBorders>
              <w:tl2br w:val="nil"/>
              <w:tr2bl w:val="nil"/>
            </w:tcBorders>
            <w:vAlign w:val="center"/>
          </w:tcPr>
          <w:p w14:paraId="418E77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750" w:type="dxa"/>
            <w:tcBorders>
              <w:tl2br w:val="nil"/>
              <w:tr2bl w:val="nil"/>
            </w:tcBorders>
            <w:vAlign w:val="center"/>
          </w:tcPr>
          <w:p w14:paraId="545CB0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910" w:type="dxa"/>
            <w:tcBorders>
              <w:tl2br w:val="nil"/>
              <w:tr2bl w:val="nil"/>
            </w:tcBorders>
            <w:vAlign w:val="center"/>
          </w:tcPr>
          <w:p w14:paraId="779B12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2185" w:type="dxa"/>
            <w:tcBorders>
              <w:tl2br w:val="nil"/>
              <w:tr2bl w:val="nil"/>
            </w:tcBorders>
            <w:vAlign w:val="center"/>
          </w:tcPr>
          <w:p w14:paraId="35B304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r>
      <w:tr w14:paraId="38DFF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3F817A3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镍</w:t>
            </w:r>
          </w:p>
        </w:tc>
        <w:tc>
          <w:tcPr>
            <w:tcW w:w="2055" w:type="dxa"/>
            <w:tcBorders>
              <w:tl2br w:val="nil"/>
              <w:tr2bl w:val="nil"/>
            </w:tcBorders>
            <w:vAlign w:val="center"/>
          </w:tcPr>
          <w:p w14:paraId="1C4CC9A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750" w:type="dxa"/>
            <w:tcBorders>
              <w:tl2br w:val="nil"/>
              <w:tr2bl w:val="nil"/>
            </w:tcBorders>
            <w:vAlign w:val="center"/>
          </w:tcPr>
          <w:p w14:paraId="761D2B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910" w:type="dxa"/>
            <w:tcBorders>
              <w:tl2br w:val="nil"/>
              <w:tr2bl w:val="nil"/>
            </w:tcBorders>
            <w:vAlign w:val="center"/>
          </w:tcPr>
          <w:p w14:paraId="0F95D5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2185" w:type="dxa"/>
            <w:tcBorders>
              <w:tl2br w:val="nil"/>
              <w:tr2bl w:val="nil"/>
            </w:tcBorders>
            <w:vAlign w:val="center"/>
          </w:tcPr>
          <w:p w14:paraId="674181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r>
      <w:tr w14:paraId="46A4C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0242F5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六价铬</w:t>
            </w:r>
          </w:p>
        </w:tc>
        <w:tc>
          <w:tcPr>
            <w:tcW w:w="2055" w:type="dxa"/>
            <w:tcBorders>
              <w:tl2br w:val="nil"/>
              <w:tr2bl w:val="nil"/>
            </w:tcBorders>
            <w:vAlign w:val="center"/>
          </w:tcPr>
          <w:p w14:paraId="69771A1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4L</w:t>
            </w:r>
          </w:p>
        </w:tc>
        <w:tc>
          <w:tcPr>
            <w:tcW w:w="1750" w:type="dxa"/>
            <w:tcBorders>
              <w:tl2br w:val="nil"/>
              <w:tr2bl w:val="nil"/>
            </w:tcBorders>
            <w:vAlign w:val="center"/>
          </w:tcPr>
          <w:p w14:paraId="0C28C3A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4L</w:t>
            </w:r>
          </w:p>
        </w:tc>
        <w:tc>
          <w:tcPr>
            <w:tcW w:w="1910" w:type="dxa"/>
            <w:tcBorders>
              <w:tl2br w:val="nil"/>
              <w:tr2bl w:val="nil"/>
            </w:tcBorders>
            <w:vAlign w:val="center"/>
          </w:tcPr>
          <w:p w14:paraId="2F75DF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4L</w:t>
            </w:r>
          </w:p>
        </w:tc>
        <w:tc>
          <w:tcPr>
            <w:tcW w:w="2185" w:type="dxa"/>
            <w:tcBorders>
              <w:tl2br w:val="nil"/>
              <w:tr2bl w:val="nil"/>
            </w:tcBorders>
            <w:vAlign w:val="center"/>
          </w:tcPr>
          <w:p w14:paraId="2ED8643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w:t>
            </w:r>
            <w:r>
              <w:rPr>
                <w:rFonts w:hint="default" w:ascii="Times New Roman" w:hAnsi="Times New Roman" w:eastAsia="宋体" w:cs="Times New Roman"/>
                <w:color w:val="000000" w:themeColor="text1"/>
                <w:sz w:val="21"/>
                <w:szCs w:val="21"/>
                <w:highlight w:val="none"/>
                <w14:textFill>
                  <w14:solidFill>
                    <w14:schemeClr w14:val="tx1"/>
                  </w14:solidFill>
                </w14:textFill>
              </w:rPr>
              <w:t>L</w:t>
            </w:r>
          </w:p>
        </w:tc>
      </w:tr>
      <w:tr w14:paraId="372C5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vMerge w:val="restart"/>
            <w:tcBorders>
              <w:tl2br w:val="nil"/>
              <w:tr2bl w:val="nil"/>
            </w:tcBorders>
            <w:vAlign w:val="center"/>
          </w:tcPr>
          <w:p w14:paraId="0F980C5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监测项目</w:t>
            </w:r>
          </w:p>
        </w:tc>
        <w:tc>
          <w:tcPr>
            <w:tcW w:w="3805" w:type="dxa"/>
            <w:gridSpan w:val="2"/>
            <w:tcBorders>
              <w:tl2br w:val="nil"/>
              <w:tr2bl w:val="nil"/>
            </w:tcBorders>
            <w:vAlign w:val="center"/>
          </w:tcPr>
          <w:p w14:paraId="0FC652D0">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芳3转油站永久占地内（芳3转油站外输油管线）（污染控制点）</w:t>
            </w:r>
          </w:p>
        </w:tc>
        <w:tc>
          <w:tcPr>
            <w:tcW w:w="4095" w:type="dxa"/>
            <w:gridSpan w:val="2"/>
            <w:tcBorders>
              <w:tl2br w:val="nil"/>
              <w:tr2bl w:val="nil"/>
            </w:tcBorders>
            <w:vAlign w:val="center"/>
          </w:tcPr>
          <w:p w14:paraId="4EF268A4">
            <w:pPr>
              <w:pStyle w:val="14"/>
              <w:keepNext w:val="0"/>
              <w:keepLines w:val="0"/>
              <w:pageBreakBefore w:val="0"/>
              <w:widowControl w:val="0"/>
              <w:kinsoku/>
              <w:wordWrap/>
              <w:overflowPunct/>
              <w:topLinePunct w:val="0"/>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芳3转油站南侧100m</w:t>
            </w:r>
            <w:r>
              <w:rPr>
                <w:rFonts w:hint="default" w:ascii="Times New Roman" w:hAnsi="Times New Roman" w:eastAsia="宋体" w:cs="Times New Roman"/>
                <w:color w:val="000000" w:themeColor="text1"/>
                <w:sz w:val="21"/>
                <w:szCs w:val="21"/>
                <w:highlight w:val="none"/>
                <w14:textFill>
                  <w14:solidFill>
                    <w14:schemeClr w14:val="tx1"/>
                  </w14:solidFill>
                </w14:textFill>
              </w:rPr>
              <w:t>对照点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芳3转油站外输油管线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（清洁对照点）</w:t>
            </w:r>
          </w:p>
        </w:tc>
      </w:tr>
      <w:tr w14:paraId="5A73E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vMerge w:val="continue"/>
            <w:tcBorders>
              <w:tl2br w:val="nil"/>
              <w:tr2bl w:val="nil"/>
            </w:tcBorders>
            <w:vAlign w:val="bottom"/>
          </w:tcPr>
          <w:p w14:paraId="3215FAC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055" w:type="dxa"/>
            <w:tcBorders>
              <w:tl2br w:val="nil"/>
              <w:tr2bl w:val="nil"/>
            </w:tcBorders>
            <w:vAlign w:val="center"/>
          </w:tcPr>
          <w:p w14:paraId="1C433E2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20cm</w:t>
            </w:r>
          </w:p>
        </w:tc>
        <w:tc>
          <w:tcPr>
            <w:tcW w:w="1750" w:type="dxa"/>
            <w:tcBorders>
              <w:tl2br w:val="nil"/>
              <w:tr2bl w:val="nil"/>
            </w:tcBorders>
            <w:vAlign w:val="center"/>
          </w:tcPr>
          <w:p w14:paraId="2BBC236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40cm</w:t>
            </w:r>
          </w:p>
        </w:tc>
        <w:tc>
          <w:tcPr>
            <w:tcW w:w="1910" w:type="dxa"/>
            <w:tcBorders>
              <w:tl2br w:val="nil"/>
              <w:tr2bl w:val="nil"/>
            </w:tcBorders>
            <w:vAlign w:val="center"/>
          </w:tcPr>
          <w:p w14:paraId="2059937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20cm</w:t>
            </w:r>
          </w:p>
        </w:tc>
        <w:tc>
          <w:tcPr>
            <w:tcW w:w="2185" w:type="dxa"/>
            <w:tcBorders>
              <w:tl2br w:val="nil"/>
              <w:tr2bl w:val="nil"/>
            </w:tcBorders>
            <w:vAlign w:val="center"/>
          </w:tcPr>
          <w:p w14:paraId="5A3E553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40cm</w:t>
            </w:r>
          </w:p>
        </w:tc>
      </w:tr>
      <w:tr w14:paraId="452B4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4DF5CBA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2055" w:type="dxa"/>
            <w:tcBorders>
              <w:tl2br w:val="nil"/>
              <w:tr2bl w:val="nil"/>
            </w:tcBorders>
            <w:vAlign w:val="center"/>
          </w:tcPr>
          <w:p w14:paraId="666C11DE">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7.9</w:t>
            </w:r>
          </w:p>
        </w:tc>
        <w:tc>
          <w:tcPr>
            <w:tcW w:w="1750" w:type="dxa"/>
            <w:tcBorders>
              <w:tl2br w:val="nil"/>
              <w:tr2bl w:val="nil"/>
            </w:tcBorders>
            <w:vAlign w:val="center"/>
          </w:tcPr>
          <w:p w14:paraId="6AC697A8">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w:t>
            </w:r>
          </w:p>
        </w:tc>
        <w:tc>
          <w:tcPr>
            <w:tcW w:w="1910" w:type="dxa"/>
            <w:tcBorders>
              <w:tl2br w:val="nil"/>
              <w:tr2bl w:val="nil"/>
            </w:tcBorders>
            <w:vAlign w:val="center"/>
          </w:tcPr>
          <w:p w14:paraId="6BECCA4A">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7.4</w:t>
            </w:r>
          </w:p>
        </w:tc>
        <w:tc>
          <w:tcPr>
            <w:tcW w:w="2185" w:type="dxa"/>
            <w:tcBorders>
              <w:tl2br w:val="nil"/>
              <w:tr2bl w:val="nil"/>
            </w:tcBorders>
            <w:vAlign w:val="center"/>
          </w:tcPr>
          <w:p w14:paraId="36A93C6E">
            <w:pPr>
              <w:keepNext w:val="0"/>
              <w:keepLines w:val="0"/>
              <w:pageBreakBefore w:val="0"/>
              <w:tabs>
                <w:tab w:val="left" w:pos="6560"/>
              </w:tabs>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7.6</w:t>
            </w:r>
          </w:p>
        </w:tc>
      </w:tr>
      <w:tr w14:paraId="1AAF6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4826387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2055" w:type="dxa"/>
            <w:tcBorders>
              <w:tl2br w:val="nil"/>
              <w:tr2bl w:val="nil"/>
            </w:tcBorders>
            <w:vAlign w:val="center"/>
          </w:tcPr>
          <w:p w14:paraId="42A0F8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c>
          <w:tcPr>
            <w:tcW w:w="1750" w:type="dxa"/>
            <w:tcBorders>
              <w:tl2br w:val="nil"/>
              <w:tr2bl w:val="nil"/>
            </w:tcBorders>
            <w:vAlign w:val="center"/>
          </w:tcPr>
          <w:p w14:paraId="2596502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c>
          <w:tcPr>
            <w:tcW w:w="1910" w:type="dxa"/>
            <w:tcBorders>
              <w:tl2br w:val="nil"/>
              <w:tr2bl w:val="nil"/>
            </w:tcBorders>
            <w:vAlign w:val="center"/>
          </w:tcPr>
          <w:p w14:paraId="18863CD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c>
          <w:tcPr>
            <w:tcW w:w="2185" w:type="dxa"/>
            <w:tcBorders>
              <w:tl2br w:val="nil"/>
              <w:tr2bl w:val="nil"/>
            </w:tcBorders>
            <w:vAlign w:val="center"/>
          </w:tcPr>
          <w:p w14:paraId="4F15CE1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0.2L</w:t>
            </w:r>
          </w:p>
        </w:tc>
      </w:tr>
      <w:tr w14:paraId="1284E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74B714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2055" w:type="dxa"/>
            <w:tcBorders>
              <w:tl2br w:val="nil"/>
              <w:tr2bl w:val="nil"/>
            </w:tcBorders>
            <w:vAlign w:val="center"/>
          </w:tcPr>
          <w:p w14:paraId="31E8BA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750" w:type="dxa"/>
            <w:tcBorders>
              <w:tl2br w:val="nil"/>
              <w:tr2bl w:val="nil"/>
            </w:tcBorders>
            <w:vAlign w:val="center"/>
          </w:tcPr>
          <w:p w14:paraId="5FB01C9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910" w:type="dxa"/>
            <w:tcBorders>
              <w:tl2br w:val="nil"/>
              <w:tr2bl w:val="nil"/>
            </w:tcBorders>
            <w:vAlign w:val="center"/>
          </w:tcPr>
          <w:p w14:paraId="6F9C10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2185" w:type="dxa"/>
            <w:tcBorders>
              <w:tl2br w:val="nil"/>
              <w:tr2bl w:val="nil"/>
            </w:tcBorders>
            <w:vAlign w:val="center"/>
          </w:tcPr>
          <w:p w14:paraId="5ABA39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r>
      <w:tr w14:paraId="58924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44EFCDC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汞</w:t>
            </w:r>
          </w:p>
        </w:tc>
        <w:tc>
          <w:tcPr>
            <w:tcW w:w="2055" w:type="dxa"/>
            <w:tcBorders>
              <w:tl2br w:val="nil"/>
              <w:tr2bl w:val="nil"/>
            </w:tcBorders>
            <w:vAlign w:val="center"/>
          </w:tcPr>
          <w:p w14:paraId="5377B79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c>
          <w:tcPr>
            <w:tcW w:w="1750" w:type="dxa"/>
            <w:tcBorders>
              <w:tl2br w:val="nil"/>
              <w:tr2bl w:val="nil"/>
            </w:tcBorders>
            <w:vAlign w:val="center"/>
          </w:tcPr>
          <w:p w14:paraId="5F4513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c>
          <w:tcPr>
            <w:tcW w:w="1910" w:type="dxa"/>
            <w:tcBorders>
              <w:tl2br w:val="nil"/>
              <w:tr2bl w:val="nil"/>
            </w:tcBorders>
            <w:vAlign w:val="center"/>
          </w:tcPr>
          <w:p w14:paraId="1DE7C18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c>
          <w:tcPr>
            <w:tcW w:w="2185" w:type="dxa"/>
            <w:tcBorders>
              <w:tl2br w:val="nil"/>
              <w:tr2bl w:val="nil"/>
            </w:tcBorders>
            <w:vAlign w:val="center"/>
          </w:tcPr>
          <w:p w14:paraId="7C2FCE3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0.04L</w:t>
            </w:r>
          </w:p>
        </w:tc>
      </w:tr>
      <w:tr w14:paraId="30A63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7B5AE3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总铬</w:t>
            </w:r>
          </w:p>
        </w:tc>
        <w:tc>
          <w:tcPr>
            <w:tcW w:w="2055" w:type="dxa"/>
            <w:tcBorders>
              <w:tl2br w:val="nil"/>
              <w:tr2bl w:val="nil"/>
            </w:tcBorders>
            <w:vAlign w:val="center"/>
          </w:tcPr>
          <w:p w14:paraId="38F764CF">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0.03L</w:t>
            </w:r>
          </w:p>
        </w:tc>
        <w:tc>
          <w:tcPr>
            <w:tcW w:w="1750" w:type="dxa"/>
            <w:tcBorders>
              <w:tl2br w:val="nil"/>
              <w:tr2bl w:val="nil"/>
            </w:tcBorders>
            <w:vAlign w:val="center"/>
          </w:tcPr>
          <w:p w14:paraId="203C1E7B">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0.03L</w:t>
            </w:r>
          </w:p>
        </w:tc>
        <w:tc>
          <w:tcPr>
            <w:tcW w:w="1910" w:type="dxa"/>
            <w:tcBorders>
              <w:tl2br w:val="nil"/>
              <w:tr2bl w:val="nil"/>
            </w:tcBorders>
            <w:vAlign w:val="center"/>
          </w:tcPr>
          <w:p w14:paraId="1CC2683F">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0.03L</w:t>
            </w:r>
          </w:p>
        </w:tc>
        <w:tc>
          <w:tcPr>
            <w:tcW w:w="2185" w:type="dxa"/>
            <w:tcBorders>
              <w:tl2br w:val="nil"/>
              <w:tr2bl w:val="nil"/>
            </w:tcBorders>
            <w:vAlign w:val="center"/>
          </w:tcPr>
          <w:p w14:paraId="3D6D3D84">
            <w:pPr>
              <w:keepNext w:val="0"/>
              <w:keepLines w:val="0"/>
              <w:pageBreakBefore w:val="0"/>
              <w:kinsoku/>
              <w:wordWrap/>
              <w:overflowPunct/>
              <w:topLinePunct w:val="0"/>
              <w:bidi w:val="0"/>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0.03L</w:t>
            </w:r>
          </w:p>
        </w:tc>
      </w:tr>
      <w:tr w14:paraId="0186F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center"/>
          </w:tcPr>
          <w:p w14:paraId="7C92D7D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2055" w:type="dxa"/>
            <w:tcBorders>
              <w:tl2br w:val="nil"/>
              <w:tr2bl w:val="nil"/>
            </w:tcBorders>
            <w:vAlign w:val="center"/>
          </w:tcPr>
          <w:p w14:paraId="0E5CE9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c>
          <w:tcPr>
            <w:tcW w:w="1750" w:type="dxa"/>
            <w:tcBorders>
              <w:tl2br w:val="nil"/>
              <w:tr2bl w:val="nil"/>
            </w:tcBorders>
            <w:vAlign w:val="center"/>
          </w:tcPr>
          <w:p w14:paraId="4651DC6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c>
          <w:tcPr>
            <w:tcW w:w="1910" w:type="dxa"/>
            <w:tcBorders>
              <w:tl2br w:val="nil"/>
              <w:tr2bl w:val="nil"/>
            </w:tcBorders>
            <w:vAlign w:val="center"/>
          </w:tcPr>
          <w:p w14:paraId="5C0EA4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c>
          <w:tcPr>
            <w:tcW w:w="2185" w:type="dxa"/>
            <w:tcBorders>
              <w:tl2br w:val="nil"/>
              <w:tr2bl w:val="nil"/>
            </w:tcBorders>
            <w:vAlign w:val="center"/>
          </w:tcPr>
          <w:p w14:paraId="0E911BE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0.06L</w:t>
            </w:r>
          </w:p>
        </w:tc>
      </w:tr>
      <w:tr w14:paraId="3C136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0B0E9C0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砷</w:t>
            </w:r>
          </w:p>
        </w:tc>
        <w:tc>
          <w:tcPr>
            <w:tcW w:w="2055" w:type="dxa"/>
            <w:tcBorders>
              <w:tl2br w:val="nil"/>
              <w:tr2bl w:val="nil"/>
            </w:tcBorders>
            <w:vAlign w:val="center"/>
          </w:tcPr>
          <w:p w14:paraId="41AA840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c>
          <w:tcPr>
            <w:tcW w:w="1750" w:type="dxa"/>
            <w:tcBorders>
              <w:tl2br w:val="nil"/>
              <w:tr2bl w:val="nil"/>
            </w:tcBorders>
            <w:vAlign w:val="center"/>
          </w:tcPr>
          <w:p w14:paraId="4BE99AE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c>
          <w:tcPr>
            <w:tcW w:w="1910" w:type="dxa"/>
            <w:tcBorders>
              <w:tl2br w:val="nil"/>
              <w:tr2bl w:val="nil"/>
            </w:tcBorders>
            <w:vAlign w:val="center"/>
          </w:tcPr>
          <w:p w14:paraId="034732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c>
          <w:tcPr>
            <w:tcW w:w="2185" w:type="dxa"/>
            <w:tcBorders>
              <w:tl2br w:val="nil"/>
              <w:tr2bl w:val="nil"/>
            </w:tcBorders>
            <w:vAlign w:val="center"/>
          </w:tcPr>
          <w:p w14:paraId="381183C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0.3L</w:t>
            </w:r>
          </w:p>
        </w:tc>
      </w:tr>
      <w:tr w14:paraId="08E95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0665513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挥发酚</w:t>
            </w:r>
          </w:p>
        </w:tc>
        <w:tc>
          <w:tcPr>
            <w:tcW w:w="2055" w:type="dxa"/>
            <w:tcBorders>
              <w:tl2br w:val="nil"/>
              <w:tr2bl w:val="nil"/>
            </w:tcBorders>
            <w:vAlign w:val="center"/>
          </w:tcPr>
          <w:p w14:paraId="09D3E7B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0.01L</w:t>
            </w:r>
          </w:p>
        </w:tc>
        <w:tc>
          <w:tcPr>
            <w:tcW w:w="1750" w:type="dxa"/>
            <w:tcBorders>
              <w:tl2br w:val="nil"/>
              <w:tr2bl w:val="nil"/>
            </w:tcBorders>
            <w:vAlign w:val="center"/>
          </w:tcPr>
          <w:p w14:paraId="5DA166F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0.01L</w:t>
            </w:r>
          </w:p>
        </w:tc>
        <w:tc>
          <w:tcPr>
            <w:tcW w:w="1910" w:type="dxa"/>
            <w:tcBorders>
              <w:tl2br w:val="nil"/>
              <w:tr2bl w:val="nil"/>
            </w:tcBorders>
            <w:vAlign w:val="center"/>
          </w:tcPr>
          <w:p w14:paraId="110DD86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0.01L</w:t>
            </w:r>
          </w:p>
        </w:tc>
        <w:tc>
          <w:tcPr>
            <w:tcW w:w="2185" w:type="dxa"/>
            <w:tcBorders>
              <w:tl2br w:val="nil"/>
              <w:tr2bl w:val="nil"/>
            </w:tcBorders>
            <w:vAlign w:val="center"/>
          </w:tcPr>
          <w:p w14:paraId="40AEA8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0.01L</w:t>
            </w:r>
          </w:p>
        </w:tc>
      </w:tr>
      <w:tr w14:paraId="09D38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6E8AA04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铜</w:t>
            </w:r>
          </w:p>
        </w:tc>
        <w:tc>
          <w:tcPr>
            <w:tcW w:w="2055" w:type="dxa"/>
            <w:tcBorders>
              <w:tl2br w:val="nil"/>
              <w:tr2bl w:val="nil"/>
            </w:tcBorders>
            <w:vAlign w:val="center"/>
          </w:tcPr>
          <w:p w14:paraId="1064FC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750" w:type="dxa"/>
            <w:tcBorders>
              <w:tl2br w:val="nil"/>
              <w:tr2bl w:val="nil"/>
            </w:tcBorders>
            <w:vAlign w:val="center"/>
          </w:tcPr>
          <w:p w14:paraId="2CB27F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910" w:type="dxa"/>
            <w:tcBorders>
              <w:tl2br w:val="nil"/>
              <w:tr2bl w:val="nil"/>
            </w:tcBorders>
            <w:vAlign w:val="center"/>
          </w:tcPr>
          <w:p w14:paraId="7B5A94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2185" w:type="dxa"/>
            <w:tcBorders>
              <w:tl2br w:val="nil"/>
              <w:tr2bl w:val="nil"/>
            </w:tcBorders>
            <w:vAlign w:val="center"/>
          </w:tcPr>
          <w:p w14:paraId="4D56D3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r>
      <w:tr w14:paraId="0314F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58B766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镍</w:t>
            </w:r>
          </w:p>
        </w:tc>
        <w:tc>
          <w:tcPr>
            <w:tcW w:w="2055" w:type="dxa"/>
            <w:tcBorders>
              <w:tl2br w:val="nil"/>
              <w:tr2bl w:val="nil"/>
            </w:tcBorders>
            <w:vAlign w:val="center"/>
          </w:tcPr>
          <w:p w14:paraId="33DB69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750" w:type="dxa"/>
            <w:tcBorders>
              <w:tl2br w:val="nil"/>
              <w:tr2bl w:val="nil"/>
            </w:tcBorders>
            <w:vAlign w:val="center"/>
          </w:tcPr>
          <w:p w14:paraId="7B2891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1910" w:type="dxa"/>
            <w:tcBorders>
              <w:tl2br w:val="nil"/>
              <w:tr2bl w:val="nil"/>
            </w:tcBorders>
            <w:vAlign w:val="center"/>
          </w:tcPr>
          <w:p w14:paraId="432C78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c>
          <w:tcPr>
            <w:tcW w:w="2185" w:type="dxa"/>
            <w:tcBorders>
              <w:tl2br w:val="nil"/>
              <w:tr2bl w:val="nil"/>
            </w:tcBorders>
            <w:vAlign w:val="center"/>
          </w:tcPr>
          <w:p w14:paraId="627E9B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0.05L</w:t>
            </w:r>
          </w:p>
        </w:tc>
      </w:tr>
      <w:tr w14:paraId="004FA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 w:type="dxa"/>
            <w:tcBorders>
              <w:tl2br w:val="nil"/>
              <w:tr2bl w:val="nil"/>
            </w:tcBorders>
            <w:vAlign w:val="bottom"/>
          </w:tcPr>
          <w:p w14:paraId="47A1D2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六价铬</w:t>
            </w:r>
          </w:p>
        </w:tc>
        <w:tc>
          <w:tcPr>
            <w:tcW w:w="2055" w:type="dxa"/>
            <w:tcBorders>
              <w:tl2br w:val="nil"/>
              <w:tr2bl w:val="nil"/>
            </w:tcBorders>
            <w:vAlign w:val="center"/>
          </w:tcPr>
          <w:p w14:paraId="1BEDD04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4L</w:t>
            </w:r>
          </w:p>
        </w:tc>
        <w:tc>
          <w:tcPr>
            <w:tcW w:w="1750" w:type="dxa"/>
            <w:tcBorders>
              <w:tl2br w:val="nil"/>
              <w:tr2bl w:val="nil"/>
            </w:tcBorders>
            <w:vAlign w:val="center"/>
          </w:tcPr>
          <w:p w14:paraId="368CA6C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4L</w:t>
            </w:r>
          </w:p>
        </w:tc>
        <w:tc>
          <w:tcPr>
            <w:tcW w:w="1910" w:type="dxa"/>
            <w:tcBorders>
              <w:tl2br w:val="nil"/>
              <w:tr2bl w:val="nil"/>
            </w:tcBorders>
            <w:vAlign w:val="center"/>
          </w:tcPr>
          <w:p w14:paraId="6BFD80A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4L</w:t>
            </w:r>
          </w:p>
        </w:tc>
        <w:tc>
          <w:tcPr>
            <w:tcW w:w="2185" w:type="dxa"/>
            <w:tcBorders>
              <w:tl2br w:val="nil"/>
              <w:tr2bl w:val="nil"/>
            </w:tcBorders>
            <w:vAlign w:val="center"/>
          </w:tcPr>
          <w:p w14:paraId="59AFEC4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w:t>
            </w:r>
            <w:r>
              <w:rPr>
                <w:rFonts w:hint="default" w:ascii="Times New Roman" w:hAnsi="Times New Roman" w:eastAsia="宋体" w:cs="Times New Roman"/>
                <w:color w:val="000000" w:themeColor="text1"/>
                <w:sz w:val="21"/>
                <w:szCs w:val="21"/>
                <w:highlight w:val="none"/>
                <w14:textFill>
                  <w14:solidFill>
                    <w14:schemeClr w14:val="tx1"/>
                  </w14:solidFill>
                </w14:textFill>
              </w:rPr>
              <w:t>L</w:t>
            </w:r>
          </w:p>
        </w:tc>
      </w:tr>
      <w:tr w14:paraId="5F6AD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88" w:type="dxa"/>
            <w:gridSpan w:val="5"/>
            <w:tcBorders>
              <w:tl2br w:val="nil"/>
              <w:tr2bl w:val="nil"/>
            </w:tcBorders>
            <w:vAlign w:val="center"/>
          </w:tcPr>
          <w:p w14:paraId="0948965C">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注：实测值数值后面的“L”，表示此检测项目实测值为“未检出”。</w:t>
            </w:r>
          </w:p>
          <w:p w14:paraId="3C2B935C">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计量单位：pH无量纲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，汞、砷μg/L，总铬和石油类、铜、镍、六价铬、铅、锌、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挥发酚为mg/L</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14:paraId="6E7C586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从调查结果可知，评价区域内包气带中汞、砷</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等</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均未检出，油田特征污染物石油类、挥发酚</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未检出</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，评价区域内包气带未被污染。</w:t>
      </w:r>
    </w:p>
    <w:p w14:paraId="61C376AC">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4.3.3地表水环境质量现状监测</w:t>
      </w:r>
    </w:p>
    <w:p w14:paraId="43D7B080">
      <w:pPr>
        <w:keepNext w:val="0"/>
        <w:keepLines w:val="0"/>
        <w:pageBreakBefore w:val="0"/>
        <w:widowControl/>
        <w:numPr>
          <w:ilvl w:val="0"/>
          <w:numId w:val="12"/>
        </w:numPr>
        <w:kinsoku/>
        <w:wordWrap/>
        <w:overflowPunct/>
        <w:topLinePunct w:val="0"/>
        <w:autoSpaceDE/>
        <w:autoSpaceDN/>
        <w:bidi w:val="0"/>
        <w:adjustRightInd/>
        <w:snapToGrid/>
        <w:spacing w:before="0" w:beforeLines="0"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监测点位</w:t>
      </w:r>
    </w:p>
    <w:p w14:paraId="56C83A09">
      <w:pPr>
        <w:keepNext w:val="0"/>
        <w:keepLines w:val="0"/>
        <w:pageBreakBefore w:val="0"/>
        <w:widowControl/>
        <w:numPr>
          <w:ilvl w:val="0"/>
          <w:numId w:val="0"/>
        </w:numPr>
        <w:kinsoku/>
        <w:wordWrap/>
        <w:overflowPunct/>
        <w:topLinePunct w:val="0"/>
        <w:autoSpaceDE/>
        <w:autoSpaceDN/>
        <w:bidi w:val="0"/>
        <w:adjustRightInd/>
        <w:snapToGrid/>
        <w:spacing w:before="0" w:beforeLines="0"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本项目区域内地表水体为宋芳屯排水沟，共布设1个监测点位。</w:t>
      </w:r>
    </w:p>
    <w:p w14:paraId="6AA40F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地表水监测点位置</w:t>
      </w:r>
    </w:p>
    <w:tbl>
      <w:tblPr>
        <w:tblStyle w:val="18"/>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930"/>
        <w:gridCol w:w="3683"/>
      </w:tblGrid>
      <w:tr w14:paraId="6B833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tcBorders>
              <w:tl2br w:val="nil"/>
              <w:tr2bl w:val="nil"/>
            </w:tcBorders>
            <w:vAlign w:val="center"/>
          </w:tcPr>
          <w:p w14:paraId="6BD1AB94">
            <w:pPr>
              <w:widowControl/>
              <w:adjustRightInd/>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点号</w:t>
            </w:r>
          </w:p>
        </w:tc>
        <w:tc>
          <w:tcPr>
            <w:tcW w:w="4930" w:type="dxa"/>
            <w:tcBorders>
              <w:tl2br w:val="nil"/>
              <w:tr2bl w:val="nil"/>
            </w:tcBorders>
            <w:vAlign w:val="center"/>
          </w:tcPr>
          <w:p w14:paraId="240A1ACE">
            <w:pPr>
              <w:widowControl/>
              <w:adjustRightInd/>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监测点名称</w:t>
            </w:r>
          </w:p>
        </w:tc>
        <w:tc>
          <w:tcPr>
            <w:tcW w:w="3683" w:type="dxa"/>
            <w:tcBorders>
              <w:tl2br w:val="nil"/>
              <w:tr2bl w:val="nil"/>
            </w:tcBorders>
            <w:vAlign w:val="center"/>
          </w:tcPr>
          <w:p w14:paraId="06EA82C9">
            <w:pPr>
              <w:widowControl/>
              <w:adjustRightInd/>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坐标</w:t>
            </w:r>
          </w:p>
        </w:tc>
      </w:tr>
      <w:tr w14:paraId="0EFF7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3" w:type="dxa"/>
            <w:tcBorders>
              <w:tl2br w:val="nil"/>
              <w:tr2bl w:val="nil"/>
            </w:tcBorders>
            <w:vAlign w:val="center"/>
          </w:tcPr>
          <w:p w14:paraId="0FBC63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黑体" w:cs="Times New Roman"/>
                <w:color w:val="000000" w:themeColor="text1"/>
                <w:sz w:val="21"/>
                <w:szCs w:val="21"/>
                <w:highlight w:val="none"/>
                <w:lang w:val="en-US" w:eastAsia="zh-CN"/>
                <w14:textFill>
                  <w14:solidFill>
                    <w14:schemeClr w14:val="tx1"/>
                  </w14:solidFill>
                </w14:textFill>
              </w:rPr>
              <w:t>DB</w:t>
            </w:r>
            <w:r>
              <w:rPr>
                <w:rFonts w:hint="default" w:ascii="Times New Roman" w:hAnsi="Times New Roman" w:eastAsia="黑体" w:cs="Times New Roman"/>
                <w:color w:val="000000" w:themeColor="text1"/>
                <w:sz w:val="21"/>
                <w:szCs w:val="21"/>
                <w:highlight w:val="none"/>
                <w:lang w:val="en-US" w:eastAsia="zh-CN"/>
                <w14:textFill>
                  <w14:solidFill>
                    <w14:schemeClr w14:val="tx1"/>
                  </w14:solidFill>
                </w14:textFill>
              </w:rPr>
              <w:t>1</w:t>
            </w:r>
          </w:p>
        </w:tc>
        <w:tc>
          <w:tcPr>
            <w:tcW w:w="4930" w:type="dxa"/>
            <w:tcBorders>
              <w:tl2br w:val="nil"/>
              <w:tr2bl w:val="nil"/>
            </w:tcBorders>
            <w:vAlign w:val="center"/>
          </w:tcPr>
          <w:p w14:paraId="52A111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芳3转油站外输油管线穿越</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（宋芳屯排水沟）</w:t>
            </w:r>
          </w:p>
        </w:tc>
        <w:tc>
          <w:tcPr>
            <w:tcW w:w="3683" w:type="dxa"/>
            <w:tcBorders>
              <w:tl2br w:val="nil"/>
              <w:tr2bl w:val="nil"/>
            </w:tcBorders>
            <w:vAlign w:val="center"/>
          </w:tcPr>
          <w:p w14:paraId="4C2F92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125.072200</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，45.990178</w:t>
            </w:r>
          </w:p>
        </w:tc>
      </w:tr>
    </w:tbl>
    <w:p w14:paraId="2F5FA05F">
      <w:pPr>
        <w:widowControl/>
        <w:numPr>
          <w:ilvl w:val="0"/>
          <w:numId w:val="12"/>
        </w:numPr>
        <w:adjustRightInd/>
        <w:snapToGrid w:val="0"/>
        <w:spacing w:after="0" w:line="360" w:lineRule="auto"/>
        <w:ind w:left="0" w:leftChars="0" w:firstLine="480" w:firstLineChars="200"/>
        <w:jc w:val="both"/>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监测项目</w:t>
      </w:r>
    </w:p>
    <w:p w14:paraId="78E1B6AC">
      <w:pPr>
        <w:widowControl/>
        <w:numPr>
          <w:ilvl w:val="0"/>
          <w:numId w:val="0"/>
        </w:numPr>
        <w:adjustRightInd/>
        <w:snapToGrid w:val="0"/>
        <w:spacing w:after="0" w:line="360" w:lineRule="auto"/>
        <w:ind w:firstLine="480" w:firstLineChars="200"/>
        <w:jc w:val="both"/>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pH、悬浮物、CODCr、BOD5、总磷、挥发酚、氨氮、石油类、硫化物、阴离子表面活性剂、汞、总铬、六价铬、镉、砷、镍、铅</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，共计17项</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2AEF999C">
      <w:pPr>
        <w:widowControl/>
        <w:numPr>
          <w:ilvl w:val="0"/>
          <w:numId w:val="12"/>
        </w:numPr>
        <w:adjustRightInd/>
        <w:snapToGrid w:val="0"/>
        <w:spacing w:after="0" w:line="360" w:lineRule="auto"/>
        <w:ind w:left="0" w:leftChars="0" w:firstLine="480" w:firstLineChars="200"/>
        <w:jc w:val="both"/>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监测时间</w:t>
      </w:r>
    </w:p>
    <w:p w14:paraId="0E7A1DA3">
      <w:pPr>
        <w:widowControl/>
        <w:numPr>
          <w:ilvl w:val="0"/>
          <w:numId w:val="0"/>
        </w:numPr>
        <w:adjustRightInd/>
        <w:snapToGrid w:val="0"/>
        <w:spacing w:after="0" w:line="360" w:lineRule="auto"/>
        <w:ind w:firstLine="480" w:firstLineChars="200"/>
        <w:jc w:val="both"/>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连续监测</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天，每天1次</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本次监测数据见表4.3-1</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w:t>
      </w:r>
    </w:p>
    <w:p w14:paraId="13813E0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zh-CN" w:eastAsia="zh-CN" w:bidi="ar-SA"/>
          <w14:textFill>
            <w14:solidFill>
              <w14:schemeClr w14:val="tx1"/>
            </w14:solidFill>
          </w14:textFill>
        </w:rPr>
        <w:t>表</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4.3-1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color w:val="000000" w:themeColor="text1"/>
          <w:kern w:val="2"/>
          <w:sz w:val="24"/>
          <w:szCs w:val="24"/>
          <w:highlight w:val="none"/>
          <w:lang w:val="zh-CN" w:eastAsia="zh-CN" w:bidi="ar-SA"/>
          <w14:textFill>
            <w14:solidFill>
              <w14:schemeClr w14:val="tx1"/>
            </w14:solidFill>
          </w14:textFill>
        </w:rPr>
        <w:t xml:space="preserve"> </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zh-CN" w:eastAsia="zh-CN" w:bidi="ar-SA"/>
          <w14:textFill>
            <w14:solidFill>
              <w14:schemeClr w14:val="tx1"/>
            </w14:solidFill>
          </w14:textFill>
        </w:rPr>
        <w:t>验收阶段</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地表水</w:t>
      </w:r>
      <w:r>
        <w:rPr>
          <w:rFonts w:hint="default" w:ascii="Times New Roman" w:hAnsi="Times New Roman" w:eastAsia="宋体" w:cs="Times New Roman"/>
          <w:b/>
          <w:color w:val="000000" w:themeColor="text1"/>
          <w:kern w:val="2"/>
          <w:sz w:val="24"/>
          <w:szCs w:val="24"/>
          <w:highlight w:val="none"/>
          <w:lang w:val="zh-CN" w:eastAsia="zh-CN" w:bidi="ar-SA"/>
          <w14:textFill>
            <w14:solidFill>
              <w14:schemeClr w14:val="tx1"/>
            </w14:solidFill>
          </w14:textFill>
        </w:rPr>
        <w:t>环境现状监测统计结果</w:t>
      </w:r>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070"/>
        <w:gridCol w:w="3061"/>
        <w:gridCol w:w="1865"/>
        <w:gridCol w:w="1579"/>
        <w:gridCol w:w="1711"/>
      </w:tblGrid>
      <w:tr w14:paraId="6A1AC5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576" w:type="pct"/>
            <w:vMerge w:val="restart"/>
            <w:tcBorders>
              <w:tl2br w:val="nil"/>
              <w:tr2bl w:val="nil"/>
            </w:tcBorders>
            <w:vAlign w:val="center"/>
          </w:tcPr>
          <w:p w14:paraId="694A4BAA">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w:t>
            </w:r>
          </w:p>
          <w:p w14:paraId="472802C5">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点位</w:t>
            </w:r>
          </w:p>
        </w:tc>
        <w:tc>
          <w:tcPr>
            <w:tcW w:w="1648" w:type="pct"/>
            <w:vMerge w:val="restart"/>
            <w:tcBorders>
              <w:tl2br w:val="nil"/>
              <w:tr2bl w:val="nil"/>
            </w:tcBorders>
            <w:shd w:val="clear" w:color="auto" w:fill="auto"/>
            <w:vAlign w:val="center"/>
          </w:tcPr>
          <w:p w14:paraId="6482B8FC">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监测项目</w:t>
            </w:r>
          </w:p>
        </w:tc>
        <w:tc>
          <w:tcPr>
            <w:tcW w:w="2775" w:type="pct"/>
            <w:gridSpan w:val="3"/>
            <w:tcBorders>
              <w:tl2br w:val="nil"/>
              <w:tr2bl w:val="nil"/>
            </w:tcBorders>
            <w:shd w:val="clear" w:color="auto" w:fill="auto"/>
            <w:vAlign w:val="center"/>
          </w:tcPr>
          <w:p w14:paraId="7F004281">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监测时间</w:t>
            </w:r>
          </w:p>
        </w:tc>
      </w:tr>
      <w:tr w14:paraId="658C7B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76" w:type="pct"/>
            <w:vMerge w:val="continue"/>
            <w:tcBorders>
              <w:tl2br w:val="nil"/>
              <w:tr2bl w:val="nil"/>
            </w:tcBorders>
            <w:vAlign w:val="center"/>
          </w:tcPr>
          <w:p w14:paraId="369E3ACC">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vMerge w:val="continue"/>
            <w:tcBorders>
              <w:tl2br w:val="nil"/>
              <w:tr2bl w:val="nil"/>
            </w:tcBorders>
            <w:shd w:val="clear" w:color="auto" w:fill="auto"/>
            <w:vAlign w:val="center"/>
          </w:tcPr>
          <w:p w14:paraId="3AE61F19">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04" w:type="pct"/>
            <w:tcBorders>
              <w:tl2br w:val="nil"/>
              <w:tr2bl w:val="nil"/>
            </w:tcBorders>
            <w:shd w:val="clear" w:color="auto" w:fill="auto"/>
            <w:vAlign w:val="center"/>
          </w:tcPr>
          <w:p w14:paraId="17E4DB64">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12.6</w:t>
            </w:r>
          </w:p>
        </w:tc>
        <w:tc>
          <w:tcPr>
            <w:tcW w:w="850" w:type="pct"/>
            <w:tcBorders>
              <w:tl2br w:val="nil"/>
              <w:tr2bl w:val="nil"/>
            </w:tcBorders>
            <w:shd w:val="clear" w:color="auto" w:fill="auto"/>
            <w:vAlign w:val="center"/>
          </w:tcPr>
          <w:p w14:paraId="64F03433">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12.7</w:t>
            </w:r>
          </w:p>
        </w:tc>
        <w:tc>
          <w:tcPr>
            <w:tcW w:w="921" w:type="pct"/>
            <w:tcBorders>
              <w:tl2br w:val="nil"/>
              <w:tr2bl w:val="nil"/>
            </w:tcBorders>
            <w:shd w:val="clear" w:color="auto" w:fill="auto"/>
            <w:vAlign w:val="center"/>
          </w:tcPr>
          <w:p w14:paraId="15CED178">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12.8</w:t>
            </w:r>
          </w:p>
        </w:tc>
      </w:tr>
      <w:tr w14:paraId="53E7D8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restart"/>
            <w:tcBorders>
              <w:tl2br w:val="nil"/>
              <w:tr2bl w:val="nil"/>
            </w:tcBorders>
            <w:vAlign w:val="center"/>
          </w:tcPr>
          <w:p w14:paraId="7C4AC8E9">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DB1</w:t>
            </w:r>
          </w:p>
        </w:tc>
        <w:tc>
          <w:tcPr>
            <w:tcW w:w="1648" w:type="pct"/>
            <w:tcBorders>
              <w:tl2br w:val="nil"/>
              <w:tr2bl w:val="nil"/>
            </w:tcBorders>
            <w:shd w:val="clear" w:color="auto" w:fill="auto"/>
            <w:vAlign w:val="center"/>
          </w:tcPr>
          <w:p w14:paraId="1EEC1286">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pH值（无量纲）</w:t>
            </w:r>
          </w:p>
        </w:tc>
        <w:tc>
          <w:tcPr>
            <w:tcW w:w="1865" w:type="dxa"/>
            <w:tcBorders>
              <w:tl2br w:val="nil"/>
              <w:tr2bl w:val="nil"/>
            </w:tcBorders>
            <w:shd w:val="clear" w:color="auto" w:fill="auto"/>
            <w:vAlign w:val="center"/>
          </w:tcPr>
          <w:p w14:paraId="4053F47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7.3</w:t>
            </w:r>
          </w:p>
        </w:tc>
        <w:tc>
          <w:tcPr>
            <w:tcW w:w="1579" w:type="dxa"/>
            <w:tcBorders>
              <w:tl2br w:val="nil"/>
              <w:tr2bl w:val="nil"/>
            </w:tcBorders>
            <w:shd w:val="clear" w:color="auto" w:fill="auto"/>
            <w:vAlign w:val="center"/>
          </w:tcPr>
          <w:p w14:paraId="16B3DB6F">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7.1</w:t>
            </w:r>
          </w:p>
        </w:tc>
        <w:tc>
          <w:tcPr>
            <w:tcW w:w="1711" w:type="dxa"/>
            <w:tcBorders>
              <w:tl2br w:val="nil"/>
              <w:tr2bl w:val="nil"/>
            </w:tcBorders>
            <w:shd w:val="clear" w:color="auto" w:fill="auto"/>
            <w:vAlign w:val="center"/>
          </w:tcPr>
          <w:p w14:paraId="172CE91D">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7.2</w:t>
            </w:r>
          </w:p>
        </w:tc>
      </w:tr>
      <w:tr w14:paraId="76888C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77B9C5B8">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7158229D">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悬浮物</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178C3CF0">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w:t>
            </w:r>
          </w:p>
        </w:tc>
        <w:tc>
          <w:tcPr>
            <w:tcW w:w="1579" w:type="dxa"/>
            <w:tcBorders>
              <w:tl2br w:val="nil"/>
              <w:tr2bl w:val="nil"/>
            </w:tcBorders>
            <w:shd w:val="clear" w:color="auto" w:fill="auto"/>
            <w:vAlign w:val="center"/>
          </w:tcPr>
          <w:p w14:paraId="40DCC738">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9</w:t>
            </w:r>
          </w:p>
        </w:tc>
        <w:tc>
          <w:tcPr>
            <w:tcW w:w="1711" w:type="dxa"/>
            <w:tcBorders>
              <w:tl2br w:val="nil"/>
              <w:tr2bl w:val="nil"/>
            </w:tcBorders>
            <w:shd w:val="clear" w:color="auto" w:fill="auto"/>
            <w:vAlign w:val="center"/>
          </w:tcPr>
          <w:p w14:paraId="7E50B06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11</w:t>
            </w:r>
          </w:p>
        </w:tc>
      </w:tr>
      <w:tr w14:paraId="7822CE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3D10233C">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67F3B2B2">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化学需氧量</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7AA58C4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72</w:t>
            </w:r>
          </w:p>
        </w:tc>
        <w:tc>
          <w:tcPr>
            <w:tcW w:w="1579" w:type="dxa"/>
            <w:tcBorders>
              <w:tl2br w:val="nil"/>
              <w:tr2bl w:val="nil"/>
            </w:tcBorders>
            <w:shd w:val="clear" w:color="auto" w:fill="auto"/>
            <w:vAlign w:val="center"/>
          </w:tcPr>
          <w:p w14:paraId="38A72B44">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74</w:t>
            </w:r>
          </w:p>
        </w:tc>
        <w:tc>
          <w:tcPr>
            <w:tcW w:w="1711" w:type="dxa"/>
            <w:tcBorders>
              <w:tl2br w:val="nil"/>
              <w:tr2bl w:val="nil"/>
            </w:tcBorders>
            <w:shd w:val="clear" w:color="auto" w:fill="auto"/>
            <w:vAlign w:val="center"/>
          </w:tcPr>
          <w:p w14:paraId="443E2CA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76</w:t>
            </w:r>
          </w:p>
        </w:tc>
      </w:tr>
      <w:tr w14:paraId="70E902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3D4DE971">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55C576EF">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五日生化需氧量</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2BDDC1D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15.9</w:t>
            </w:r>
          </w:p>
        </w:tc>
        <w:tc>
          <w:tcPr>
            <w:tcW w:w="1579" w:type="dxa"/>
            <w:tcBorders>
              <w:tl2br w:val="nil"/>
              <w:tr2bl w:val="nil"/>
            </w:tcBorders>
            <w:shd w:val="clear" w:color="auto" w:fill="auto"/>
            <w:vAlign w:val="center"/>
          </w:tcPr>
          <w:p w14:paraId="1CE2E0E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16.5</w:t>
            </w:r>
          </w:p>
        </w:tc>
        <w:tc>
          <w:tcPr>
            <w:tcW w:w="1711" w:type="dxa"/>
            <w:tcBorders>
              <w:tl2br w:val="nil"/>
              <w:tr2bl w:val="nil"/>
            </w:tcBorders>
            <w:shd w:val="clear" w:color="auto" w:fill="auto"/>
            <w:vAlign w:val="center"/>
          </w:tcPr>
          <w:p w14:paraId="45F49DA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16.3</w:t>
            </w:r>
          </w:p>
        </w:tc>
      </w:tr>
      <w:tr w14:paraId="3ABA7A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123A913C">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7625E147">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汞</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μg/L</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7C534700">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0.04L</w:t>
            </w:r>
          </w:p>
        </w:tc>
        <w:tc>
          <w:tcPr>
            <w:tcW w:w="1579" w:type="dxa"/>
            <w:tcBorders>
              <w:tl2br w:val="nil"/>
              <w:tr2bl w:val="nil"/>
            </w:tcBorders>
            <w:shd w:val="clear" w:color="auto" w:fill="auto"/>
            <w:vAlign w:val="center"/>
          </w:tcPr>
          <w:p w14:paraId="6365135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0.04L</w:t>
            </w:r>
          </w:p>
        </w:tc>
        <w:tc>
          <w:tcPr>
            <w:tcW w:w="1711" w:type="dxa"/>
            <w:tcBorders>
              <w:tl2br w:val="nil"/>
              <w:tr2bl w:val="nil"/>
            </w:tcBorders>
            <w:shd w:val="clear" w:color="auto" w:fill="auto"/>
            <w:vAlign w:val="center"/>
          </w:tcPr>
          <w:p w14:paraId="02EE4DA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0.04L</w:t>
            </w:r>
          </w:p>
        </w:tc>
      </w:tr>
      <w:tr w14:paraId="0487A15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2184518B">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6AA4B33E">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砷</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μg/L</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3001B04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0.3L</w:t>
            </w:r>
          </w:p>
        </w:tc>
        <w:tc>
          <w:tcPr>
            <w:tcW w:w="1579" w:type="dxa"/>
            <w:tcBorders>
              <w:tl2br w:val="nil"/>
              <w:tr2bl w:val="nil"/>
            </w:tcBorders>
            <w:shd w:val="clear" w:color="auto" w:fill="auto"/>
            <w:vAlign w:val="center"/>
          </w:tcPr>
          <w:p w14:paraId="2B118D1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0.3L</w:t>
            </w:r>
          </w:p>
        </w:tc>
        <w:tc>
          <w:tcPr>
            <w:tcW w:w="1711" w:type="dxa"/>
            <w:tcBorders>
              <w:tl2br w:val="nil"/>
              <w:tr2bl w:val="nil"/>
            </w:tcBorders>
            <w:shd w:val="clear" w:color="auto" w:fill="auto"/>
            <w:vAlign w:val="center"/>
          </w:tcPr>
          <w:p w14:paraId="52AF56EF">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0.3L</w:t>
            </w:r>
          </w:p>
        </w:tc>
      </w:tr>
      <w:tr w14:paraId="59FF2E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79F227EB">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08F55EB0">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铅</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μg/L</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18F6EC65">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579" w:type="dxa"/>
            <w:tcBorders>
              <w:tl2br w:val="nil"/>
              <w:tr2bl w:val="nil"/>
            </w:tcBorders>
            <w:shd w:val="clear" w:color="auto" w:fill="auto"/>
            <w:vAlign w:val="center"/>
          </w:tcPr>
          <w:p w14:paraId="19EF7418">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c>
          <w:tcPr>
            <w:tcW w:w="1711" w:type="dxa"/>
            <w:tcBorders>
              <w:tl2br w:val="nil"/>
              <w:tr2bl w:val="nil"/>
            </w:tcBorders>
            <w:shd w:val="clear" w:color="auto" w:fill="auto"/>
            <w:vAlign w:val="center"/>
          </w:tcPr>
          <w:p w14:paraId="2001A198">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10L</w:t>
            </w:r>
          </w:p>
        </w:tc>
      </w:tr>
      <w:tr w14:paraId="4B4662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3E130176">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1A0C8147">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镉</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μg/L</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5CCBF3C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1L</w:t>
            </w:r>
          </w:p>
        </w:tc>
        <w:tc>
          <w:tcPr>
            <w:tcW w:w="1579" w:type="dxa"/>
            <w:tcBorders>
              <w:tl2br w:val="nil"/>
              <w:tr2bl w:val="nil"/>
            </w:tcBorders>
            <w:shd w:val="clear" w:color="auto" w:fill="auto"/>
            <w:vAlign w:val="center"/>
          </w:tcPr>
          <w:p w14:paraId="718BA3E4">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1L</w:t>
            </w:r>
          </w:p>
        </w:tc>
        <w:tc>
          <w:tcPr>
            <w:tcW w:w="1711" w:type="dxa"/>
            <w:tcBorders>
              <w:tl2br w:val="nil"/>
              <w:tr2bl w:val="nil"/>
            </w:tcBorders>
            <w:shd w:val="clear" w:color="auto" w:fill="auto"/>
            <w:vAlign w:val="center"/>
          </w:tcPr>
          <w:p w14:paraId="567479B5">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1L</w:t>
            </w:r>
          </w:p>
        </w:tc>
      </w:tr>
      <w:tr w14:paraId="37B18A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4" w:hRule="atLeast"/>
          <w:jc w:val="center"/>
        </w:trPr>
        <w:tc>
          <w:tcPr>
            <w:tcW w:w="576" w:type="pct"/>
            <w:vMerge w:val="continue"/>
            <w:tcBorders>
              <w:tl2br w:val="nil"/>
              <w:tr2bl w:val="nil"/>
            </w:tcBorders>
            <w:vAlign w:val="center"/>
          </w:tcPr>
          <w:p w14:paraId="3DB4436F">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6F59F369">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铬</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472A97F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0.03L</w:t>
            </w:r>
          </w:p>
        </w:tc>
        <w:tc>
          <w:tcPr>
            <w:tcW w:w="1579" w:type="dxa"/>
            <w:tcBorders>
              <w:tl2br w:val="nil"/>
              <w:tr2bl w:val="nil"/>
            </w:tcBorders>
            <w:shd w:val="clear" w:color="auto" w:fill="auto"/>
            <w:vAlign w:val="center"/>
          </w:tcPr>
          <w:p w14:paraId="66C568D9">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0.03L</w:t>
            </w:r>
          </w:p>
        </w:tc>
        <w:tc>
          <w:tcPr>
            <w:tcW w:w="1711" w:type="dxa"/>
            <w:tcBorders>
              <w:tl2br w:val="nil"/>
              <w:tr2bl w:val="nil"/>
            </w:tcBorders>
            <w:shd w:val="clear" w:color="auto" w:fill="auto"/>
            <w:vAlign w:val="center"/>
          </w:tcPr>
          <w:p w14:paraId="75F52F3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0.03L</w:t>
            </w:r>
          </w:p>
        </w:tc>
      </w:tr>
      <w:tr w14:paraId="22BDA4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2608EF60">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02F408F0">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六价铬</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Style w:val="118"/>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t>mg/L</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1715CE69">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0.004L</w:t>
            </w:r>
          </w:p>
        </w:tc>
        <w:tc>
          <w:tcPr>
            <w:tcW w:w="1579" w:type="dxa"/>
            <w:tcBorders>
              <w:tl2br w:val="nil"/>
              <w:tr2bl w:val="nil"/>
            </w:tcBorders>
            <w:shd w:val="clear" w:color="auto" w:fill="auto"/>
            <w:vAlign w:val="center"/>
          </w:tcPr>
          <w:p w14:paraId="46BC018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0.004L</w:t>
            </w:r>
          </w:p>
        </w:tc>
        <w:tc>
          <w:tcPr>
            <w:tcW w:w="1711" w:type="dxa"/>
            <w:tcBorders>
              <w:tl2br w:val="nil"/>
              <w:tr2bl w:val="nil"/>
            </w:tcBorders>
            <w:shd w:val="clear" w:color="auto" w:fill="auto"/>
            <w:vAlign w:val="center"/>
          </w:tcPr>
          <w:p w14:paraId="73BC655F">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highlight w:val="none"/>
                <w:lang w:val="en-US" w:eastAsia="zh-CN" w:bidi="ar-SA"/>
                <w14:textFill>
                  <w14:solidFill>
                    <w14:schemeClr w14:val="tx1"/>
                  </w14:solidFill>
                </w14:textFill>
              </w:rPr>
              <w:t>0.004L</w:t>
            </w:r>
          </w:p>
        </w:tc>
      </w:tr>
      <w:tr w14:paraId="1DB403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10AB708F">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11D6EEC4">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氨氮</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Style w:val="118"/>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t>mg/L</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3E68C737">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1.54</w:t>
            </w:r>
          </w:p>
        </w:tc>
        <w:tc>
          <w:tcPr>
            <w:tcW w:w="1579" w:type="dxa"/>
            <w:tcBorders>
              <w:tl2br w:val="nil"/>
              <w:tr2bl w:val="nil"/>
            </w:tcBorders>
            <w:shd w:val="clear" w:color="auto" w:fill="auto"/>
            <w:vAlign w:val="center"/>
          </w:tcPr>
          <w:p w14:paraId="1BDCC60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1.48</w:t>
            </w:r>
          </w:p>
        </w:tc>
        <w:tc>
          <w:tcPr>
            <w:tcW w:w="1711" w:type="dxa"/>
            <w:tcBorders>
              <w:tl2br w:val="nil"/>
              <w:tr2bl w:val="nil"/>
            </w:tcBorders>
            <w:shd w:val="clear" w:color="auto" w:fill="auto"/>
            <w:vAlign w:val="center"/>
          </w:tcPr>
          <w:p w14:paraId="4C0ECC2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1.52</w:t>
            </w:r>
          </w:p>
        </w:tc>
      </w:tr>
      <w:tr w14:paraId="58A586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31B3973A">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5DA973F0">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总磷</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2FA6E076">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0.12</w:t>
            </w:r>
          </w:p>
        </w:tc>
        <w:tc>
          <w:tcPr>
            <w:tcW w:w="1579" w:type="dxa"/>
            <w:tcBorders>
              <w:tl2br w:val="nil"/>
              <w:tr2bl w:val="nil"/>
            </w:tcBorders>
            <w:shd w:val="clear" w:color="auto" w:fill="auto"/>
            <w:vAlign w:val="center"/>
          </w:tcPr>
          <w:p w14:paraId="5485E58D">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0.15</w:t>
            </w:r>
          </w:p>
        </w:tc>
        <w:tc>
          <w:tcPr>
            <w:tcW w:w="1711" w:type="dxa"/>
            <w:tcBorders>
              <w:tl2br w:val="nil"/>
              <w:tr2bl w:val="nil"/>
            </w:tcBorders>
            <w:shd w:val="clear" w:color="auto" w:fill="auto"/>
            <w:vAlign w:val="center"/>
          </w:tcPr>
          <w:p w14:paraId="0E158A6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0.16</w:t>
            </w:r>
          </w:p>
        </w:tc>
      </w:tr>
      <w:tr w14:paraId="6A32828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3D325443">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0198C638">
            <w:pPr>
              <w:pStyle w:val="120"/>
              <w:keepNext w:val="0"/>
              <w:keepLines w:val="0"/>
              <w:pageBreakBefore w:val="0"/>
              <w:widowControl/>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石油类</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5BDFE6E0">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0.06L</w:t>
            </w:r>
          </w:p>
        </w:tc>
        <w:tc>
          <w:tcPr>
            <w:tcW w:w="1579" w:type="dxa"/>
            <w:tcBorders>
              <w:tl2br w:val="nil"/>
              <w:tr2bl w:val="nil"/>
            </w:tcBorders>
            <w:shd w:val="clear" w:color="auto" w:fill="auto"/>
            <w:vAlign w:val="center"/>
          </w:tcPr>
          <w:p w14:paraId="51CD4B08">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0.06L</w:t>
            </w:r>
          </w:p>
        </w:tc>
        <w:tc>
          <w:tcPr>
            <w:tcW w:w="1711" w:type="dxa"/>
            <w:tcBorders>
              <w:tl2br w:val="nil"/>
              <w:tr2bl w:val="nil"/>
            </w:tcBorders>
            <w:shd w:val="clear" w:color="auto" w:fill="auto"/>
            <w:vAlign w:val="center"/>
          </w:tcPr>
          <w:p w14:paraId="66DA806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0.06L</w:t>
            </w:r>
          </w:p>
        </w:tc>
      </w:tr>
      <w:tr w14:paraId="44CCD0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08C25E9C">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428C24F6">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挥发酚</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Style w:val="118"/>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t>mg/L</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42702CC3">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0.0003L</w:t>
            </w:r>
          </w:p>
        </w:tc>
        <w:tc>
          <w:tcPr>
            <w:tcW w:w="1579" w:type="dxa"/>
            <w:tcBorders>
              <w:tl2br w:val="nil"/>
              <w:tr2bl w:val="nil"/>
            </w:tcBorders>
            <w:shd w:val="clear" w:color="auto" w:fill="auto"/>
            <w:vAlign w:val="center"/>
          </w:tcPr>
          <w:p w14:paraId="34C23804">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0.0003L</w:t>
            </w:r>
          </w:p>
        </w:tc>
        <w:tc>
          <w:tcPr>
            <w:tcW w:w="1711" w:type="dxa"/>
            <w:tcBorders>
              <w:tl2br w:val="nil"/>
              <w:tr2bl w:val="nil"/>
            </w:tcBorders>
            <w:shd w:val="clear" w:color="auto" w:fill="auto"/>
            <w:vAlign w:val="center"/>
          </w:tcPr>
          <w:p w14:paraId="2E18E9FD">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0.0003L</w:t>
            </w:r>
          </w:p>
        </w:tc>
      </w:tr>
      <w:tr w14:paraId="61983E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22D88C67">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29B4662C">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硫化物</w:t>
            </w:r>
            <w: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mg/L）</w:t>
            </w:r>
          </w:p>
        </w:tc>
        <w:tc>
          <w:tcPr>
            <w:tcW w:w="1865" w:type="dxa"/>
            <w:tcBorders>
              <w:tl2br w:val="nil"/>
              <w:tr2bl w:val="nil"/>
            </w:tcBorders>
            <w:shd w:val="clear" w:color="auto" w:fill="auto"/>
            <w:vAlign w:val="center"/>
          </w:tcPr>
          <w:p w14:paraId="683C07F4">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0.01L</w:t>
            </w:r>
          </w:p>
        </w:tc>
        <w:tc>
          <w:tcPr>
            <w:tcW w:w="1579" w:type="dxa"/>
            <w:tcBorders>
              <w:tl2br w:val="nil"/>
              <w:tr2bl w:val="nil"/>
            </w:tcBorders>
            <w:shd w:val="clear" w:color="auto" w:fill="auto"/>
            <w:vAlign w:val="center"/>
          </w:tcPr>
          <w:p w14:paraId="2686108E">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0.01L</w:t>
            </w:r>
          </w:p>
        </w:tc>
        <w:tc>
          <w:tcPr>
            <w:tcW w:w="1711" w:type="dxa"/>
            <w:tcBorders>
              <w:tl2br w:val="nil"/>
              <w:tr2bl w:val="nil"/>
            </w:tcBorders>
            <w:shd w:val="clear" w:color="auto" w:fill="auto"/>
            <w:vAlign w:val="center"/>
          </w:tcPr>
          <w:p w14:paraId="1A2A682F">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0.01L</w:t>
            </w:r>
          </w:p>
        </w:tc>
      </w:tr>
      <w:tr w14:paraId="0EC511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3610982F">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118C5663">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阴离子表面活性剂</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Style w:val="118"/>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t>mg/L</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0D59425A">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0.05L</w:t>
            </w:r>
          </w:p>
        </w:tc>
        <w:tc>
          <w:tcPr>
            <w:tcW w:w="1579" w:type="dxa"/>
            <w:tcBorders>
              <w:tl2br w:val="nil"/>
              <w:tr2bl w:val="nil"/>
            </w:tcBorders>
            <w:shd w:val="clear" w:color="auto" w:fill="auto"/>
            <w:vAlign w:val="center"/>
          </w:tcPr>
          <w:p w14:paraId="2DBABDD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0.05L</w:t>
            </w:r>
          </w:p>
        </w:tc>
        <w:tc>
          <w:tcPr>
            <w:tcW w:w="1711" w:type="dxa"/>
            <w:tcBorders>
              <w:tl2br w:val="nil"/>
              <w:tr2bl w:val="nil"/>
            </w:tcBorders>
            <w:shd w:val="clear" w:color="auto" w:fill="auto"/>
            <w:vAlign w:val="center"/>
          </w:tcPr>
          <w:p w14:paraId="29CBF4FC">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0.05L</w:t>
            </w:r>
          </w:p>
        </w:tc>
      </w:tr>
      <w:tr w14:paraId="64411A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76" w:type="pct"/>
            <w:vMerge w:val="continue"/>
            <w:tcBorders>
              <w:tl2br w:val="nil"/>
              <w:tr2bl w:val="nil"/>
            </w:tcBorders>
            <w:vAlign w:val="center"/>
          </w:tcPr>
          <w:p w14:paraId="1F03FC58">
            <w:pPr>
              <w:keepNext w:val="0"/>
              <w:keepLines w:val="0"/>
              <w:pageBreakBefore w:val="0"/>
              <w:widowControl w:val="0"/>
              <w:kinsoku/>
              <w:wordWrap/>
              <w:overflowPunct/>
              <w:topLinePunct w:val="0"/>
              <w:autoSpaceDE/>
              <w:autoSpaceDN/>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48" w:type="pct"/>
            <w:tcBorders>
              <w:tl2br w:val="nil"/>
              <w:tr2bl w:val="nil"/>
            </w:tcBorders>
            <w:shd w:val="clear" w:color="auto" w:fill="auto"/>
            <w:vAlign w:val="center"/>
          </w:tcPr>
          <w:p w14:paraId="1C4986E6">
            <w:pPr>
              <w:keepNext w:val="0"/>
              <w:keepLines w:val="0"/>
              <w:pageBreakBefore w:val="0"/>
              <w:widowControl/>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镍</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r>
              <w:rPr>
                <w:rStyle w:val="118"/>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t>mg/L</w:t>
            </w: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w:t>
            </w:r>
          </w:p>
        </w:tc>
        <w:tc>
          <w:tcPr>
            <w:tcW w:w="1865" w:type="dxa"/>
            <w:tcBorders>
              <w:tl2br w:val="nil"/>
              <w:tr2bl w:val="nil"/>
            </w:tcBorders>
            <w:shd w:val="clear" w:color="auto" w:fill="auto"/>
            <w:vAlign w:val="center"/>
          </w:tcPr>
          <w:p w14:paraId="02B6C8BB">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0.05L</w:t>
            </w:r>
          </w:p>
        </w:tc>
        <w:tc>
          <w:tcPr>
            <w:tcW w:w="1579" w:type="dxa"/>
            <w:tcBorders>
              <w:tl2br w:val="nil"/>
              <w:tr2bl w:val="nil"/>
            </w:tcBorders>
            <w:shd w:val="clear" w:color="auto" w:fill="auto"/>
            <w:vAlign w:val="center"/>
          </w:tcPr>
          <w:p w14:paraId="088EA882">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0.05L</w:t>
            </w:r>
          </w:p>
        </w:tc>
        <w:tc>
          <w:tcPr>
            <w:tcW w:w="1711" w:type="dxa"/>
            <w:tcBorders>
              <w:tl2br w:val="nil"/>
              <w:tr2bl w:val="nil"/>
            </w:tcBorders>
            <w:shd w:val="clear" w:color="auto" w:fill="auto"/>
            <w:vAlign w:val="center"/>
          </w:tcPr>
          <w:p w14:paraId="2774EAE9">
            <w:pPr>
              <w:keepNext w:val="0"/>
              <w:keepLines w:val="0"/>
              <w:pageBreakBefore w:val="0"/>
              <w:widowControl w:val="0"/>
              <w:kinsoku/>
              <w:wordWrap/>
              <w:overflowPunct/>
              <w:topLinePunct w:val="0"/>
              <w:autoSpaceDE/>
              <w:autoSpaceDN/>
              <w:bidi w:val="0"/>
              <w:adjustRightInd/>
              <w:snapToGrid w:val="0"/>
              <w:spacing w:before="0" w:beforeAutospacing="0" w:after="0" w:afterAutospacing="0" w:line="280" w:lineRule="exact"/>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118"/>
                <w:rFonts w:hint="default" w:ascii="Times New Roman" w:hAnsi="Times New Roman" w:eastAsia="宋体" w:cs="Times New Roman"/>
                <w:b w:val="0"/>
                <w:bCs/>
                <w:i w:val="0"/>
                <w:caps w:val="0"/>
                <w:color w:val="000000" w:themeColor="text1"/>
                <w:spacing w:val="0"/>
                <w:w w:val="100"/>
                <w:kern w:val="2"/>
                <w:sz w:val="21"/>
                <w:szCs w:val="21"/>
                <w:lang w:val="en-US" w:eastAsia="zh-CN" w:bidi="ar-SA"/>
                <w14:textFill>
                  <w14:solidFill>
                    <w14:schemeClr w14:val="tx1"/>
                  </w14:solidFill>
                </w14:textFill>
              </w:rPr>
              <w:t>0.05L</w:t>
            </w:r>
          </w:p>
        </w:tc>
      </w:tr>
    </w:tbl>
    <w:p w14:paraId="030DA1D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根据监测结果可知，宋芳屯排水沟水质pH为7.1-7.3，COD浓度为72—76mg/L，氨氮浓度为1.48—1.54mg/L，石油类未检出，挥发酚、硫化物未检出，宋芳屯排水沟水质没有明显差异。</w:t>
      </w:r>
    </w:p>
    <w:p w14:paraId="56B27ECF">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声环境质量现状监测与评价</w:t>
      </w:r>
    </w:p>
    <w:p w14:paraId="52D7C631">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.1声环境质量现状监测</w:t>
      </w:r>
    </w:p>
    <w:p w14:paraId="4472BE1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委托黑龙江省吉瑞达检测科技有限公司</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于20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日对本项目区域声环境监测数据。</w:t>
      </w:r>
    </w:p>
    <w:p w14:paraId="2607F3A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（1）监测点布设</w:t>
      </w:r>
    </w:p>
    <w:p w14:paraId="31A4CEA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根据本项目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更换管道分布</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情况，在本项目所在区域共布设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个监测点，监测点布设见表4.3-1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，具体监测点位见附图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0B165B1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5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声环境现状监测点位表</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491"/>
        <w:gridCol w:w="2946"/>
        <w:gridCol w:w="4089"/>
      </w:tblGrid>
      <w:tr w14:paraId="3097C0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2" w:type="dxa"/>
            <w:tcBorders>
              <w:tl2br w:val="nil"/>
              <w:tr2bl w:val="nil"/>
            </w:tcBorders>
            <w:vAlign w:val="center"/>
          </w:tcPr>
          <w:p w14:paraId="550D76C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491" w:type="dxa"/>
            <w:tcBorders>
              <w:tl2br w:val="nil"/>
              <w:tr2bl w:val="nil"/>
            </w:tcBorders>
            <w:vAlign w:val="center"/>
          </w:tcPr>
          <w:p w14:paraId="7D6C503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监测点</w:t>
            </w:r>
          </w:p>
        </w:tc>
        <w:tc>
          <w:tcPr>
            <w:tcW w:w="2946" w:type="dxa"/>
            <w:tcBorders>
              <w:tl2br w:val="nil"/>
              <w:tr2bl w:val="nil"/>
            </w:tcBorders>
            <w:vAlign w:val="center"/>
          </w:tcPr>
          <w:p w14:paraId="6A3A3CD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监测坐标</w:t>
            </w:r>
          </w:p>
        </w:tc>
        <w:tc>
          <w:tcPr>
            <w:tcW w:w="4089" w:type="dxa"/>
            <w:tcBorders>
              <w:tl2br w:val="nil"/>
              <w:tr2bl w:val="nil"/>
            </w:tcBorders>
            <w:vAlign w:val="center"/>
          </w:tcPr>
          <w:p w14:paraId="4DF663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项目位置关系</w:t>
            </w:r>
          </w:p>
        </w:tc>
      </w:tr>
      <w:tr w14:paraId="07446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2" w:type="dxa"/>
            <w:tcBorders>
              <w:tl2br w:val="nil"/>
              <w:tr2bl w:val="nil"/>
            </w:tcBorders>
            <w:vAlign w:val="center"/>
          </w:tcPr>
          <w:p w14:paraId="0DE6DDB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N1</w:t>
            </w:r>
          </w:p>
        </w:tc>
        <w:tc>
          <w:tcPr>
            <w:tcW w:w="1491" w:type="dxa"/>
            <w:tcBorders>
              <w:tl2br w:val="nil"/>
              <w:tr2bl w:val="nil"/>
            </w:tcBorders>
            <w:vAlign w:val="center"/>
          </w:tcPr>
          <w:p w14:paraId="147BE2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盛广和屯</w:t>
            </w:r>
          </w:p>
        </w:tc>
        <w:tc>
          <w:tcPr>
            <w:tcW w:w="2946" w:type="dxa"/>
            <w:tcBorders>
              <w:tl2br w:val="nil"/>
              <w:tr2bl w:val="nil"/>
            </w:tcBorders>
            <w:vAlign w:val="center"/>
          </w:tcPr>
          <w:p w14:paraId="1B48F2EE">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125.040797</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，45.987077</w:t>
            </w:r>
          </w:p>
        </w:tc>
        <w:tc>
          <w:tcPr>
            <w:tcW w:w="4089" w:type="dxa"/>
            <w:tcBorders>
              <w:tl2br w:val="nil"/>
              <w:tr2bl w:val="nil"/>
            </w:tcBorders>
            <w:vAlign w:val="center"/>
          </w:tcPr>
          <w:p w14:paraId="52DF0B1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85m</w:t>
            </w:r>
          </w:p>
        </w:tc>
      </w:tr>
      <w:tr w14:paraId="546B8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2" w:type="dxa"/>
            <w:tcBorders>
              <w:tl2br w:val="nil"/>
              <w:tr2bl w:val="nil"/>
            </w:tcBorders>
            <w:vAlign w:val="center"/>
          </w:tcPr>
          <w:p w14:paraId="3FFB2D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N2</w:t>
            </w:r>
          </w:p>
        </w:tc>
        <w:tc>
          <w:tcPr>
            <w:tcW w:w="1491" w:type="dxa"/>
            <w:tcBorders>
              <w:tl2br w:val="nil"/>
              <w:tr2bl w:val="nil"/>
            </w:tcBorders>
            <w:vAlign w:val="center"/>
          </w:tcPr>
          <w:p w14:paraId="1BFC0D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散户1</w:t>
            </w:r>
          </w:p>
        </w:tc>
        <w:tc>
          <w:tcPr>
            <w:tcW w:w="2946" w:type="dxa"/>
            <w:tcBorders>
              <w:tl2br w:val="nil"/>
              <w:tr2bl w:val="nil"/>
            </w:tcBorders>
            <w:vAlign w:val="center"/>
          </w:tcPr>
          <w:p w14:paraId="738727D4">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124.950883</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，45.972457</w:t>
            </w:r>
          </w:p>
        </w:tc>
        <w:tc>
          <w:tcPr>
            <w:tcW w:w="4089" w:type="dxa"/>
            <w:tcBorders>
              <w:tl2br w:val="nil"/>
              <w:tr2bl w:val="nil"/>
            </w:tcBorders>
            <w:vAlign w:val="center"/>
          </w:tcPr>
          <w:p w14:paraId="551A081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195m</w:t>
            </w:r>
          </w:p>
        </w:tc>
      </w:tr>
      <w:tr w14:paraId="5F91FE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62" w:type="dxa"/>
            <w:tcBorders>
              <w:tl2br w:val="nil"/>
              <w:tr2bl w:val="nil"/>
            </w:tcBorders>
            <w:vAlign w:val="center"/>
          </w:tcPr>
          <w:p w14:paraId="0C2F8D6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N3</w:t>
            </w:r>
          </w:p>
        </w:tc>
        <w:tc>
          <w:tcPr>
            <w:tcW w:w="1491" w:type="dxa"/>
            <w:tcBorders>
              <w:tl2br w:val="nil"/>
              <w:tr2bl w:val="nil"/>
            </w:tcBorders>
            <w:vAlign w:val="center"/>
          </w:tcPr>
          <w:p w14:paraId="601698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宋芳屯居住区</w:t>
            </w:r>
          </w:p>
        </w:tc>
        <w:tc>
          <w:tcPr>
            <w:tcW w:w="2946" w:type="dxa"/>
            <w:tcBorders>
              <w:tl2br w:val="nil"/>
              <w:tr2bl w:val="nil"/>
            </w:tcBorders>
            <w:vAlign w:val="center"/>
          </w:tcPr>
          <w:p w14:paraId="64EC0611">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125.070537</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，45.987961</w:t>
            </w:r>
          </w:p>
        </w:tc>
        <w:tc>
          <w:tcPr>
            <w:tcW w:w="4089" w:type="dxa"/>
            <w:tcBorders>
              <w:tl2br w:val="nil"/>
              <w:tr2bl w:val="nil"/>
            </w:tcBorders>
            <w:vAlign w:val="center"/>
          </w:tcPr>
          <w:p w14:paraId="1AA3D5B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芳</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3转油站外输油管线</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南侧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120m</w:t>
            </w:r>
          </w:p>
        </w:tc>
      </w:tr>
    </w:tbl>
    <w:p w14:paraId="385830F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（2）监测时间及频次</w:t>
      </w:r>
    </w:p>
    <w:p w14:paraId="48C56E2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监测时间：</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2025年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lang w:val="en-US" w:eastAsia="ja-JP"/>
          <w14:textFill>
            <w14:solidFill>
              <w14:schemeClr w14:val="tx1"/>
            </w14:solidFill>
          </w14:textFill>
        </w:rPr>
        <w:t>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76A392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监测频次：连续监测2天，昼夜各1次。</w:t>
      </w:r>
    </w:p>
    <w:p w14:paraId="709371E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（3）监测结果</w:t>
      </w:r>
    </w:p>
    <w:p w14:paraId="6253032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声环境现状监测结果见表4.3-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0C36605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6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声环境现状监测结果表单位：dB（A）</w:t>
      </w:r>
    </w:p>
    <w:tbl>
      <w:tblPr>
        <w:tblStyle w:val="18"/>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706"/>
        <w:gridCol w:w="1665"/>
        <w:gridCol w:w="1605"/>
        <w:gridCol w:w="1635"/>
        <w:gridCol w:w="1670"/>
      </w:tblGrid>
      <w:tr w14:paraId="40DE9E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57" w:type="pct"/>
            <w:vMerge w:val="restart"/>
            <w:tcBorders>
              <w:left w:val="single" w:color="000000" w:sz="12" w:space="0"/>
            </w:tcBorders>
            <w:vAlign w:val="center"/>
          </w:tcPr>
          <w:p w14:paraId="4FD9284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监测点位</w:t>
            </w:r>
          </w:p>
        </w:tc>
        <w:tc>
          <w:tcPr>
            <w:tcW w:w="1761" w:type="pct"/>
            <w:gridSpan w:val="2"/>
            <w:vAlign w:val="center"/>
          </w:tcPr>
          <w:p w14:paraId="6733365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2025.12.6</w:t>
            </w:r>
          </w:p>
        </w:tc>
        <w:tc>
          <w:tcPr>
            <w:tcW w:w="1780" w:type="pct"/>
            <w:gridSpan w:val="2"/>
            <w:tcBorders>
              <w:right w:val="single" w:color="000000" w:sz="12" w:space="0"/>
            </w:tcBorders>
            <w:vAlign w:val="center"/>
          </w:tcPr>
          <w:p w14:paraId="129F13F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2025.12.7</w:t>
            </w:r>
          </w:p>
        </w:tc>
      </w:tr>
      <w:tr w14:paraId="0A23B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57" w:type="pct"/>
            <w:vMerge w:val="continue"/>
            <w:tcBorders>
              <w:left w:val="single" w:color="000000" w:sz="12" w:space="0"/>
            </w:tcBorders>
            <w:vAlign w:val="center"/>
          </w:tcPr>
          <w:p w14:paraId="29D59F9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896" w:type="pct"/>
            <w:vAlign w:val="center"/>
          </w:tcPr>
          <w:p w14:paraId="412D6D9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昼间</w:t>
            </w:r>
          </w:p>
        </w:tc>
        <w:tc>
          <w:tcPr>
            <w:tcW w:w="864" w:type="pct"/>
            <w:vAlign w:val="center"/>
          </w:tcPr>
          <w:p w14:paraId="667E82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夜间</w:t>
            </w:r>
          </w:p>
        </w:tc>
        <w:tc>
          <w:tcPr>
            <w:tcW w:w="880" w:type="pct"/>
            <w:vAlign w:val="center"/>
          </w:tcPr>
          <w:p w14:paraId="28F893C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昼间</w:t>
            </w:r>
          </w:p>
        </w:tc>
        <w:tc>
          <w:tcPr>
            <w:tcW w:w="899" w:type="pct"/>
            <w:tcBorders>
              <w:right w:val="single" w:color="000000" w:sz="12" w:space="0"/>
            </w:tcBorders>
            <w:vAlign w:val="center"/>
          </w:tcPr>
          <w:p w14:paraId="41494AD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夜间</w:t>
            </w:r>
          </w:p>
        </w:tc>
      </w:tr>
      <w:tr w14:paraId="46C1B8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706" w:type="dxa"/>
            <w:tcBorders>
              <w:left w:val="single" w:color="000000" w:sz="12" w:space="0"/>
            </w:tcBorders>
            <w:vAlign w:val="center"/>
          </w:tcPr>
          <w:p w14:paraId="29CC19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盛广和屯</w:t>
            </w:r>
          </w:p>
        </w:tc>
        <w:tc>
          <w:tcPr>
            <w:tcW w:w="1665" w:type="dxa"/>
            <w:vAlign w:val="center"/>
          </w:tcPr>
          <w:p w14:paraId="145F8F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605" w:type="dxa"/>
            <w:vAlign w:val="center"/>
          </w:tcPr>
          <w:p w14:paraId="245BB3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1635" w:type="dxa"/>
            <w:vAlign w:val="center"/>
          </w:tcPr>
          <w:p w14:paraId="2346C09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1670" w:type="dxa"/>
            <w:tcBorders>
              <w:right w:val="single" w:color="000000" w:sz="12" w:space="0"/>
            </w:tcBorders>
            <w:vAlign w:val="center"/>
          </w:tcPr>
          <w:p w14:paraId="47E054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r>
      <w:tr w14:paraId="19BEF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706" w:type="dxa"/>
            <w:tcBorders>
              <w:left w:val="single" w:color="000000" w:sz="12" w:space="0"/>
            </w:tcBorders>
            <w:vAlign w:val="center"/>
          </w:tcPr>
          <w:p w14:paraId="05F856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散户1</w:t>
            </w:r>
          </w:p>
        </w:tc>
        <w:tc>
          <w:tcPr>
            <w:tcW w:w="1665" w:type="dxa"/>
            <w:vAlign w:val="center"/>
          </w:tcPr>
          <w:p w14:paraId="1272BF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w:t>
            </w:r>
          </w:p>
        </w:tc>
        <w:tc>
          <w:tcPr>
            <w:tcW w:w="1605" w:type="dxa"/>
            <w:vAlign w:val="center"/>
          </w:tcPr>
          <w:p w14:paraId="04B27C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c>
          <w:tcPr>
            <w:tcW w:w="1635" w:type="dxa"/>
            <w:vAlign w:val="center"/>
          </w:tcPr>
          <w:p w14:paraId="5FE55E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670" w:type="dxa"/>
            <w:tcBorders>
              <w:right w:val="single" w:color="000000" w:sz="12" w:space="0"/>
            </w:tcBorders>
            <w:vAlign w:val="center"/>
          </w:tcPr>
          <w:p w14:paraId="3FCE7B3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r>
      <w:tr w14:paraId="49E3FB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2706" w:type="dxa"/>
            <w:tcBorders>
              <w:left w:val="single" w:color="000000" w:sz="12" w:space="0"/>
            </w:tcBorders>
            <w:vAlign w:val="center"/>
          </w:tcPr>
          <w:p w14:paraId="20659F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宋芳屯居住区</w:t>
            </w:r>
          </w:p>
        </w:tc>
        <w:tc>
          <w:tcPr>
            <w:tcW w:w="1665" w:type="dxa"/>
            <w:vAlign w:val="center"/>
          </w:tcPr>
          <w:p w14:paraId="2414FF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605" w:type="dxa"/>
            <w:vAlign w:val="center"/>
          </w:tcPr>
          <w:p w14:paraId="047128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635" w:type="dxa"/>
            <w:vAlign w:val="center"/>
          </w:tcPr>
          <w:p w14:paraId="01BFBB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1670" w:type="dxa"/>
            <w:tcBorders>
              <w:right w:val="single" w:color="000000" w:sz="12" w:space="0"/>
            </w:tcBorders>
            <w:vAlign w:val="center"/>
          </w:tcPr>
          <w:p w14:paraId="60A44C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r>
      <w:tr w14:paraId="02EF20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57" w:type="pct"/>
            <w:tcBorders>
              <w:left w:val="single" w:color="000000" w:sz="12" w:space="0"/>
            </w:tcBorders>
            <w:vAlign w:val="center"/>
          </w:tcPr>
          <w:p w14:paraId="5393880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标准值</w:t>
            </w:r>
          </w:p>
        </w:tc>
        <w:tc>
          <w:tcPr>
            <w:tcW w:w="896" w:type="pct"/>
            <w:vAlign w:val="center"/>
          </w:tcPr>
          <w:p w14:paraId="25FD13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64" w:type="pct"/>
            <w:vAlign w:val="center"/>
          </w:tcPr>
          <w:p w14:paraId="5ACF275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880" w:type="pct"/>
            <w:vAlign w:val="center"/>
          </w:tcPr>
          <w:p w14:paraId="714EA60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99" w:type="pct"/>
            <w:tcBorders>
              <w:right w:val="single" w:color="000000" w:sz="12" w:space="0"/>
            </w:tcBorders>
            <w:vAlign w:val="center"/>
          </w:tcPr>
          <w:p w14:paraId="13864A8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r>
    </w:tbl>
    <w:p w14:paraId="183374D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.2声环境质量现状评价</w:t>
      </w:r>
    </w:p>
    <w:p w14:paraId="560F863A">
      <w:pPr>
        <w:keepNext w:val="0"/>
        <w:keepLines w:val="0"/>
        <w:pageBreakBefore w:val="0"/>
        <w:widowControl w:val="0"/>
        <w:kinsoku/>
        <w:wordWrap/>
        <w:overflowPunct/>
        <w:topLinePunct w:val="0"/>
        <w:autoSpaceDE/>
        <w:autoSpaceDN/>
        <w:bidi w:val="0"/>
        <w:adjustRightInd w:val="0"/>
        <w:snapToGrid w:val="0"/>
        <w:spacing w:after="0" w:line="360" w:lineRule="auto"/>
        <w:ind w:firstLine="434"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cs="Times New Roman" w:eastAsiaTheme="minorEastAsia"/>
          <w:color w:val="000000" w:themeColor="text1"/>
          <w:w w:val="99"/>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w w:val="99"/>
          <w:highlight w:val="none"/>
          <w:lang w:val="en-US" w:eastAsia="zh-CN"/>
          <w14:textFill>
            <w14:solidFill>
              <w14:schemeClr w14:val="tx1"/>
            </w14:solidFill>
          </w14:textFill>
        </w:rPr>
        <w:t>1</w:t>
      </w:r>
      <w:r>
        <w:rPr>
          <w:rFonts w:hint="default" w:ascii="Times New Roman" w:hAnsi="Times New Roman" w:cs="Times New Roman" w:eastAsiaTheme="minorEastAsia"/>
          <w:color w:val="000000" w:themeColor="text1"/>
          <w:w w:val="99"/>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评价标准</w:t>
      </w:r>
    </w:p>
    <w:p w14:paraId="02BE37F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评价区域内村屯执行</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《声环境质量标准》（GB3096-2008）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类</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标准</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73FB08D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（2）评价方法</w:t>
      </w:r>
    </w:p>
    <w:p w14:paraId="243D6A7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声环境质量现状评价采用对标法进行评价。</w:t>
      </w:r>
    </w:p>
    <w:p w14:paraId="183AA31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（3）评价结论</w:t>
      </w:r>
    </w:p>
    <w:p w14:paraId="2952B87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eastAsia="ja-JP"/>
          <w14:textFill>
            <w14:solidFill>
              <w14:schemeClr w14:val="tx1"/>
            </w14:solidFill>
          </w14:textFill>
        </w:rPr>
      </w:pPr>
      <w:r>
        <w:rPr>
          <w:rFonts w:hint="default" w:ascii="Times New Roman" w:hAnsi="Times New Roman" w:eastAsia="宋体" w:cs="Times New Roman"/>
          <w:color w:val="000000" w:themeColor="text1"/>
          <w:sz w:val="24"/>
          <w:highlight w:val="none"/>
          <w:lang w:eastAsia="ja-JP"/>
          <w14:textFill>
            <w14:solidFill>
              <w14:schemeClr w14:val="tx1"/>
            </w14:solidFill>
          </w14:textFill>
        </w:rPr>
        <w:t>由建设项目区域声环境质量现状监测结果与执行评价标准限值对比分析可知，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评价区域内村屯声环境质量满足</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《声环境质量标准》（GB3096-2008）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类</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标准</w:t>
      </w:r>
      <w:r>
        <w:rPr>
          <w:rFonts w:hint="default" w:ascii="Times New Roman" w:hAnsi="Times New Roman" w:eastAsia="宋体" w:cs="Times New Roman"/>
          <w:color w:val="000000" w:themeColor="text1"/>
          <w:sz w:val="24"/>
          <w:highlight w:val="none"/>
          <w:lang w:eastAsia="ja-JP"/>
          <w14:textFill>
            <w14:solidFill>
              <w14:schemeClr w14:val="tx1"/>
            </w14:solidFill>
          </w14:textFill>
        </w:rPr>
        <w:t>。</w:t>
      </w:r>
    </w:p>
    <w:p w14:paraId="4CF568DF">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土壤质量现状监测与评价</w:t>
      </w:r>
    </w:p>
    <w:p w14:paraId="616848B1">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.1土壤类型</w:t>
      </w:r>
    </w:p>
    <w:p w14:paraId="3C6226A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根据现场踏勘及国家土壤信息服务平台（http://www.soilinfo.cn/map/）资料显示，本项目占地范围（包括现有工程）内土壤类型为</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草甸土</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。项目区域土壤类型图见附图4-</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p>
    <w:p w14:paraId="1BD0114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.2土壤理化特性调查</w:t>
      </w:r>
    </w:p>
    <w:p w14:paraId="0D29E4A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充分收集资料的基础上，根据土壤环境影响类型、建设项目特征与评价需要，有针对性地选择土壤理化特性调查内容，主要包括土体构型、土壤结构、土壤质地、阳离子交换量、氧化还原电位、饱和导水率、土壤容重、孔隙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含水率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等，根据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黑龙江省吉瑞达检测科技有限公司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日对评价区域土壤理化特性调查结果，</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具体土壤理化特性调查见表4.3-1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6DCE9EF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.3土壤环境质量现状监测</w:t>
      </w:r>
    </w:p>
    <w:p w14:paraId="589F1F0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（1）采样点布设</w:t>
      </w:r>
    </w:p>
    <w:p w14:paraId="625B628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本项目土壤环境影响类型属于污染影响型项目，评价等级为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级，评价范围内的每种土壤类型应至少设置1个表层样监测点，本项目评价范围内土壤均为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草甸土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；因此本项目占地范围内共布设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个表层样监测点，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个柱状样监测点，占地范围外共布设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个表层样点，本次委托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黑龙江省吉瑞达检测科技有限公司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日对项目区域内土壤进行监测，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土壤现状监测点位详见表4.3-1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，监测点位置见附图4-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6EB3337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p>
    <w:p w14:paraId="510204A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p>
    <w:p w14:paraId="0D427A4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p>
    <w:p w14:paraId="1BD1677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p>
    <w:p w14:paraId="593292E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8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土壤现状监测点位</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3239"/>
        <w:gridCol w:w="2615"/>
        <w:gridCol w:w="643"/>
        <w:gridCol w:w="2341"/>
      </w:tblGrid>
      <w:tr w14:paraId="37E43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0" w:type="dxa"/>
            <w:tcBorders>
              <w:tl2br w:val="nil"/>
              <w:tr2bl w:val="nil"/>
            </w:tcBorders>
            <w:vAlign w:val="center"/>
          </w:tcPr>
          <w:p w14:paraId="46F5DB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编号</w:t>
            </w:r>
          </w:p>
        </w:tc>
        <w:tc>
          <w:tcPr>
            <w:tcW w:w="3239" w:type="dxa"/>
            <w:tcBorders>
              <w:tl2br w:val="nil"/>
              <w:tr2bl w:val="nil"/>
            </w:tcBorders>
            <w:vAlign w:val="center"/>
          </w:tcPr>
          <w:p w14:paraId="51751B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监测点名称</w:t>
            </w:r>
          </w:p>
        </w:tc>
        <w:tc>
          <w:tcPr>
            <w:tcW w:w="2615" w:type="dxa"/>
            <w:tcBorders>
              <w:tl2br w:val="nil"/>
              <w:tr2bl w:val="nil"/>
            </w:tcBorders>
            <w:vAlign w:val="center"/>
          </w:tcPr>
          <w:p w14:paraId="66236A8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坐标</w:t>
            </w:r>
          </w:p>
        </w:tc>
        <w:tc>
          <w:tcPr>
            <w:tcW w:w="2984" w:type="dxa"/>
            <w:gridSpan w:val="2"/>
            <w:tcBorders>
              <w:tl2br w:val="nil"/>
              <w:tr2bl w:val="nil"/>
            </w:tcBorders>
            <w:vAlign w:val="center"/>
          </w:tcPr>
          <w:p w14:paraId="05F3612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层位</w:t>
            </w:r>
          </w:p>
        </w:tc>
      </w:tr>
      <w:tr w14:paraId="60B48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50" w:type="dxa"/>
            <w:tcBorders>
              <w:tl2br w:val="nil"/>
              <w:tr2bl w:val="nil"/>
            </w:tcBorders>
            <w:vAlign w:val="center"/>
          </w:tcPr>
          <w:p w14:paraId="1C8B7AAD">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w:t>
            </w:r>
          </w:p>
        </w:tc>
        <w:tc>
          <w:tcPr>
            <w:tcW w:w="3239" w:type="dxa"/>
            <w:tcBorders>
              <w:tl2br w:val="nil"/>
              <w:tr2bl w:val="nil"/>
            </w:tcBorders>
            <w:vAlign w:val="center"/>
          </w:tcPr>
          <w:p w14:paraId="061A6834">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已建宋芳3转油站永久占地内未硬化处</w:t>
            </w:r>
            <w:r>
              <w:rPr>
                <w:rFonts w:hint="default" w:ascii="Times New Roman" w:hAnsi="Times New Roman" w:eastAsia="宋体" w:cs="Times New Roman"/>
                <w:color w:val="000000" w:themeColor="text1"/>
                <w:sz w:val="21"/>
                <w:szCs w:val="21"/>
                <w:lang w:eastAsia="zh-CN"/>
                <w14:textFill>
                  <w14:solidFill>
                    <w14:schemeClr w14:val="tx1"/>
                  </w14:solidFill>
                </w14:textFill>
              </w:rPr>
              <w:t>（芳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3转油站外输油管线起点</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2615" w:type="dxa"/>
            <w:tcBorders>
              <w:tl2br w:val="nil"/>
              <w:tr2bl w:val="nil"/>
            </w:tcBorders>
            <w:vAlign w:val="center"/>
          </w:tcPr>
          <w:p w14:paraId="40017EF3">
            <w:pPr>
              <w:keepNext w:val="0"/>
              <w:keepLines w:val="0"/>
              <w:pageBreakBefore w:val="0"/>
              <w:kinsoku/>
              <w:wordWrap/>
              <w:overflowPunct/>
              <w:topLinePunct w:val="0"/>
              <w:autoSpaceDE/>
              <w:autoSpaceDN/>
              <w:bidi w:val="0"/>
              <w:snapToGrid w:val="0"/>
              <w:spacing w:after="0" w:line="240" w:lineRule="auto"/>
              <w:ind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124.948217</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，45.972285</w:t>
            </w:r>
          </w:p>
        </w:tc>
        <w:tc>
          <w:tcPr>
            <w:tcW w:w="643" w:type="dxa"/>
            <w:tcBorders>
              <w:tl2br w:val="nil"/>
              <w:tr2bl w:val="nil"/>
            </w:tcBorders>
            <w:vAlign w:val="center"/>
          </w:tcPr>
          <w:p w14:paraId="5E4ED6DE">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建设用地</w:t>
            </w:r>
          </w:p>
        </w:tc>
        <w:tc>
          <w:tcPr>
            <w:tcW w:w="2341" w:type="dxa"/>
            <w:tcBorders>
              <w:tl2br w:val="nil"/>
              <w:tr2bl w:val="nil"/>
            </w:tcBorders>
            <w:vAlign w:val="center"/>
          </w:tcPr>
          <w:p w14:paraId="156B72D8">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柱状样，</w:t>
            </w:r>
          </w:p>
          <w:p w14:paraId="7B1020B3">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在0-0.5m、0.5</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1.5m、1.5</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3m分别取样</w:t>
            </w:r>
          </w:p>
        </w:tc>
      </w:tr>
      <w:tr w14:paraId="2DA16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50" w:type="dxa"/>
            <w:tcBorders>
              <w:tl2br w:val="nil"/>
              <w:tr2bl w:val="nil"/>
            </w:tcBorders>
            <w:vAlign w:val="center"/>
          </w:tcPr>
          <w:p w14:paraId="510C9B29">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2</w:t>
            </w:r>
          </w:p>
        </w:tc>
        <w:tc>
          <w:tcPr>
            <w:tcW w:w="3239" w:type="dxa"/>
            <w:tcBorders>
              <w:tl2br w:val="nil"/>
              <w:tr2bl w:val="nil"/>
            </w:tcBorders>
            <w:vAlign w:val="center"/>
          </w:tcPr>
          <w:p w14:paraId="206E24DC">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拟建升1-2阀组间1环集油管道临时占地内</w:t>
            </w:r>
          </w:p>
        </w:tc>
        <w:tc>
          <w:tcPr>
            <w:tcW w:w="2615" w:type="dxa"/>
            <w:tcBorders>
              <w:tl2br w:val="nil"/>
              <w:tr2bl w:val="nil"/>
            </w:tcBorders>
            <w:vAlign w:val="center"/>
          </w:tcPr>
          <w:p w14:paraId="4BAFF5B7">
            <w:pPr>
              <w:keepNext w:val="0"/>
              <w:keepLines w:val="0"/>
              <w:pageBreakBefore w:val="0"/>
              <w:widowControl/>
              <w:kinsoku/>
              <w:wordWrap/>
              <w:overflowPunct/>
              <w:topLinePunct w:val="0"/>
              <w:autoSpaceDE/>
              <w:autoSpaceDN/>
              <w:bidi w:val="0"/>
              <w:snapToGrid w:val="0"/>
              <w:spacing w:after="0" w:line="240" w:lineRule="auto"/>
              <w:ind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125.275833</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，46.176353</w:t>
            </w:r>
          </w:p>
        </w:tc>
        <w:tc>
          <w:tcPr>
            <w:tcW w:w="643" w:type="dxa"/>
            <w:vMerge w:val="restart"/>
            <w:tcBorders>
              <w:tl2br w:val="nil"/>
              <w:tr2bl w:val="nil"/>
            </w:tcBorders>
            <w:vAlign w:val="center"/>
          </w:tcPr>
          <w:p w14:paraId="2ED53A23">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农用地</w:t>
            </w:r>
          </w:p>
        </w:tc>
        <w:tc>
          <w:tcPr>
            <w:tcW w:w="2341" w:type="dxa"/>
            <w:tcBorders>
              <w:tl2br w:val="nil"/>
              <w:tr2bl w:val="nil"/>
            </w:tcBorders>
            <w:vAlign w:val="center"/>
          </w:tcPr>
          <w:p w14:paraId="1AE64241">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柱状样，</w:t>
            </w:r>
          </w:p>
          <w:p w14:paraId="47A7D021">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在0-0.5m、0.5</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1.5m、1.5</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3m分别取样</w:t>
            </w:r>
          </w:p>
        </w:tc>
      </w:tr>
      <w:tr w14:paraId="07D93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50" w:type="dxa"/>
            <w:tcBorders>
              <w:tl2br w:val="nil"/>
              <w:tr2bl w:val="nil"/>
            </w:tcBorders>
            <w:vAlign w:val="center"/>
          </w:tcPr>
          <w:p w14:paraId="749BCCC4">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w:t>
            </w:r>
          </w:p>
        </w:tc>
        <w:tc>
          <w:tcPr>
            <w:tcW w:w="3239" w:type="dxa"/>
            <w:tcBorders>
              <w:tl2br w:val="nil"/>
              <w:tr2bl w:val="nil"/>
            </w:tcBorders>
            <w:vAlign w:val="center"/>
          </w:tcPr>
          <w:p w14:paraId="7C07C7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拟建升1-2阀组间6环集油管道临时占地内</w:t>
            </w:r>
          </w:p>
        </w:tc>
        <w:tc>
          <w:tcPr>
            <w:tcW w:w="2615" w:type="dxa"/>
            <w:tcBorders>
              <w:tl2br w:val="nil"/>
              <w:tr2bl w:val="nil"/>
            </w:tcBorders>
            <w:vAlign w:val="center"/>
          </w:tcPr>
          <w:p w14:paraId="0DC36364">
            <w:pPr>
              <w:keepNext w:val="0"/>
              <w:keepLines w:val="0"/>
              <w:pageBreakBefore w:val="0"/>
              <w:widowControl/>
              <w:kinsoku/>
              <w:wordWrap/>
              <w:overflowPunct/>
              <w:topLinePunct w:val="0"/>
              <w:autoSpaceDE/>
              <w:autoSpaceDN/>
              <w:bidi w:val="0"/>
              <w:snapToGrid w:val="0"/>
              <w:spacing w:after="0" w:line="240" w:lineRule="auto"/>
              <w:ind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125.284641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，46.173263</w:t>
            </w:r>
          </w:p>
        </w:tc>
        <w:tc>
          <w:tcPr>
            <w:tcW w:w="643" w:type="dxa"/>
            <w:vMerge w:val="continue"/>
            <w:tcBorders>
              <w:tl2br w:val="nil"/>
              <w:tr2bl w:val="nil"/>
            </w:tcBorders>
            <w:vAlign w:val="center"/>
          </w:tcPr>
          <w:p w14:paraId="197F5877">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2341" w:type="dxa"/>
            <w:tcBorders>
              <w:tl2br w:val="nil"/>
              <w:tr2bl w:val="nil"/>
            </w:tcBorders>
            <w:vAlign w:val="center"/>
          </w:tcPr>
          <w:p w14:paraId="4F0A4EF8">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柱状样，</w:t>
            </w:r>
          </w:p>
          <w:p w14:paraId="77D22D42">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在0-0.5m、0.5</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1.5m、1.5</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3m分别取样</w:t>
            </w:r>
          </w:p>
        </w:tc>
      </w:tr>
      <w:tr w14:paraId="05D63D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50" w:type="dxa"/>
            <w:tcBorders>
              <w:tl2br w:val="nil"/>
              <w:tr2bl w:val="nil"/>
            </w:tcBorders>
            <w:vAlign w:val="center"/>
          </w:tcPr>
          <w:p w14:paraId="73253A78">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w:t>
            </w:r>
          </w:p>
        </w:tc>
        <w:tc>
          <w:tcPr>
            <w:tcW w:w="3239" w:type="dxa"/>
            <w:tcBorders>
              <w:tl2br w:val="nil"/>
              <w:tr2bl w:val="nil"/>
            </w:tcBorders>
            <w:vAlign w:val="center"/>
          </w:tcPr>
          <w:p w14:paraId="1E4776CF">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拟建芳407-6阀组间5环集油管道临时占地内</w:t>
            </w:r>
          </w:p>
        </w:tc>
        <w:tc>
          <w:tcPr>
            <w:tcW w:w="2615" w:type="dxa"/>
            <w:tcBorders>
              <w:tl2br w:val="nil"/>
              <w:tr2bl w:val="nil"/>
            </w:tcBorders>
            <w:vAlign w:val="center"/>
          </w:tcPr>
          <w:p w14:paraId="6634936F">
            <w:pPr>
              <w:keepNext w:val="0"/>
              <w:keepLines w:val="0"/>
              <w:pageBreakBefore w:val="0"/>
              <w:widowControl/>
              <w:kinsoku/>
              <w:wordWrap/>
              <w:overflowPunct/>
              <w:topLinePunct w:val="0"/>
              <w:autoSpaceDE/>
              <w:autoSpaceDN/>
              <w:bidi w:val="0"/>
              <w:snapToGrid w:val="0"/>
              <w:spacing w:after="0" w:line="240" w:lineRule="auto"/>
              <w:ind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125.093003</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，46.091686</w:t>
            </w:r>
          </w:p>
        </w:tc>
        <w:tc>
          <w:tcPr>
            <w:tcW w:w="643" w:type="dxa"/>
            <w:vMerge w:val="continue"/>
            <w:tcBorders>
              <w:tl2br w:val="nil"/>
              <w:tr2bl w:val="nil"/>
            </w:tcBorders>
            <w:vAlign w:val="center"/>
          </w:tcPr>
          <w:p w14:paraId="32AE4538">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2341" w:type="dxa"/>
            <w:tcBorders>
              <w:tl2br w:val="nil"/>
              <w:tr2bl w:val="nil"/>
            </w:tcBorders>
            <w:vAlign w:val="center"/>
          </w:tcPr>
          <w:p w14:paraId="3EB8063A">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表层样，在0-0.2m取样</w:t>
            </w:r>
          </w:p>
        </w:tc>
      </w:tr>
      <w:tr w14:paraId="040CB8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50" w:type="dxa"/>
            <w:tcBorders>
              <w:tl2br w:val="nil"/>
              <w:tr2bl w:val="nil"/>
            </w:tcBorders>
            <w:vAlign w:val="center"/>
          </w:tcPr>
          <w:p w14:paraId="503EF566">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5</w:t>
            </w:r>
          </w:p>
        </w:tc>
        <w:tc>
          <w:tcPr>
            <w:tcW w:w="3239" w:type="dxa"/>
            <w:tcBorders>
              <w:tl2br w:val="nil"/>
              <w:tr2bl w:val="nil"/>
            </w:tcBorders>
            <w:vAlign w:val="center"/>
          </w:tcPr>
          <w:p w14:paraId="63703D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已建宋芳3转油站永久占地南</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侧100m处</w:t>
            </w:r>
          </w:p>
        </w:tc>
        <w:tc>
          <w:tcPr>
            <w:tcW w:w="2615" w:type="dxa"/>
            <w:tcBorders>
              <w:tl2br w:val="nil"/>
              <w:tr2bl w:val="nil"/>
            </w:tcBorders>
            <w:vAlign w:val="center"/>
          </w:tcPr>
          <w:p w14:paraId="06714CAF">
            <w:pPr>
              <w:keepNext w:val="0"/>
              <w:keepLines w:val="0"/>
              <w:pageBreakBefore w:val="0"/>
              <w:kinsoku/>
              <w:wordWrap/>
              <w:overflowPunct/>
              <w:topLinePunct w:val="0"/>
              <w:autoSpaceDE/>
              <w:autoSpaceDN/>
              <w:bidi w:val="0"/>
              <w:snapToGrid w:val="0"/>
              <w:spacing w:after="0" w:line="240" w:lineRule="auto"/>
              <w:ind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124.948153</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，45.971137</w:t>
            </w:r>
          </w:p>
        </w:tc>
        <w:tc>
          <w:tcPr>
            <w:tcW w:w="643" w:type="dxa"/>
            <w:vMerge w:val="continue"/>
            <w:tcBorders>
              <w:tl2br w:val="nil"/>
              <w:tr2bl w:val="nil"/>
            </w:tcBorders>
            <w:vAlign w:val="center"/>
          </w:tcPr>
          <w:p w14:paraId="46BA2BAB">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341" w:type="dxa"/>
            <w:tcBorders>
              <w:tl2br w:val="nil"/>
              <w:tr2bl w:val="nil"/>
            </w:tcBorders>
            <w:vAlign w:val="center"/>
          </w:tcPr>
          <w:p w14:paraId="5716DD75">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表层样，在0-0.2m取样</w:t>
            </w:r>
          </w:p>
        </w:tc>
      </w:tr>
      <w:tr w14:paraId="7F0FED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0" w:type="dxa"/>
            <w:tcBorders>
              <w:tl2br w:val="nil"/>
              <w:tr2bl w:val="nil"/>
            </w:tcBorders>
            <w:vAlign w:val="center"/>
          </w:tcPr>
          <w:p w14:paraId="7BE0AE71">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6</w:t>
            </w:r>
          </w:p>
        </w:tc>
        <w:tc>
          <w:tcPr>
            <w:tcW w:w="3239" w:type="dxa"/>
            <w:tcBorders>
              <w:tl2br w:val="nil"/>
              <w:tr2bl w:val="nil"/>
            </w:tcBorders>
            <w:vAlign w:val="center"/>
          </w:tcPr>
          <w:p w14:paraId="5BA633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拟建升1-2阀组间1环集油管道北侧100m处</w:t>
            </w:r>
          </w:p>
        </w:tc>
        <w:tc>
          <w:tcPr>
            <w:tcW w:w="2615" w:type="dxa"/>
            <w:tcBorders>
              <w:tl2br w:val="nil"/>
              <w:tr2bl w:val="nil"/>
            </w:tcBorders>
            <w:vAlign w:val="center"/>
          </w:tcPr>
          <w:p w14:paraId="5A937C77">
            <w:pPr>
              <w:pStyle w:val="33"/>
              <w:keepNext w:val="0"/>
              <w:keepLines w:val="0"/>
              <w:pageBreakBefore w:val="0"/>
              <w:kinsoku/>
              <w:wordWrap/>
              <w:overflowPunct/>
              <w:topLinePunct w:val="0"/>
              <w:autoSpaceDE/>
              <w:autoSpaceDN/>
              <w:bidi w:val="0"/>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125.275908</w:t>
            </w:r>
            <w:r>
              <w:rPr>
                <w:rFonts w:hint="eastAsia" w:cs="Times New Roman"/>
                <w:color w:val="000000" w:themeColor="text1"/>
                <w:kern w:val="0"/>
                <w:sz w:val="21"/>
                <w:szCs w:val="21"/>
                <w:highlight w:val="none"/>
                <w:lang w:val="en-US" w:eastAsia="zh-CN"/>
                <w14:textFill>
                  <w14:solidFill>
                    <w14:schemeClr w14:val="tx1"/>
                  </w14:solidFill>
                </w14:textFill>
              </w:rPr>
              <w:t>，46.177133</w:t>
            </w:r>
          </w:p>
        </w:tc>
        <w:tc>
          <w:tcPr>
            <w:tcW w:w="643" w:type="dxa"/>
            <w:vMerge w:val="continue"/>
            <w:tcBorders>
              <w:tl2br w:val="nil"/>
              <w:tr2bl w:val="nil"/>
            </w:tcBorders>
            <w:vAlign w:val="center"/>
          </w:tcPr>
          <w:p w14:paraId="46481493">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2341" w:type="dxa"/>
            <w:tcBorders>
              <w:tl2br w:val="nil"/>
              <w:tr2bl w:val="nil"/>
            </w:tcBorders>
            <w:vAlign w:val="center"/>
          </w:tcPr>
          <w:p w14:paraId="1D784923">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表层样，在0-0.2m取样</w:t>
            </w:r>
          </w:p>
        </w:tc>
      </w:tr>
    </w:tbl>
    <w:p w14:paraId="072DA8B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（2）监测项目</w:t>
      </w:r>
    </w:p>
    <w:p w14:paraId="0C1D201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T1监测项目：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土壤含盐量、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三氯丙烷、硝基苯、苯胺、2-氯酚、䓛、萘、苯并（a）蒽、苯并（b）荧蒽、苯并（k）荧蒽、苯并（a）芘、茚并（1，2，3-cd）芘、二苯并（a，h）蒽、石油烃（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）、石油类。</w:t>
      </w:r>
    </w:p>
    <w:p w14:paraId="09BD0DC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T5、T6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监测项目：土壤含盐量、pH、镉、汞、砷、铅、铬、铜、镍、锌、石油烃（C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）、石油类，共13项。</w:t>
      </w:r>
    </w:p>
    <w:p w14:paraId="0F6E8DF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T2-T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监测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：土壤含盐量、pH、石油烃（C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）、石油类。</w:t>
      </w:r>
    </w:p>
    <w:p w14:paraId="538EDDE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（3）监测时间及频次</w:t>
      </w:r>
    </w:p>
    <w:p w14:paraId="6AC2919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监测时间为20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日，均为一次性采样。</w:t>
      </w:r>
    </w:p>
    <w:p w14:paraId="13B787F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（4）监测结果</w:t>
      </w:r>
    </w:p>
    <w:p w14:paraId="6E5F7C4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土壤中含盐量检测结果见表4.3-</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6632B2E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19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土壤含盐量监测结果</w:t>
      </w:r>
    </w:p>
    <w:tbl>
      <w:tblPr>
        <w:tblStyle w:val="18"/>
        <w:tblW w:w="92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3"/>
        <w:gridCol w:w="2210"/>
        <w:gridCol w:w="4089"/>
      </w:tblGrid>
      <w:tr w14:paraId="33970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93" w:type="dxa"/>
            <w:gridSpan w:val="2"/>
            <w:vMerge w:val="restart"/>
            <w:tcBorders>
              <w:tl2br w:val="nil"/>
              <w:tr2bl w:val="nil"/>
            </w:tcBorders>
            <w:vAlign w:val="center"/>
          </w:tcPr>
          <w:p w14:paraId="398C855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监测点位</w:t>
            </w:r>
          </w:p>
        </w:tc>
        <w:tc>
          <w:tcPr>
            <w:tcW w:w="4089" w:type="dxa"/>
            <w:tcBorders>
              <w:tl2br w:val="nil"/>
              <w:tr2bl w:val="nil"/>
            </w:tcBorders>
            <w:vAlign w:val="center"/>
          </w:tcPr>
          <w:p w14:paraId="218239F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监测项目</w:t>
            </w:r>
          </w:p>
        </w:tc>
      </w:tr>
      <w:tr w14:paraId="7F321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3" w:type="dxa"/>
            <w:gridSpan w:val="2"/>
            <w:vMerge w:val="continue"/>
            <w:tcBorders>
              <w:tl2br w:val="nil"/>
              <w:tr2bl w:val="nil"/>
            </w:tcBorders>
            <w:vAlign w:val="center"/>
          </w:tcPr>
          <w:p w14:paraId="3AB7B62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089" w:type="dxa"/>
            <w:tcBorders>
              <w:tl2br w:val="nil"/>
              <w:tr2bl w:val="nil"/>
            </w:tcBorders>
            <w:vAlign w:val="center"/>
          </w:tcPr>
          <w:p w14:paraId="38CC70A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水溶性盐含量（g/kg）</w:t>
            </w:r>
          </w:p>
        </w:tc>
      </w:tr>
      <w:tr w14:paraId="42693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3" w:type="dxa"/>
            <w:vMerge w:val="restart"/>
            <w:tcBorders>
              <w:tl2br w:val="nil"/>
              <w:tr2bl w:val="nil"/>
            </w:tcBorders>
            <w:vAlign w:val="center"/>
          </w:tcPr>
          <w:p w14:paraId="6F63CC0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T1</w:t>
            </w:r>
          </w:p>
        </w:tc>
        <w:tc>
          <w:tcPr>
            <w:tcW w:w="2210" w:type="dxa"/>
            <w:tcBorders>
              <w:tl2br w:val="nil"/>
              <w:tr2bl w:val="nil"/>
            </w:tcBorders>
            <w:vAlign w:val="center"/>
          </w:tcPr>
          <w:p w14:paraId="66882C5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0-0.5m</w:t>
            </w:r>
          </w:p>
        </w:tc>
        <w:tc>
          <w:tcPr>
            <w:tcW w:w="4089" w:type="dxa"/>
            <w:tcBorders>
              <w:tl2br w:val="nil"/>
              <w:tr2bl w:val="nil"/>
            </w:tcBorders>
            <w:vAlign w:val="center"/>
          </w:tcPr>
          <w:p w14:paraId="687A5E3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w:t>
            </w:r>
          </w:p>
        </w:tc>
      </w:tr>
      <w:tr w14:paraId="5ADF8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2983" w:type="dxa"/>
            <w:vMerge w:val="continue"/>
            <w:tcBorders>
              <w:tl2br w:val="nil"/>
              <w:tr2bl w:val="nil"/>
            </w:tcBorders>
            <w:vAlign w:val="center"/>
          </w:tcPr>
          <w:p w14:paraId="19950C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210" w:type="dxa"/>
            <w:tcBorders>
              <w:tl2br w:val="nil"/>
              <w:tr2bl w:val="nil"/>
            </w:tcBorders>
            <w:vAlign w:val="center"/>
          </w:tcPr>
          <w:p w14:paraId="4402B06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1.5m</w:t>
            </w:r>
          </w:p>
        </w:tc>
        <w:tc>
          <w:tcPr>
            <w:tcW w:w="4089" w:type="dxa"/>
            <w:tcBorders>
              <w:tl2br w:val="nil"/>
              <w:tr2bl w:val="nil"/>
            </w:tcBorders>
            <w:vAlign w:val="center"/>
          </w:tcPr>
          <w:p w14:paraId="3D9421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w:t>
            </w:r>
          </w:p>
        </w:tc>
      </w:tr>
      <w:tr w14:paraId="61719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983" w:type="dxa"/>
            <w:vMerge w:val="continue"/>
            <w:tcBorders>
              <w:tl2br w:val="nil"/>
              <w:tr2bl w:val="nil"/>
            </w:tcBorders>
            <w:vAlign w:val="center"/>
          </w:tcPr>
          <w:p w14:paraId="1611C25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210" w:type="dxa"/>
            <w:tcBorders>
              <w:tl2br w:val="nil"/>
              <w:tr2bl w:val="nil"/>
            </w:tcBorders>
            <w:vAlign w:val="center"/>
          </w:tcPr>
          <w:p w14:paraId="7437F5F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3m</w:t>
            </w:r>
          </w:p>
        </w:tc>
        <w:tc>
          <w:tcPr>
            <w:tcW w:w="4089" w:type="dxa"/>
            <w:tcBorders>
              <w:tl2br w:val="nil"/>
              <w:tr2bl w:val="nil"/>
            </w:tcBorders>
            <w:vAlign w:val="center"/>
          </w:tcPr>
          <w:p w14:paraId="3007447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p>
        </w:tc>
      </w:tr>
      <w:tr w14:paraId="456CD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2983" w:type="dxa"/>
            <w:vMerge w:val="restart"/>
            <w:tcBorders>
              <w:tl2br w:val="nil"/>
              <w:tr2bl w:val="nil"/>
            </w:tcBorders>
            <w:vAlign w:val="center"/>
          </w:tcPr>
          <w:p w14:paraId="3F0912A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T2</w:t>
            </w:r>
          </w:p>
        </w:tc>
        <w:tc>
          <w:tcPr>
            <w:tcW w:w="2210" w:type="dxa"/>
            <w:tcBorders>
              <w:tl2br w:val="nil"/>
              <w:tr2bl w:val="nil"/>
            </w:tcBorders>
            <w:vAlign w:val="center"/>
          </w:tcPr>
          <w:p w14:paraId="28666E8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0-0.5m</w:t>
            </w:r>
          </w:p>
        </w:tc>
        <w:tc>
          <w:tcPr>
            <w:tcW w:w="4089" w:type="dxa"/>
            <w:tcBorders>
              <w:tl2br w:val="nil"/>
              <w:tr2bl w:val="nil"/>
            </w:tcBorders>
            <w:vAlign w:val="center"/>
          </w:tcPr>
          <w:p w14:paraId="1EC9358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0.8</w:t>
            </w:r>
          </w:p>
        </w:tc>
      </w:tr>
      <w:tr w14:paraId="06DAC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2983" w:type="dxa"/>
            <w:vMerge w:val="continue"/>
            <w:tcBorders>
              <w:tl2br w:val="nil"/>
              <w:tr2bl w:val="nil"/>
            </w:tcBorders>
            <w:vAlign w:val="center"/>
          </w:tcPr>
          <w:p w14:paraId="52476E6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210" w:type="dxa"/>
            <w:tcBorders>
              <w:tl2br w:val="nil"/>
              <w:tr2bl w:val="nil"/>
            </w:tcBorders>
            <w:vAlign w:val="center"/>
          </w:tcPr>
          <w:p w14:paraId="5259DC2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1.5m</w:t>
            </w:r>
          </w:p>
        </w:tc>
        <w:tc>
          <w:tcPr>
            <w:tcW w:w="4089" w:type="dxa"/>
            <w:tcBorders>
              <w:tl2br w:val="nil"/>
              <w:tr2bl w:val="nil"/>
            </w:tcBorders>
            <w:vAlign w:val="center"/>
          </w:tcPr>
          <w:p w14:paraId="09504C9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w:t>
            </w:r>
          </w:p>
        </w:tc>
      </w:tr>
      <w:tr w14:paraId="4AB53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983" w:type="dxa"/>
            <w:vMerge w:val="continue"/>
            <w:tcBorders>
              <w:tl2br w:val="nil"/>
              <w:tr2bl w:val="nil"/>
            </w:tcBorders>
            <w:vAlign w:val="center"/>
          </w:tcPr>
          <w:p w14:paraId="22DD6A4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210" w:type="dxa"/>
            <w:tcBorders>
              <w:tl2br w:val="nil"/>
              <w:tr2bl w:val="nil"/>
            </w:tcBorders>
            <w:vAlign w:val="center"/>
          </w:tcPr>
          <w:p w14:paraId="5D75AC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3m</w:t>
            </w:r>
          </w:p>
        </w:tc>
        <w:tc>
          <w:tcPr>
            <w:tcW w:w="4089" w:type="dxa"/>
            <w:tcBorders>
              <w:tl2br w:val="nil"/>
              <w:tr2bl w:val="nil"/>
            </w:tcBorders>
            <w:vAlign w:val="center"/>
          </w:tcPr>
          <w:p w14:paraId="2559E20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w:t>
            </w:r>
          </w:p>
        </w:tc>
      </w:tr>
      <w:tr w14:paraId="17266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2983" w:type="dxa"/>
            <w:vMerge w:val="restart"/>
            <w:tcBorders>
              <w:tl2br w:val="nil"/>
              <w:tr2bl w:val="nil"/>
            </w:tcBorders>
            <w:vAlign w:val="center"/>
          </w:tcPr>
          <w:p w14:paraId="12AE0D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T3</w:t>
            </w:r>
          </w:p>
        </w:tc>
        <w:tc>
          <w:tcPr>
            <w:tcW w:w="2210" w:type="dxa"/>
            <w:tcBorders>
              <w:tl2br w:val="nil"/>
              <w:tr2bl w:val="nil"/>
            </w:tcBorders>
            <w:vAlign w:val="center"/>
          </w:tcPr>
          <w:p w14:paraId="10027B1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0-0.5m</w:t>
            </w:r>
          </w:p>
        </w:tc>
        <w:tc>
          <w:tcPr>
            <w:tcW w:w="4089" w:type="dxa"/>
            <w:tcBorders>
              <w:tl2br w:val="nil"/>
              <w:tr2bl w:val="nil"/>
            </w:tcBorders>
            <w:vAlign w:val="center"/>
          </w:tcPr>
          <w:p w14:paraId="15CFF06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w:t>
            </w:r>
          </w:p>
        </w:tc>
      </w:tr>
      <w:tr w14:paraId="1DD50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983" w:type="dxa"/>
            <w:vMerge w:val="continue"/>
            <w:tcBorders>
              <w:tl2br w:val="nil"/>
              <w:tr2bl w:val="nil"/>
            </w:tcBorders>
            <w:vAlign w:val="center"/>
          </w:tcPr>
          <w:p w14:paraId="6EC3A86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210" w:type="dxa"/>
            <w:tcBorders>
              <w:tl2br w:val="nil"/>
              <w:tr2bl w:val="nil"/>
            </w:tcBorders>
            <w:vAlign w:val="center"/>
          </w:tcPr>
          <w:p w14:paraId="3B08AF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1.5m</w:t>
            </w:r>
          </w:p>
        </w:tc>
        <w:tc>
          <w:tcPr>
            <w:tcW w:w="4089" w:type="dxa"/>
            <w:tcBorders>
              <w:tl2br w:val="nil"/>
              <w:tr2bl w:val="nil"/>
            </w:tcBorders>
            <w:vAlign w:val="center"/>
          </w:tcPr>
          <w:p w14:paraId="3C3D6F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w:t>
            </w:r>
          </w:p>
        </w:tc>
      </w:tr>
      <w:tr w14:paraId="72CC5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983" w:type="dxa"/>
            <w:vMerge w:val="continue"/>
            <w:tcBorders>
              <w:tl2br w:val="nil"/>
              <w:tr2bl w:val="nil"/>
            </w:tcBorders>
            <w:vAlign w:val="center"/>
          </w:tcPr>
          <w:p w14:paraId="68DD603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210" w:type="dxa"/>
            <w:tcBorders>
              <w:tl2br w:val="nil"/>
              <w:tr2bl w:val="nil"/>
            </w:tcBorders>
            <w:vAlign w:val="center"/>
          </w:tcPr>
          <w:p w14:paraId="7BEE0D9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3m</w:t>
            </w:r>
          </w:p>
        </w:tc>
        <w:tc>
          <w:tcPr>
            <w:tcW w:w="4089" w:type="dxa"/>
            <w:tcBorders>
              <w:tl2br w:val="nil"/>
              <w:tr2bl w:val="nil"/>
            </w:tcBorders>
            <w:vAlign w:val="center"/>
          </w:tcPr>
          <w:p w14:paraId="70755C5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p>
        </w:tc>
      </w:tr>
      <w:tr w14:paraId="78DE7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83" w:type="dxa"/>
            <w:tcBorders>
              <w:tl2br w:val="nil"/>
              <w:tr2bl w:val="nil"/>
            </w:tcBorders>
            <w:vAlign w:val="center"/>
          </w:tcPr>
          <w:p w14:paraId="39123BC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T4</w:t>
            </w:r>
          </w:p>
        </w:tc>
        <w:tc>
          <w:tcPr>
            <w:tcW w:w="2210" w:type="dxa"/>
            <w:tcBorders>
              <w:tl2br w:val="nil"/>
              <w:tr2bl w:val="nil"/>
            </w:tcBorders>
            <w:vAlign w:val="center"/>
          </w:tcPr>
          <w:p w14:paraId="1E28540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0-0.2m</w:t>
            </w:r>
          </w:p>
        </w:tc>
        <w:tc>
          <w:tcPr>
            <w:tcW w:w="4089" w:type="dxa"/>
            <w:tcBorders>
              <w:tl2br w:val="nil"/>
              <w:tr2bl w:val="nil"/>
            </w:tcBorders>
            <w:vAlign w:val="center"/>
          </w:tcPr>
          <w:p w14:paraId="04C5B4C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w:t>
            </w:r>
          </w:p>
        </w:tc>
      </w:tr>
      <w:tr w14:paraId="7D7AD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83" w:type="dxa"/>
            <w:tcBorders>
              <w:tl2br w:val="nil"/>
              <w:tr2bl w:val="nil"/>
            </w:tcBorders>
            <w:vAlign w:val="center"/>
          </w:tcPr>
          <w:p w14:paraId="1A08D7F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T5</w:t>
            </w:r>
          </w:p>
        </w:tc>
        <w:tc>
          <w:tcPr>
            <w:tcW w:w="2210" w:type="dxa"/>
            <w:tcBorders>
              <w:tl2br w:val="nil"/>
              <w:tr2bl w:val="nil"/>
            </w:tcBorders>
            <w:vAlign w:val="center"/>
          </w:tcPr>
          <w:p w14:paraId="17CEC13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0-0.2m</w:t>
            </w:r>
          </w:p>
        </w:tc>
        <w:tc>
          <w:tcPr>
            <w:tcW w:w="4089" w:type="dxa"/>
            <w:tcBorders>
              <w:tl2br w:val="nil"/>
              <w:tr2bl w:val="nil"/>
            </w:tcBorders>
            <w:vAlign w:val="center"/>
          </w:tcPr>
          <w:p w14:paraId="1A9590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0.8</w:t>
            </w:r>
          </w:p>
        </w:tc>
      </w:tr>
      <w:tr w14:paraId="13F62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83" w:type="dxa"/>
            <w:tcBorders>
              <w:tl2br w:val="nil"/>
              <w:tr2bl w:val="nil"/>
            </w:tcBorders>
            <w:vAlign w:val="center"/>
          </w:tcPr>
          <w:p w14:paraId="72C8DF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T6</w:t>
            </w:r>
          </w:p>
        </w:tc>
        <w:tc>
          <w:tcPr>
            <w:tcW w:w="2210" w:type="dxa"/>
            <w:tcBorders>
              <w:tl2br w:val="nil"/>
              <w:tr2bl w:val="nil"/>
            </w:tcBorders>
            <w:vAlign w:val="center"/>
          </w:tcPr>
          <w:p w14:paraId="58B5D3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0-0.2m</w:t>
            </w:r>
          </w:p>
        </w:tc>
        <w:tc>
          <w:tcPr>
            <w:tcW w:w="4089" w:type="dxa"/>
            <w:tcBorders>
              <w:tl2br w:val="nil"/>
              <w:tr2bl w:val="nil"/>
            </w:tcBorders>
            <w:vAlign w:val="center"/>
          </w:tcPr>
          <w:p w14:paraId="6057F1F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w:t>
            </w:r>
          </w:p>
        </w:tc>
      </w:tr>
    </w:tbl>
    <w:p w14:paraId="1ECBF31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根据表4.3-</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可知，土壤中含盐量（SSC）均＜1，说明本项目区域为未盐化地区。</w:t>
      </w:r>
    </w:p>
    <w:p w14:paraId="7393344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建设用地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土壤环境质量现状监测结果见表4.3-</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20，农用地土壤环境质量现状监测结果见表4.3-21</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6F15359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20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建设用地土壤环境质量现状监测结果单位：mg/kg（pH无量纲）</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341"/>
        <w:gridCol w:w="1515"/>
        <w:gridCol w:w="1792"/>
        <w:gridCol w:w="1518"/>
      </w:tblGrid>
      <w:tr w14:paraId="3D480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20" w:type="dxa"/>
            <w:vMerge w:val="restart"/>
            <w:tcBorders>
              <w:tl2br w:val="nil"/>
              <w:tr2bl w:val="nil"/>
            </w:tcBorders>
            <w:noWrap/>
            <w:vAlign w:val="center"/>
          </w:tcPr>
          <w:p w14:paraId="775C9E33">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3341" w:type="dxa"/>
            <w:vMerge w:val="restart"/>
            <w:tcBorders>
              <w:tl2br w:val="nil"/>
              <w:tr2bl w:val="nil"/>
            </w:tcBorders>
            <w:noWrap w:val="0"/>
            <w:vAlign w:val="center"/>
          </w:tcPr>
          <w:p w14:paraId="3774F00E">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监测项目</w:t>
            </w:r>
          </w:p>
        </w:tc>
        <w:tc>
          <w:tcPr>
            <w:tcW w:w="4825" w:type="dxa"/>
            <w:gridSpan w:val="3"/>
            <w:tcBorders>
              <w:tl2br w:val="nil"/>
              <w:tr2bl w:val="nil"/>
            </w:tcBorders>
            <w:noWrap w:val="0"/>
            <w:vAlign w:val="center"/>
          </w:tcPr>
          <w:p w14:paraId="29D78EEC">
            <w:pPr>
              <w:pStyle w:val="85"/>
              <w:keepNext w:val="0"/>
              <w:keepLines w:val="0"/>
              <w:pageBreakBefore w:val="0"/>
              <w:widowControl w:val="0"/>
              <w:kinsoku/>
              <w:wordWrap/>
              <w:topLinePunct w:val="0"/>
              <w:bidi w:val="0"/>
              <w:snapToGrid/>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T1</w:t>
            </w:r>
          </w:p>
        </w:tc>
      </w:tr>
      <w:tr w14:paraId="54492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20" w:type="dxa"/>
            <w:vMerge w:val="continue"/>
            <w:tcBorders>
              <w:tl2br w:val="nil"/>
              <w:tr2bl w:val="nil"/>
            </w:tcBorders>
            <w:noWrap/>
            <w:vAlign w:val="center"/>
          </w:tcPr>
          <w:p w14:paraId="37DDCC61">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p>
        </w:tc>
        <w:tc>
          <w:tcPr>
            <w:tcW w:w="3341" w:type="dxa"/>
            <w:vMerge w:val="continue"/>
            <w:tcBorders>
              <w:tl2br w:val="nil"/>
              <w:tr2bl w:val="nil"/>
            </w:tcBorders>
            <w:noWrap w:val="0"/>
            <w:vAlign w:val="center"/>
          </w:tcPr>
          <w:p w14:paraId="65C09DD1">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p>
        </w:tc>
        <w:tc>
          <w:tcPr>
            <w:tcW w:w="1515" w:type="dxa"/>
            <w:tcBorders>
              <w:tl2br w:val="nil"/>
              <w:tr2bl w:val="nil"/>
            </w:tcBorders>
            <w:noWrap w:val="0"/>
            <w:vAlign w:val="center"/>
          </w:tcPr>
          <w:p w14:paraId="082C1A08">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0-0.5m</w:t>
            </w:r>
          </w:p>
        </w:tc>
        <w:tc>
          <w:tcPr>
            <w:tcW w:w="1792" w:type="dxa"/>
            <w:tcBorders>
              <w:tl2br w:val="nil"/>
              <w:tr2bl w:val="nil"/>
            </w:tcBorders>
            <w:noWrap/>
            <w:vAlign w:val="center"/>
          </w:tcPr>
          <w:p w14:paraId="3A474EEA">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0.5</w:t>
            </w:r>
            <w:r>
              <w:rPr>
                <w:rFonts w:hint="eastAsia" w:cs="Times New Roman"/>
                <w:b/>
                <w:color w:val="000000" w:themeColor="text1"/>
                <w:highlight w:val="none"/>
                <w:lang w:eastAsia="zh-CN"/>
                <w14:textFill>
                  <w14:solidFill>
                    <w14:schemeClr w14:val="tx1"/>
                  </w14:solidFill>
                </w14:textFill>
              </w:rPr>
              <w:t>—</w:t>
            </w:r>
            <w:r>
              <w:rPr>
                <w:rFonts w:hint="default" w:ascii="Times New Roman" w:hAnsi="Times New Roman" w:cs="Times New Roman"/>
                <w:b/>
                <w:color w:val="000000" w:themeColor="text1"/>
                <w:highlight w:val="none"/>
                <w14:textFill>
                  <w14:solidFill>
                    <w14:schemeClr w14:val="tx1"/>
                  </w14:solidFill>
                </w14:textFill>
              </w:rPr>
              <w:t>1.5m</w:t>
            </w:r>
          </w:p>
        </w:tc>
        <w:tc>
          <w:tcPr>
            <w:tcW w:w="1518" w:type="dxa"/>
            <w:tcBorders>
              <w:tl2br w:val="nil"/>
              <w:tr2bl w:val="nil"/>
            </w:tcBorders>
            <w:noWrap w:val="0"/>
            <w:vAlign w:val="center"/>
          </w:tcPr>
          <w:p w14:paraId="64B2B1BE">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1.5</w:t>
            </w:r>
            <w:r>
              <w:rPr>
                <w:rFonts w:hint="eastAsia" w:cs="Times New Roman"/>
                <w:b/>
                <w:color w:val="000000" w:themeColor="text1"/>
                <w:highlight w:val="none"/>
                <w:lang w:eastAsia="zh-CN"/>
                <w14:textFill>
                  <w14:solidFill>
                    <w14:schemeClr w14:val="tx1"/>
                  </w14:solidFill>
                </w14:textFill>
              </w:rPr>
              <w:t>—</w:t>
            </w:r>
            <w:r>
              <w:rPr>
                <w:rFonts w:hint="default" w:ascii="Times New Roman" w:hAnsi="Times New Roman" w:cs="Times New Roman"/>
                <w:b/>
                <w:color w:val="000000" w:themeColor="text1"/>
                <w:highlight w:val="none"/>
                <w14:textFill>
                  <w14:solidFill>
                    <w14:schemeClr w14:val="tx1"/>
                  </w14:solidFill>
                </w14:textFill>
              </w:rPr>
              <w:t>3m</w:t>
            </w:r>
          </w:p>
        </w:tc>
      </w:tr>
      <w:tr w14:paraId="02BD1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0451344">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3341" w:type="dxa"/>
            <w:tcBorders>
              <w:tl2br w:val="nil"/>
              <w:tr2bl w:val="nil"/>
            </w:tcBorders>
            <w:noWrap w:val="0"/>
            <w:vAlign w:val="center"/>
          </w:tcPr>
          <w:p w14:paraId="62CB6A2C">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1515" w:type="dxa"/>
            <w:tcBorders>
              <w:tl2br w:val="nil"/>
              <w:tr2bl w:val="nil"/>
            </w:tcBorders>
            <w:noWrap w:val="0"/>
            <w:vAlign w:val="center"/>
          </w:tcPr>
          <w:p w14:paraId="3CAE167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7.85</w:t>
            </w:r>
          </w:p>
        </w:tc>
        <w:tc>
          <w:tcPr>
            <w:tcW w:w="1792" w:type="dxa"/>
            <w:tcBorders>
              <w:tl2br w:val="nil"/>
              <w:tr2bl w:val="nil"/>
            </w:tcBorders>
            <w:noWrap w:val="0"/>
            <w:vAlign w:val="center"/>
          </w:tcPr>
          <w:p w14:paraId="691F8BB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7.75</w:t>
            </w:r>
          </w:p>
        </w:tc>
        <w:tc>
          <w:tcPr>
            <w:tcW w:w="1518" w:type="dxa"/>
            <w:tcBorders>
              <w:tl2br w:val="nil"/>
              <w:tr2bl w:val="nil"/>
            </w:tcBorders>
            <w:noWrap w:val="0"/>
            <w:vAlign w:val="center"/>
          </w:tcPr>
          <w:p w14:paraId="1D83630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7.62</w:t>
            </w:r>
          </w:p>
        </w:tc>
      </w:tr>
      <w:tr w14:paraId="72C3F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38153259">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3341" w:type="dxa"/>
            <w:tcBorders>
              <w:tl2br w:val="nil"/>
              <w:tr2bl w:val="nil"/>
            </w:tcBorders>
            <w:noWrap w:val="0"/>
            <w:vAlign w:val="center"/>
          </w:tcPr>
          <w:p w14:paraId="09BB497B">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镉（Cd）</w:t>
            </w:r>
          </w:p>
        </w:tc>
        <w:tc>
          <w:tcPr>
            <w:tcW w:w="1515" w:type="dxa"/>
            <w:tcBorders>
              <w:tl2br w:val="nil"/>
              <w:tr2bl w:val="nil"/>
            </w:tcBorders>
            <w:noWrap w:val="0"/>
            <w:vAlign w:val="center"/>
          </w:tcPr>
          <w:p w14:paraId="05104512">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1.03</w:t>
            </w:r>
          </w:p>
        </w:tc>
        <w:tc>
          <w:tcPr>
            <w:tcW w:w="1792" w:type="dxa"/>
            <w:tcBorders>
              <w:tl2br w:val="nil"/>
              <w:tr2bl w:val="nil"/>
            </w:tcBorders>
            <w:noWrap w:val="0"/>
            <w:vAlign w:val="center"/>
          </w:tcPr>
          <w:p w14:paraId="36FDB8D3">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1.97</w:t>
            </w:r>
          </w:p>
        </w:tc>
        <w:tc>
          <w:tcPr>
            <w:tcW w:w="1518" w:type="dxa"/>
            <w:tcBorders>
              <w:tl2br w:val="nil"/>
              <w:tr2bl w:val="nil"/>
            </w:tcBorders>
            <w:noWrap w:val="0"/>
            <w:vAlign w:val="center"/>
          </w:tcPr>
          <w:p w14:paraId="34120DB7">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0.93</w:t>
            </w:r>
          </w:p>
        </w:tc>
      </w:tr>
      <w:tr w14:paraId="77073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6D16BF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3341" w:type="dxa"/>
            <w:tcBorders>
              <w:tl2br w:val="nil"/>
              <w:tr2bl w:val="nil"/>
            </w:tcBorders>
            <w:noWrap w:val="0"/>
            <w:vAlign w:val="center"/>
          </w:tcPr>
          <w:p w14:paraId="79A7BD1D">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汞（Hg）</w:t>
            </w:r>
          </w:p>
        </w:tc>
        <w:tc>
          <w:tcPr>
            <w:tcW w:w="1515" w:type="dxa"/>
            <w:tcBorders>
              <w:tl2br w:val="nil"/>
              <w:tr2bl w:val="nil"/>
            </w:tcBorders>
            <w:noWrap w:val="0"/>
            <w:vAlign w:val="center"/>
          </w:tcPr>
          <w:p w14:paraId="7976D976">
            <w:pPr>
              <w:keepNext w:val="0"/>
              <w:keepLines w:val="0"/>
              <w:pageBreakBefore w:val="0"/>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0.323</w:t>
            </w:r>
          </w:p>
        </w:tc>
        <w:tc>
          <w:tcPr>
            <w:tcW w:w="1792" w:type="dxa"/>
            <w:tcBorders>
              <w:tl2br w:val="nil"/>
              <w:tr2bl w:val="nil"/>
            </w:tcBorders>
            <w:noWrap w:val="0"/>
            <w:vAlign w:val="center"/>
          </w:tcPr>
          <w:p w14:paraId="338C70AC">
            <w:pPr>
              <w:keepNext w:val="0"/>
              <w:keepLines w:val="0"/>
              <w:pageBreakBefore w:val="0"/>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0.285</w:t>
            </w:r>
          </w:p>
        </w:tc>
        <w:tc>
          <w:tcPr>
            <w:tcW w:w="1518" w:type="dxa"/>
            <w:tcBorders>
              <w:tl2br w:val="nil"/>
              <w:tr2bl w:val="nil"/>
            </w:tcBorders>
            <w:noWrap w:val="0"/>
            <w:vAlign w:val="center"/>
          </w:tcPr>
          <w:p w14:paraId="21FCD9BB">
            <w:pPr>
              <w:keepNext w:val="0"/>
              <w:keepLines w:val="0"/>
              <w:pageBreakBefore w:val="0"/>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0.294</w:t>
            </w:r>
          </w:p>
        </w:tc>
      </w:tr>
      <w:tr w14:paraId="0DE34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CCF3F8C">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3341" w:type="dxa"/>
            <w:tcBorders>
              <w:tl2br w:val="nil"/>
              <w:tr2bl w:val="nil"/>
            </w:tcBorders>
            <w:noWrap w:val="0"/>
            <w:vAlign w:val="center"/>
          </w:tcPr>
          <w:p w14:paraId="0F4A757D">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砷（As）</w:t>
            </w:r>
          </w:p>
        </w:tc>
        <w:tc>
          <w:tcPr>
            <w:tcW w:w="1515" w:type="dxa"/>
            <w:tcBorders>
              <w:tl2br w:val="nil"/>
              <w:tr2bl w:val="nil"/>
            </w:tcBorders>
            <w:noWrap w:val="0"/>
            <w:vAlign w:val="center"/>
          </w:tcPr>
          <w:p w14:paraId="4A52D57E">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3.25</w:t>
            </w:r>
          </w:p>
        </w:tc>
        <w:tc>
          <w:tcPr>
            <w:tcW w:w="1792" w:type="dxa"/>
            <w:tcBorders>
              <w:tl2br w:val="nil"/>
              <w:tr2bl w:val="nil"/>
            </w:tcBorders>
            <w:noWrap w:val="0"/>
            <w:vAlign w:val="center"/>
          </w:tcPr>
          <w:p w14:paraId="4481310B">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3.33</w:t>
            </w:r>
          </w:p>
        </w:tc>
        <w:tc>
          <w:tcPr>
            <w:tcW w:w="1518" w:type="dxa"/>
            <w:tcBorders>
              <w:tl2br w:val="nil"/>
              <w:tr2bl w:val="nil"/>
            </w:tcBorders>
            <w:noWrap w:val="0"/>
            <w:vAlign w:val="center"/>
          </w:tcPr>
          <w:p w14:paraId="668ABF29">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3.14</w:t>
            </w:r>
          </w:p>
        </w:tc>
      </w:tr>
      <w:tr w14:paraId="1BEB8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58A3177">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3341" w:type="dxa"/>
            <w:tcBorders>
              <w:tl2br w:val="nil"/>
              <w:tr2bl w:val="nil"/>
            </w:tcBorders>
            <w:noWrap w:val="0"/>
            <w:vAlign w:val="center"/>
          </w:tcPr>
          <w:p w14:paraId="1FF1483D">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铅（Pb）</w:t>
            </w:r>
          </w:p>
        </w:tc>
        <w:tc>
          <w:tcPr>
            <w:tcW w:w="1515" w:type="dxa"/>
            <w:tcBorders>
              <w:tl2br w:val="nil"/>
              <w:tr2bl w:val="nil"/>
            </w:tcBorders>
            <w:noWrap w:val="0"/>
            <w:vAlign w:val="center"/>
          </w:tcPr>
          <w:p w14:paraId="13CCFD58">
            <w:pPr>
              <w:keepNext w:val="0"/>
              <w:keepLines w:val="0"/>
              <w:pageBreakBefore w:val="0"/>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17.2</w:t>
            </w:r>
          </w:p>
        </w:tc>
        <w:tc>
          <w:tcPr>
            <w:tcW w:w="1792" w:type="dxa"/>
            <w:tcBorders>
              <w:tl2br w:val="nil"/>
              <w:tr2bl w:val="nil"/>
            </w:tcBorders>
            <w:noWrap w:val="0"/>
            <w:vAlign w:val="center"/>
          </w:tcPr>
          <w:p w14:paraId="68908110">
            <w:pPr>
              <w:keepNext w:val="0"/>
              <w:keepLines w:val="0"/>
              <w:pageBreakBefore w:val="0"/>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16.5</w:t>
            </w:r>
          </w:p>
        </w:tc>
        <w:tc>
          <w:tcPr>
            <w:tcW w:w="1518" w:type="dxa"/>
            <w:tcBorders>
              <w:tl2br w:val="nil"/>
              <w:tr2bl w:val="nil"/>
            </w:tcBorders>
            <w:noWrap w:val="0"/>
            <w:vAlign w:val="center"/>
          </w:tcPr>
          <w:p w14:paraId="416C050E">
            <w:pPr>
              <w:keepNext w:val="0"/>
              <w:keepLines w:val="0"/>
              <w:pageBreakBefore w:val="0"/>
              <w:kinsoku/>
              <w:wordWrap/>
              <w:overflowPunct/>
              <w:topLinePunct w:val="0"/>
              <w:autoSpaceDE/>
              <w:autoSpaceDN/>
              <w:bidi w:val="0"/>
              <w:adjustRightInd w:val="0"/>
              <w:snapToGrid w:val="0"/>
              <w:spacing w:after="0"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15.6</w:t>
            </w:r>
          </w:p>
        </w:tc>
      </w:tr>
      <w:tr w14:paraId="27139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2FB4D87">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3341" w:type="dxa"/>
            <w:tcBorders>
              <w:tl2br w:val="nil"/>
              <w:tr2bl w:val="nil"/>
            </w:tcBorders>
            <w:noWrap w:val="0"/>
            <w:vAlign w:val="center"/>
          </w:tcPr>
          <w:p w14:paraId="1FA6F1AA">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铬（六价）</w:t>
            </w:r>
          </w:p>
        </w:tc>
        <w:tc>
          <w:tcPr>
            <w:tcW w:w="1515" w:type="dxa"/>
            <w:tcBorders>
              <w:tl2br w:val="nil"/>
              <w:tr2bl w:val="nil"/>
            </w:tcBorders>
            <w:noWrap w:val="0"/>
            <w:vAlign w:val="center"/>
          </w:tcPr>
          <w:p w14:paraId="13E37EC7">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c>
          <w:tcPr>
            <w:tcW w:w="1792" w:type="dxa"/>
            <w:tcBorders>
              <w:tl2br w:val="nil"/>
              <w:tr2bl w:val="nil"/>
            </w:tcBorders>
            <w:noWrap w:val="0"/>
            <w:vAlign w:val="center"/>
          </w:tcPr>
          <w:p w14:paraId="343E78D9">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c>
          <w:tcPr>
            <w:tcW w:w="1518" w:type="dxa"/>
            <w:tcBorders>
              <w:tl2br w:val="nil"/>
              <w:tr2bl w:val="nil"/>
            </w:tcBorders>
            <w:noWrap w:val="0"/>
            <w:vAlign w:val="center"/>
          </w:tcPr>
          <w:p w14:paraId="23BE1ED0">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r>
      <w:tr w14:paraId="546E6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3381363">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3341" w:type="dxa"/>
            <w:tcBorders>
              <w:tl2br w:val="nil"/>
              <w:tr2bl w:val="nil"/>
            </w:tcBorders>
            <w:noWrap w:val="0"/>
            <w:vAlign w:val="center"/>
          </w:tcPr>
          <w:p w14:paraId="0A91CF8D">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铜（Cu）</w:t>
            </w:r>
          </w:p>
        </w:tc>
        <w:tc>
          <w:tcPr>
            <w:tcW w:w="1515" w:type="dxa"/>
            <w:tcBorders>
              <w:tl2br w:val="nil"/>
              <w:tr2bl w:val="nil"/>
            </w:tcBorders>
            <w:noWrap w:val="0"/>
            <w:vAlign w:val="center"/>
          </w:tcPr>
          <w:p w14:paraId="2ACB1DA9">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1792" w:type="dxa"/>
            <w:tcBorders>
              <w:tl2br w:val="nil"/>
              <w:tr2bl w:val="nil"/>
            </w:tcBorders>
            <w:noWrap w:val="0"/>
            <w:vAlign w:val="center"/>
          </w:tcPr>
          <w:p w14:paraId="589B09C7">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24</w:t>
            </w:r>
          </w:p>
        </w:tc>
        <w:tc>
          <w:tcPr>
            <w:tcW w:w="1518" w:type="dxa"/>
            <w:tcBorders>
              <w:tl2br w:val="nil"/>
              <w:tr2bl w:val="nil"/>
            </w:tcBorders>
            <w:noWrap w:val="0"/>
            <w:vAlign w:val="center"/>
          </w:tcPr>
          <w:p w14:paraId="2FCFCDDC">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18</w:t>
            </w:r>
          </w:p>
        </w:tc>
      </w:tr>
      <w:tr w14:paraId="4FE61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42855D0">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3341" w:type="dxa"/>
            <w:tcBorders>
              <w:tl2br w:val="nil"/>
              <w:tr2bl w:val="nil"/>
            </w:tcBorders>
            <w:noWrap w:val="0"/>
            <w:vAlign w:val="center"/>
          </w:tcPr>
          <w:p w14:paraId="448E71F3">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镍（Ni）</w:t>
            </w:r>
          </w:p>
        </w:tc>
        <w:tc>
          <w:tcPr>
            <w:tcW w:w="1515" w:type="dxa"/>
            <w:tcBorders>
              <w:tl2br w:val="nil"/>
              <w:tr2bl w:val="nil"/>
            </w:tcBorders>
            <w:noWrap w:val="0"/>
            <w:vAlign w:val="center"/>
          </w:tcPr>
          <w:p w14:paraId="4759F360">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792" w:type="dxa"/>
            <w:tcBorders>
              <w:tl2br w:val="nil"/>
              <w:tr2bl w:val="nil"/>
            </w:tcBorders>
            <w:noWrap w:val="0"/>
            <w:vAlign w:val="center"/>
          </w:tcPr>
          <w:p w14:paraId="0FCAB443">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1518" w:type="dxa"/>
            <w:tcBorders>
              <w:tl2br w:val="nil"/>
              <w:tr2bl w:val="nil"/>
            </w:tcBorders>
            <w:noWrap w:val="0"/>
            <w:vAlign w:val="center"/>
          </w:tcPr>
          <w:p w14:paraId="62E192AA">
            <w:pPr>
              <w:keepNext w:val="0"/>
              <w:keepLines w:val="0"/>
              <w:pageBreakBefore w:val="0"/>
              <w:tabs>
                <w:tab w:val="left" w:pos="6560"/>
              </w:tabs>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w:t>
            </w:r>
          </w:p>
        </w:tc>
      </w:tr>
      <w:tr w14:paraId="05A6E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96FCE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w:t>
            </w:r>
          </w:p>
        </w:tc>
        <w:tc>
          <w:tcPr>
            <w:tcW w:w="3341" w:type="dxa"/>
            <w:tcBorders>
              <w:tl2br w:val="nil"/>
              <w:tr2bl w:val="nil"/>
            </w:tcBorders>
            <w:noWrap w:val="0"/>
            <w:vAlign w:val="center"/>
          </w:tcPr>
          <w:p w14:paraId="624559AF">
            <w:pPr>
              <w:pStyle w:val="85"/>
              <w:keepNext w:val="0"/>
              <w:keepLines w:val="0"/>
              <w:pageBreakBefore w:val="0"/>
              <w:widowControl w:val="0"/>
              <w:kinsoku/>
              <w:wordWrap/>
              <w:overflowPunct/>
              <w:topLinePunct w:val="0"/>
              <w:autoSpaceDE/>
              <w:autoSpaceDN/>
              <w:bidi w:val="0"/>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1515" w:type="dxa"/>
            <w:tcBorders>
              <w:tl2br w:val="nil"/>
              <w:tr2bl w:val="nil"/>
            </w:tcBorders>
            <w:noWrap w:val="0"/>
            <w:vAlign w:val="center"/>
          </w:tcPr>
          <w:p w14:paraId="51EF90E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199</w:t>
            </w:r>
          </w:p>
        </w:tc>
        <w:tc>
          <w:tcPr>
            <w:tcW w:w="1792" w:type="dxa"/>
            <w:tcBorders>
              <w:tl2br w:val="nil"/>
              <w:tr2bl w:val="nil"/>
            </w:tcBorders>
            <w:noWrap w:val="0"/>
            <w:vAlign w:val="center"/>
          </w:tcPr>
          <w:p w14:paraId="0CE981A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84.3</w:t>
            </w:r>
          </w:p>
        </w:tc>
        <w:tc>
          <w:tcPr>
            <w:tcW w:w="1518" w:type="dxa"/>
            <w:tcBorders>
              <w:tl2br w:val="nil"/>
              <w:tr2bl w:val="nil"/>
            </w:tcBorders>
            <w:noWrap w:val="0"/>
            <w:vAlign w:val="center"/>
          </w:tcPr>
          <w:p w14:paraId="50E74F7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16.9</w:t>
            </w:r>
          </w:p>
        </w:tc>
      </w:tr>
      <w:tr w14:paraId="03774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ACB8F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3341" w:type="dxa"/>
            <w:tcBorders>
              <w:tl2br w:val="nil"/>
              <w:tr2bl w:val="nil"/>
            </w:tcBorders>
            <w:noWrap w:val="0"/>
            <w:vAlign w:val="center"/>
          </w:tcPr>
          <w:p w14:paraId="78238E9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C9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515" w:type="dxa"/>
            <w:tcBorders>
              <w:tl2br w:val="nil"/>
              <w:tr2bl w:val="nil"/>
            </w:tcBorders>
            <w:noWrap w:val="0"/>
            <w:vAlign w:val="center"/>
          </w:tcPr>
          <w:p w14:paraId="42BABC39">
            <w:pPr>
              <w:pStyle w:val="33"/>
              <w:keepNext w:val="0"/>
              <w:keepLines w:val="0"/>
              <w:pageBreakBefore w:val="0"/>
              <w:kinsoku/>
              <w:wordWrap/>
              <w:overflowPunct/>
              <w:topLinePunct w:val="0"/>
              <w:autoSpaceDE/>
              <w:autoSpaceDN/>
              <w:bidi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c>
          <w:tcPr>
            <w:tcW w:w="1792" w:type="dxa"/>
            <w:tcBorders>
              <w:tl2br w:val="nil"/>
              <w:tr2bl w:val="nil"/>
            </w:tcBorders>
            <w:noWrap w:val="0"/>
            <w:vAlign w:val="center"/>
          </w:tcPr>
          <w:p w14:paraId="5058CCF8">
            <w:pPr>
              <w:pStyle w:val="33"/>
              <w:keepNext w:val="0"/>
              <w:keepLines w:val="0"/>
              <w:pageBreakBefore w:val="0"/>
              <w:kinsoku/>
              <w:wordWrap/>
              <w:overflowPunct/>
              <w:topLinePunct w:val="0"/>
              <w:autoSpaceDE/>
              <w:autoSpaceDN/>
              <w:bidi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c>
          <w:tcPr>
            <w:tcW w:w="1518" w:type="dxa"/>
            <w:tcBorders>
              <w:tl2br w:val="nil"/>
              <w:tr2bl w:val="nil"/>
            </w:tcBorders>
            <w:noWrap w:val="0"/>
            <w:vAlign w:val="center"/>
          </w:tcPr>
          <w:p w14:paraId="280F67D4">
            <w:pPr>
              <w:pStyle w:val="33"/>
              <w:keepNext w:val="0"/>
              <w:keepLines w:val="0"/>
              <w:pageBreakBefore w:val="0"/>
              <w:kinsoku/>
              <w:wordWrap/>
              <w:overflowPunct/>
              <w:topLinePunct w:val="0"/>
              <w:autoSpaceDE/>
              <w:autoSpaceDN/>
              <w:bidi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r>
      <w:tr w14:paraId="32781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1BDBE5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3341" w:type="dxa"/>
            <w:tcBorders>
              <w:tl2br w:val="nil"/>
              <w:tr2bl w:val="nil"/>
            </w:tcBorders>
            <w:noWrap w:val="0"/>
            <w:vAlign w:val="center"/>
          </w:tcPr>
          <w:p w14:paraId="399E424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C40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515" w:type="dxa"/>
            <w:tcBorders>
              <w:tl2br w:val="nil"/>
              <w:tr2bl w:val="nil"/>
            </w:tcBorders>
            <w:noWrap w:val="0"/>
            <w:vAlign w:val="center"/>
          </w:tcPr>
          <w:p w14:paraId="17F7A27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104</w:t>
            </w:r>
          </w:p>
        </w:tc>
        <w:tc>
          <w:tcPr>
            <w:tcW w:w="1792" w:type="dxa"/>
            <w:tcBorders>
              <w:tl2br w:val="nil"/>
              <w:tr2bl w:val="nil"/>
            </w:tcBorders>
            <w:noWrap w:val="0"/>
            <w:vAlign w:val="center"/>
          </w:tcPr>
          <w:p w14:paraId="280F4F0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43</w:t>
            </w:r>
          </w:p>
        </w:tc>
        <w:tc>
          <w:tcPr>
            <w:tcW w:w="1518" w:type="dxa"/>
            <w:tcBorders>
              <w:tl2br w:val="nil"/>
              <w:tr2bl w:val="nil"/>
            </w:tcBorders>
            <w:noWrap w:val="0"/>
            <w:vAlign w:val="center"/>
          </w:tcPr>
          <w:p w14:paraId="765429E7">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11</w:t>
            </w:r>
          </w:p>
        </w:tc>
      </w:tr>
      <w:tr w14:paraId="06C32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F9EC6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3341" w:type="dxa"/>
            <w:tcBorders>
              <w:tl2br w:val="nil"/>
              <w:tr2bl w:val="nil"/>
            </w:tcBorders>
            <w:noWrap w:val="0"/>
            <w:vAlign w:val="center"/>
          </w:tcPr>
          <w:p w14:paraId="69F7B8C8">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四氯化碳</w:t>
            </w:r>
          </w:p>
        </w:tc>
        <w:tc>
          <w:tcPr>
            <w:tcW w:w="1515" w:type="dxa"/>
            <w:tcBorders>
              <w:tl2br w:val="nil"/>
              <w:tr2bl w:val="nil"/>
            </w:tcBorders>
            <w:noWrap w:val="0"/>
            <w:vAlign w:val="center"/>
          </w:tcPr>
          <w:p w14:paraId="48BE26A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47647EE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7B5EF06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C16D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82D172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3341" w:type="dxa"/>
            <w:tcBorders>
              <w:tl2br w:val="nil"/>
              <w:tr2bl w:val="nil"/>
            </w:tcBorders>
            <w:noWrap w:val="0"/>
            <w:vAlign w:val="center"/>
          </w:tcPr>
          <w:p w14:paraId="3ECF89BB">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氯仿</w:t>
            </w:r>
          </w:p>
        </w:tc>
        <w:tc>
          <w:tcPr>
            <w:tcW w:w="1515" w:type="dxa"/>
            <w:tcBorders>
              <w:tl2br w:val="nil"/>
              <w:tr2bl w:val="nil"/>
            </w:tcBorders>
            <w:noWrap w:val="0"/>
            <w:vAlign w:val="center"/>
          </w:tcPr>
          <w:p w14:paraId="4D9EF694">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32567A2D">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25797FF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5A421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758CE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3341" w:type="dxa"/>
            <w:tcBorders>
              <w:tl2br w:val="nil"/>
              <w:tr2bl w:val="nil"/>
            </w:tcBorders>
            <w:noWrap w:val="0"/>
            <w:vAlign w:val="center"/>
          </w:tcPr>
          <w:p w14:paraId="1CE3A472">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氯甲烷</w:t>
            </w:r>
          </w:p>
        </w:tc>
        <w:tc>
          <w:tcPr>
            <w:tcW w:w="1515" w:type="dxa"/>
            <w:tcBorders>
              <w:tl2br w:val="nil"/>
              <w:tr2bl w:val="nil"/>
            </w:tcBorders>
            <w:noWrap w:val="0"/>
            <w:vAlign w:val="center"/>
          </w:tcPr>
          <w:p w14:paraId="18ABB57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25AB698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69C6944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605B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6F8EF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3341" w:type="dxa"/>
            <w:tcBorders>
              <w:tl2br w:val="nil"/>
              <w:tr2bl w:val="nil"/>
            </w:tcBorders>
            <w:noWrap w:val="0"/>
            <w:vAlign w:val="center"/>
          </w:tcPr>
          <w:p w14:paraId="2090345F">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1-二氯乙烷</w:t>
            </w:r>
          </w:p>
        </w:tc>
        <w:tc>
          <w:tcPr>
            <w:tcW w:w="1515" w:type="dxa"/>
            <w:tcBorders>
              <w:tl2br w:val="nil"/>
              <w:tr2bl w:val="nil"/>
            </w:tcBorders>
            <w:noWrap w:val="0"/>
            <w:vAlign w:val="center"/>
          </w:tcPr>
          <w:p w14:paraId="477151C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03B5EBE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74B742AC">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6666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369B30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p>
        </w:tc>
        <w:tc>
          <w:tcPr>
            <w:tcW w:w="3341" w:type="dxa"/>
            <w:tcBorders>
              <w:tl2br w:val="nil"/>
              <w:tr2bl w:val="nil"/>
            </w:tcBorders>
            <w:noWrap w:val="0"/>
            <w:vAlign w:val="center"/>
          </w:tcPr>
          <w:p w14:paraId="2F63DA6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2-二氯乙烷</w:t>
            </w:r>
          </w:p>
        </w:tc>
        <w:tc>
          <w:tcPr>
            <w:tcW w:w="1515" w:type="dxa"/>
            <w:tcBorders>
              <w:tl2br w:val="nil"/>
              <w:tr2bl w:val="nil"/>
            </w:tcBorders>
            <w:noWrap w:val="0"/>
            <w:vAlign w:val="center"/>
          </w:tcPr>
          <w:p w14:paraId="2185AD2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4CC0378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EC9F48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6DB25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8136D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17</w:t>
            </w:r>
          </w:p>
        </w:tc>
        <w:tc>
          <w:tcPr>
            <w:tcW w:w="3341" w:type="dxa"/>
            <w:tcBorders>
              <w:tl2br w:val="nil"/>
              <w:tr2bl w:val="nil"/>
            </w:tcBorders>
            <w:noWrap w:val="0"/>
            <w:vAlign w:val="center"/>
          </w:tcPr>
          <w:p w14:paraId="45A2BF4C">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1-二氯乙烯</w:t>
            </w:r>
          </w:p>
        </w:tc>
        <w:tc>
          <w:tcPr>
            <w:tcW w:w="1515" w:type="dxa"/>
            <w:tcBorders>
              <w:tl2br w:val="nil"/>
              <w:tr2bl w:val="nil"/>
            </w:tcBorders>
            <w:noWrap w:val="0"/>
            <w:vAlign w:val="center"/>
          </w:tcPr>
          <w:p w14:paraId="1364814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1EDCE82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FD81A1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502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465303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w:t>
            </w:r>
          </w:p>
        </w:tc>
        <w:tc>
          <w:tcPr>
            <w:tcW w:w="3341" w:type="dxa"/>
            <w:tcBorders>
              <w:tl2br w:val="nil"/>
              <w:tr2bl w:val="nil"/>
            </w:tcBorders>
            <w:noWrap w:val="0"/>
            <w:vAlign w:val="center"/>
          </w:tcPr>
          <w:p w14:paraId="7EAA13C0">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顺-1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2-二氯乙烯</w:t>
            </w:r>
          </w:p>
        </w:tc>
        <w:tc>
          <w:tcPr>
            <w:tcW w:w="1515" w:type="dxa"/>
            <w:tcBorders>
              <w:tl2br w:val="nil"/>
              <w:tr2bl w:val="nil"/>
            </w:tcBorders>
            <w:noWrap w:val="0"/>
            <w:vAlign w:val="center"/>
          </w:tcPr>
          <w:p w14:paraId="12044D9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15F0DD0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B10A66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275F0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1072B6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3341" w:type="dxa"/>
            <w:tcBorders>
              <w:tl2br w:val="nil"/>
              <w:tr2bl w:val="nil"/>
            </w:tcBorders>
            <w:noWrap w:val="0"/>
            <w:vAlign w:val="center"/>
          </w:tcPr>
          <w:p w14:paraId="1DD8C0C9">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反-1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2-二氯乙烯</w:t>
            </w:r>
          </w:p>
        </w:tc>
        <w:tc>
          <w:tcPr>
            <w:tcW w:w="1515" w:type="dxa"/>
            <w:tcBorders>
              <w:tl2br w:val="nil"/>
              <w:tr2bl w:val="nil"/>
            </w:tcBorders>
            <w:noWrap w:val="0"/>
            <w:vAlign w:val="center"/>
          </w:tcPr>
          <w:p w14:paraId="3DBFD732">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2FA3585F">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F424AE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6CE13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62F5D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3341" w:type="dxa"/>
            <w:tcBorders>
              <w:tl2br w:val="nil"/>
              <w:tr2bl w:val="nil"/>
            </w:tcBorders>
            <w:noWrap w:val="0"/>
            <w:vAlign w:val="center"/>
          </w:tcPr>
          <w:p w14:paraId="66A7AC1F">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二氯甲烷</w:t>
            </w:r>
          </w:p>
        </w:tc>
        <w:tc>
          <w:tcPr>
            <w:tcW w:w="1515" w:type="dxa"/>
            <w:tcBorders>
              <w:tl2br w:val="nil"/>
              <w:tr2bl w:val="nil"/>
            </w:tcBorders>
            <w:noWrap w:val="0"/>
            <w:vAlign w:val="center"/>
          </w:tcPr>
          <w:p w14:paraId="554785F2">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65C8A9B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714807E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21D83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09459A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w:t>
            </w:r>
          </w:p>
        </w:tc>
        <w:tc>
          <w:tcPr>
            <w:tcW w:w="3341" w:type="dxa"/>
            <w:tcBorders>
              <w:tl2br w:val="nil"/>
              <w:tr2bl w:val="nil"/>
            </w:tcBorders>
            <w:noWrap w:val="0"/>
            <w:vAlign w:val="center"/>
          </w:tcPr>
          <w:p w14:paraId="645544F3">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2-二氯丙烷</w:t>
            </w:r>
          </w:p>
        </w:tc>
        <w:tc>
          <w:tcPr>
            <w:tcW w:w="1515" w:type="dxa"/>
            <w:tcBorders>
              <w:tl2br w:val="nil"/>
              <w:tr2bl w:val="nil"/>
            </w:tcBorders>
            <w:noWrap w:val="0"/>
            <w:vAlign w:val="center"/>
          </w:tcPr>
          <w:p w14:paraId="4741874C">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4EC64D9D">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19709EA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26B97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67DAB1F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3341" w:type="dxa"/>
            <w:tcBorders>
              <w:tl2br w:val="nil"/>
              <w:tr2bl w:val="nil"/>
            </w:tcBorders>
            <w:noWrap w:val="0"/>
            <w:vAlign w:val="center"/>
          </w:tcPr>
          <w:p w14:paraId="112F333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2-四氯乙烷</w:t>
            </w:r>
          </w:p>
        </w:tc>
        <w:tc>
          <w:tcPr>
            <w:tcW w:w="1515" w:type="dxa"/>
            <w:tcBorders>
              <w:tl2br w:val="nil"/>
              <w:tr2bl w:val="nil"/>
            </w:tcBorders>
            <w:noWrap w:val="0"/>
            <w:vAlign w:val="center"/>
          </w:tcPr>
          <w:p w14:paraId="33C3FB02">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1CAA098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0696C8F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5455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2D2250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w:t>
            </w:r>
          </w:p>
        </w:tc>
        <w:tc>
          <w:tcPr>
            <w:tcW w:w="3341" w:type="dxa"/>
            <w:tcBorders>
              <w:tl2br w:val="nil"/>
              <w:tr2bl w:val="nil"/>
            </w:tcBorders>
            <w:noWrap w:val="0"/>
            <w:vAlign w:val="center"/>
          </w:tcPr>
          <w:p w14:paraId="174E46A5">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2-四氯乙烷</w:t>
            </w:r>
          </w:p>
        </w:tc>
        <w:tc>
          <w:tcPr>
            <w:tcW w:w="1515" w:type="dxa"/>
            <w:tcBorders>
              <w:tl2br w:val="nil"/>
              <w:tr2bl w:val="nil"/>
            </w:tcBorders>
            <w:noWrap w:val="0"/>
            <w:vAlign w:val="center"/>
          </w:tcPr>
          <w:p w14:paraId="63205DF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75BE252C">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6C6B088D">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C49C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759E3A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w:t>
            </w:r>
          </w:p>
        </w:tc>
        <w:tc>
          <w:tcPr>
            <w:tcW w:w="3341" w:type="dxa"/>
            <w:tcBorders>
              <w:tl2br w:val="nil"/>
              <w:tr2bl w:val="nil"/>
            </w:tcBorders>
            <w:noWrap w:val="0"/>
            <w:vAlign w:val="center"/>
          </w:tcPr>
          <w:p w14:paraId="5B0BFC11">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四氯乙烯</w:t>
            </w:r>
          </w:p>
        </w:tc>
        <w:tc>
          <w:tcPr>
            <w:tcW w:w="1515" w:type="dxa"/>
            <w:tcBorders>
              <w:tl2br w:val="nil"/>
              <w:tr2bl w:val="nil"/>
            </w:tcBorders>
            <w:noWrap w:val="0"/>
            <w:vAlign w:val="center"/>
          </w:tcPr>
          <w:p w14:paraId="594D6F6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D9C1C8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1D1CB4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430F5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3FAF58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3341" w:type="dxa"/>
            <w:tcBorders>
              <w:tl2br w:val="nil"/>
              <w:tr2bl w:val="nil"/>
            </w:tcBorders>
            <w:noWrap w:val="0"/>
            <w:vAlign w:val="center"/>
          </w:tcPr>
          <w:p w14:paraId="1F47A629">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1-三氯乙烷</w:t>
            </w:r>
          </w:p>
        </w:tc>
        <w:tc>
          <w:tcPr>
            <w:tcW w:w="1515" w:type="dxa"/>
            <w:tcBorders>
              <w:tl2br w:val="nil"/>
              <w:tr2bl w:val="nil"/>
            </w:tcBorders>
            <w:noWrap w:val="0"/>
            <w:vAlign w:val="center"/>
          </w:tcPr>
          <w:p w14:paraId="3E5E98B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1D9CC7E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F32CEC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36E19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6A142C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3341" w:type="dxa"/>
            <w:tcBorders>
              <w:tl2br w:val="nil"/>
              <w:tr2bl w:val="nil"/>
            </w:tcBorders>
            <w:noWrap w:val="0"/>
            <w:vAlign w:val="center"/>
          </w:tcPr>
          <w:p w14:paraId="476E28B7">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2-三氯乙烷</w:t>
            </w:r>
          </w:p>
        </w:tc>
        <w:tc>
          <w:tcPr>
            <w:tcW w:w="1515" w:type="dxa"/>
            <w:tcBorders>
              <w:tl2br w:val="nil"/>
              <w:tr2bl w:val="nil"/>
            </w:tcBorders>
            <w:noWrap w:val="0"/>
            <w:vAlign w:val="center"/>
          </w:tcPr>
          <w:p w14:paraId="1609D0F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0C52A9F6">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77001AF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42BFD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53C226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w:t>
            </w:r>
          </w:p>
        </w:tc>
        <w:tc>
          <w:tcPr>
            <w:tcW w:w="3341" w:type="dxa"/>
            <w:tcBorders>
              <w:tl2br w:val="nil"/>
              <w:tr2bl w:val="nil"/>
            </w:tcBorders>
            <w:noWrap w:val="0"/>
            <w:vAlign w:val="center"/>
          </w:tcPr>
          <w:p w14:paraId="175AE7B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三氯乙烯</w:t>
            </w:r>
          </w:p>
        </w:tc>
        <w:tc>
          <w:tcPr>
            <w:tcW w:w="1515" w:type="dxa"/>
            <w:tcBorders>
              <w:tl2br w:val="nil"/>
              <w:tr2bl w:val="nil"/>
            </w:tcBorders>
            <w:noWrap w:val="0"/>
            <w:vAlign w:val="center"/>
          </w:tcPr>
          <w:p w14:paraId="4A1E63D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77A7A31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4DF716E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1C4BD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7AD9B3B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3341" w:type="dxa"/>
            <w:tcBorders>
              <w:tl2br w:val="nil"/>
              <w:tr2bl w:val="nil"/>
            </w:tcBorders>
            <w:noWrap w:val="0"/>
            <w:vAlign w:val="center"/>
          </w:tcPr>
          <w:p w14:paraId="696750C0">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3-三氯丙烷</w:t>
            </w:r>
          </w:p>
        </w:tc>
        <w:tc>
          <w:tcPr>
            <w:tcW w:w="1515" w:type="dxa"/>
            <w:tcBorders>
              <w:tl2br w:val="nil"/>
              <w:tr2bl w:val="nil"/>
            </w:tcBorders>
            <w:noWrap w:val="0"/>
            <w:vAlign w:val="center"/>
          </w:tcPr>
          <w:p w14:paraId="386AB6C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2D28A23F">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18B60AA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A147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33EA21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p>
        </w:tc>
        <w:tc>
          <w:tcPr>
            <w:tcW w:w="3341" w:type="dxa"/>
            <w:tcBorders>
              <w:tl2br w:val="nil"/>
              <w:tr2bl w:val="nil"/>
            </w:tcBorders>
            <w:noWrap w:val="0"/>
            <w:vAlign w:val="center"/>
          </w:tcPr>
          <w:p w14:paraId="29ED03C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氯乙烯</w:t>
            </w:r>
          </w:p>
        </w:tc>
        <w:tc>
          <w:tcPr>
            <w:tcW w:w="1515" w:type="dxa"/>
            <w:tcBorders>
              <w:tl2br w:val="nil"/>
              <w:tr2bl w:val="nil"/>
            </w:tcBorders>
            <w:noWrap w:val="0"/>
            <w:vAlign w:val="center"/>
          </w:tcPr>
          <w:p w14:paraId="29EF73C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0FC0D27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2EE774E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6CE1B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7A37042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3341" w:type="dxa"/>
            <w:tcBorders>
              <w:tl2br w:val="nil"/>
              <w:tr2bl w:val="nil"/>
            </w:tcBorders>
            <w:noWrap w:val="0"/>
            <w:vAlign w:val="center"/>
          </w:tcPr>
          <w:p w14:paraId="4BC0F491">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w:t>
            </w:r>
          </w:p>
        </w:tc>
        <w:tc>
          <w:tcPr>
            <w:tcW w:w="1515" w:type="dxa"/>
            <w:tcBorders>
              <w:tl2br w:val="nil"/>
              <w:tr2bl w:val="nil"/>
            </w:tcBorders>
            <w:noWrap w:val="0"/>
            <w:vAlign w:val="center"/>
          </w:tcPr>
          <w:p w14:paraId="4E8B8D5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8D2461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0AC2D17F">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C21A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7593EF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w:t>
            </w:r>
          </w:p>
        </w:tc>
        <w:tc>
          <w:tcPr>
            <w:tcW w:w="3341" w:type="dxa"/>
            <w:tcBorders>
              <w:tl2br w:val="nil"/>
              <w:tr2bl w:val="nil"/>
            </w:tcBorders>
            <w:noWrap w:val="0"/>
            <w:vAlign w:val="center"/>
          </w:tcPr>
          <w:p w14:paraId="474099C8">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氯苯</w:t>
            </w:r>
          </w:p>
        </w:tc>
        <w:tc>
          <w:tcPr>
            <w:tcW w:w="1515" w:type="dxa"/>
            <w:tcBorders>
              <w:tl2br w:val="nil"/>
              <w:tr2bl w:val="nil"/>
            </w:tcBorders>
            <w:noWrap w:val="0"/>
            <w:vAlign w:val="center"/>
          </w:tcPr>
          <w:p w14:paraId="132A7FF6">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303D729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1BFACE9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1A532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1C52A50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3341" w:type="dxa"/>
            <w:tcBorders>
              <w:tl2br w:val="nil"/>
              <w:tr2bl w:val="nil"/>
            </w:tcBorders>
            <w:noWrap w:val="0"/>
            <w:vAlign w:val="center"/>
          </w:tcPr>
          <w:p w14:paraId="1160CCCA">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2-二氯苯</w:t>
            </w:r>
          </w:p>
        </w:tc>
        <w:tc>
          <w:tcPr>
            <w:tcW w:w="1515" w:type="dxa"/>
            <w:tcBorders>
              <w:tl2br w:val="nil"/>
              <w:tr2bl w:val="nil"/>
            </w:tcBorders>
            <w:noWrap w:val="0"/>
            <w:vAlign w:val="center"/>
          </w:tcPr>
          <w:p w14:paraId="4FB93B1C">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61E8042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4EC914C2">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68706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6B4A15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33</w:t>
            </w:r>
          </w:p>
        </w:tc>
        <w:tc>
          <w:tcPr>
            <w:tcW w:w="3341" w:type="dxa"/>
            <w:tcBorders>
              <w:tl2br w:val="nil"/>
              <w:tr2bl w:val="nil"/>
            </w:tcBorders>
            <w:noWrap w:val="0"/>
            <w:vAlign w:val="center"/>
          </w:tcPr>
          <w:p w14:paraId="262B20C2">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4-二氯苯</w:t>
            </w:r>
          </w:p>
        </w:tc>
        <w:tc>
          <w:tcPr>
            <w:tcW w:w="1515" w:type="dxa"/>
            <w:tcBorders>
              <w:tl2br w:val="nil"/>
              <w:tr2bl w:val="nil"/>
            </w:tcBorders>
            <w:noWrap w:val="0"/>
            <w:vAlign w:val="center"/>
          </w:tcPr>
          <w:p w14:paraId="0087DC2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7D44753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7933E63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4AE55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3A5926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w:t>
            </w:r>
          </w:p>
        </w:tc>
        <w:tc>
          <w:tcPr>
            <w:tcW w:w="3341" w:type="dxa"/>
            <w:tcBorders>
              <w:tl2br w:val="nil"/>
              <w:tr2bl w:val="nil"/>
            </w:tcBorders>
            <w:noWrap w:val="0"/>
            <w:vAlign w:val="center"/>
          </w:tcPr>
          <w:p w14:paraId="3FBA880F">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乙苯</w:t>
            </w:r>
          </w:p>
        </w:tc>
        <w:tc>
          <w:tcPr>
            <w:tcW w:w="1515" w:type="dxa"/>
            <w:tcBorders>
              <w:tl2br w:val="nil"/>
              <w:tr2bl w:val="nil"/>
            </w:tcBorders>
            <w:noWrap w:val="0"/>
            <w:vAlign w:val="center"/>
          </w:tcPr>
          <w:p w14:paraId="64E3AF3C">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42D8DB8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2981BA44">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47EBF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DECB04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p>
        </w:tc>
        <w:tc>
          <w:tcPr>
            <w:tcW w:w="3341" w:type="dxa"/>
            <w:tcBorders>
              <w:tl2br w:val="nil"/>
              <w:tr2bl w:val="nil"/>
            </w:tcBorders>
            <w:noWrap w:val="0"/>
            <w:vAlign w:val="center"/>
          </w:tcPr>
          <w:p w14:paraId="1524FBF1">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苯乙烯</w:t>
            </w:r>
          </w:p>
        </w:tc>
        <w:tc>
          <w:tcPr>
            <w:tcW w:w="1515" w:type="dxa"/>
            <w:tcBorders>
              <w:tl2br w:val="nil"/>
              <w:tr2bl w:val="nil"/>
            </w:tcBorders>
            <w:noWrap w:val="0"/>
            <w:vAlign w:val="center"/>
          </w:tcPr>
          <w:p w14:paraId="5B67003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2A9CB55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0B8E7E1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3EA3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4E0E7D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w:t>
            </w:r>
          </w:p>
        </w:tc>
        <w:tc>
          <w:tcPr>
            <w:tcW w:w="3341" w:type="dxa"/>
            <w:tcBorders>
              <w:tl2br w:val="nil"/>
              <w:tr2bl w:val="nil"/>
            </w:tcBorders>
            <w:noWrap w:val="0"/>
            <w:vAlign w:val="center"/>
          </w:tcPr>
          <w:p w14:paraId="40B9F51B">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甲苯</w:t>
            </w:r>
          </w:p>
        </w:tc>
        <w:tc>
          <w:tcPr>
            <w:tcW w:w="1515" w:type="dxa"/>
            <w:tcBorders>
              <w:tl2br w:val="nil"/>
              <w:tr2bl w:val="nil"/>
            </w:tcBorders>
            <w:noWrap w:val="0"/>
            <w:vAlign w:val="center"/>
          </w:tcPr>
          <w:p w14:paraId="1B24899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8F2AB2F">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13559F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AAB7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13B83A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w:t>
            </w:r>
          </w:p>
        </w:tc>
        <w:tc>
          <w:tcPr>
            <w:tcW w:w="3341" w:type="dxa"/>
            <w:tcBorders>
              <w:tl2br w:val="nil"/>
              <w:tr2bl w:val="nil"/>
            </w:tcBorders>
            <w:noWrap w:val="0"/>
            <w:vAlign w:val="center"/>
          </w:tcPr>
          <w:p w14:paraId="340DD5AE">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间+对二甲苯</w:t>
            </w:r>
          </w:p>
        </w:tc>
        <w:tc>
          <w:tcPr>
            <w:tcW w:w="1515" w:type="dxa"/>
            <w:tcBorders>
              <w:tl2br w:val="nil"/>
              <w:tr2bl w:val="nil"/>
            </w:tcBorders>
            <w:noWrap w:val="0"/>
            <w:vAlign w:val="center"/>
          </w:tcPr>
          <w:p w14:paraId="7966896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38908C24">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6AE55C3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877B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600FAB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3341" w:type="dxa"/>
            <w:tcBorders>
              <w:tl2br w:val="nil"/>
              <w:tr2bl w:val="nil"/>
            </w:tcBorders>
            <w:noWrap w:val="0"/>
            <w:vAlign w:val="center"/>
          </w:tcPr>
          <w:p w14:paraId="1C383658">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邻二甲苯</w:t>
            </w:r>
          </w:p>
        </w:tc>
        <w:tc>
          <w:tcPr>
            <w:tcW w:w="1515" w:type="dxa"/>
            <w:tcBorders>
              <w:tl2br w:val="nil"/>
              <w:tr2bl w:val="nil"/>
            </w:tcBorders>
            <w:noWrap w:val="0"/>
            <w:vAlign w:val="center"/>
          </w:tcPr>
          <w:p w14:paraId="0599208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B1ECF8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172701EF">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2E161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3882B9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39</w:t>
            </w:r>
          </w:p>
        </w:tc>
        <w:tc>
          <w:tcPr>
            <w:tcW w:w="3341" w:type="dxa"/>
            <w:tcBorders>
              <w:tl2br w:val="nil"/>
              <w:tr2bl w:val="nil"/>
            </w:tcBorders>
            <w:noWrap w:val="0"/>
            <w:vAlign w:val="center"/>
          </w:tcPr>
          <w:p w14:paraId="2E9DF2A7">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硝基苯</w:t>
            </w:r>
          </w:p>
        </w:tc>
        <w:tc>
          <w:tcPr>
            <w:tcW w:w="1515" w:type="dxa"/>
            <w:tcBorders>
              <w:tl2br w:val="nil"/>
              <w:tr2bl w:val="nil"/>
            </w:tcBorders>
            <w:noWrap w:val="0"/>
            <w:vAlign w:val="center"/>
          </w:tcPr>
          <w:p w14:paraId="4C04145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4F0FD123">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192C36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44F08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78E564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3341" w:type="dxa"/>
            <w:tcBorders>
              <w:tl2br w:val="nil"/>
              <w:tr2bl w:val="nil"/>
            </w:tcBorders>
            <w:noWrap w:val="0"/>
            <w:vAlign w:val="center"/>
          </w:tcPr>
          <w:p w14:paraId="31659680">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苯胺</w:t>
            </w:r>
          </w:p>
        </w:tc>
        <w:tc>
          <w:tcPr>
            <w:tcW w:w="1515" w:type="dxa"/>
            <w:tcBorders>
              <w:tl2br w:val="nil"/>
              <w:tr2bl w:val="nil"/>
            </w:tcBorders>
            <w:noWrap w:val="0"/>
            <w:vAlign w:val="center"/>
          </w:tcPr>
          <w:p w14:paraId="7ABF0CF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729475D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4BE9D2D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9059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073136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41</w:t>
            </w:r>
          </w:p>
        </w:tc>
        <w:tc>
          <w:tcPr>
            <w:tcW w:w="3341" w:type="dxa"/>
            <w:tcBorders>
              <w:tl2br w:val="nil"/>
              <w:tr2bl w:val="nil"/>
            </w:tcBorders>
            <w:noWrap w:val="0"/>
            <w:vAlign w:val="center"/>
          </w:tcPr>
          <w:p w14:paraId="79A05763">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2-氯酚</w:t>
            </w:r>
          </w:p>
        </w:tc>
        <w:tc>
          <w:tcPr>
            <w:tcW w:w="1515" w:type="dxa"/>
            <w:tcBorders>
              <w:tl2br w:val="nil"/>
              <w:tr2bl w:val="nil"/>
            </w:tcBorders>
            <w:noWrap w:val="0"/>
            <w:vAlign w:val="center"/>
          </w:tcPr>
          <w:p w14:paraId="4BCDBFA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7A80A52F">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F40EF0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126F1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792AFC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42</w:t>
            </w:r>
          </w:p>
        </w:tc>
        <w:tc>
          <w:tcPr>
            <w:tcW w:w="3341" w:type="dxa"/>
            <w:tcBorders>
              <w:tl2br w:val="nil"/>
              <w:tr2bl w:val="nil"/>
            </w:tcBorders>
            <w:noWrap w:val="0"/>
            <w:vAlign w:val="center"/>
          </w:tcPr>
          <w:p w14:paraId="52538B85">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蒽</w:t>
            </w:r>
          </w:p>
        </w:tc>
        <w:tc>
          <w:tcPr>
            <w:tcW w:w="1515" w:type="dxa"/>
            <w:tcBorders>
              <w:tl2br w:val="nil"/>
              <w:tr2bl w:val="nil"/>
            </w:tcBorders>
            <w:noWrap w:val="0"/>
            <w:vAlign w:val="center"/>
          </w:tcPr>
          <w:p w14:paraId="12B08734">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EDEE51A">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08BA73A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6BD0E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433A6D2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w:t>
            </w:r>
          </w:p>
        </w:tc>
        <w:tc>
          <w:tcPr>
            <w:tcW w:w="3341" w:type="dxa"/>
            <w:tcBorders>
              <w:tl2br w:val="nil"/>
              <w:tr2bl w:val="nil"/>
            </w:tcBorders>
            <w:noWrap w:val="0"/>
            <w:vAlign w:val="center"/>
          </w:tcPr>
          <w:p w14:paraId="3E2B658A">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芘</w:t>
            </w:r>
          </w:p>
        </w:tc>
        <w:tc>
          <w:tcPr>
            <w:tcW w:w="1515" w:type="dxa"/>
            <w:tcBorders>
              <w:tl2br w:val="nil"/>
              <w:tr2bl w:val="nil"/>
            </w:tcBorders>
            <w:noWrap w:val="0"/>
            <w:vAlign w:val="center"/>
          </w:tcPr>
          <w:p w14:paraId="6DA9700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461EC96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E1905E9">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3280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dxa"/>
            <w:tcBorders>
              <w:tl2br w:val="nil"/>
              <w:tr2bl w:val="nil"/>
            </w:tcBorders>
            <w:noWrap/>
            <w:vAlign w:val="center"/>
          </w:tcPr>
          <w:p w14:paraId="7A9ED3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44</w:t>
            </w:r>
          </w:p>
        </w:tc>
        <w:tc>
          <w:tcPr>
            <w:tcW w:w="3341" w:type="dxa"/>
            <w:tcBorders>
              <w:tl2br w:val="nil"/>
              <w:tr2bl w:val="nil"/>
            </w:tcBorders>
            <w:noWrap w:val="0"/>
            <w:vAlign w:val="center"/>
          </w:tcPr>
          <w:p w14:paraId="46DB98C9">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b</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荧蒽</w:t>
            </w:r>
          </w:p>
        </w:tc>
        <w:tc>
          <w:tcPr>
            <w:tcW w:w="1515" w:type="dxa"/>
            <w:tcBorders>
              <w:tl2br w:val="nil"/>
              <w:tr2bl w:val="nil"/>
            </w:tcBorders>
            <w:noWrap w:val="0"/>
            <w:vAlign w:val="center"/>
          </w:tcPr>
          <w:p w14:paraId="1A105496">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127D63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80E7EF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5A088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1F3526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3341" w:type="dxa"/>
            <w:tcBorders>
              <w:tl2br w:val="nil"/>
              <w:tr2bl w:val="nil"/>
            </w:tcBorders>
            <w:noWrap w:val="0"/>
            <w:vAlign w:val="center"/>
          </w:tcPr>
          <w:p w14:paraId="158DEA4F">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苯并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k</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荧蒽</w:t>
            </w:r>
          </w:p>
        </w:tc>
        <w:tc>
          <w:tcPr>
            <w:tcW w:w="1515" w:type="dxa"/>
            <w:tcBorders>
              <w:tl2br w:val="nil"/>
              <w:tr2bl w:val="nil"/>
            </w:tcBorders>
            <w:noWrap w:val="0"/>
            <w:vAlign w:val="center"/>
          </w:tcPr>
          <w:p w14:paraId="3FC487D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3083263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EE7C056">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61CF6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68F90E4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46</w:t>
            </w:r>
          </w:p>
        </w:tc>
        <w:tc>
          <w:tcPr>
            <w:tcW w:w="3341" w:type="dxa"/>
            <w:tcBorders>
              <w:tl2br w:val="nil"/>
              <w:tr2bl w:val="nil"/>
            </w:tcBorders>
            <w:noWrap w:val="0"/>
            <w:vAlign w:val="center"/>
          </w:tcPr>
          <w:p w14:paraId="04A3E3CE">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䓛</w:t>
            </w:r>
          </w:p>
        </w:tc>
        <w:tc>
          <w:tcPr>
            <w:tcW w:w="1515" w:type="dxa"/>
            <w:tcBorders>
              <w:tl2br w:val="nil"/>
              <w:tr2bl w:val="nil"/>
            </w:tcBorders>
            <w:noWrap w:val="0"/>
            <w:vAlign w:val="center"/>
          </w:tcPr>
          <w:p w14:paraId="220E0F4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3F90EA45">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44FAF54">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4823B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09606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w:t>
            </w:r>
          </w:p>
        </w:tc>
        <w:tc>
          <w:tcPr>
            <w:tcW w:w="3341" w:type="dxa"/>
            <w:tcBorders>
              <w:tl2br w:val="nil"/>
              <w:tr2bl w:val="nil"/>
            </w:tcBorders>
            <w:noWrap w:val="0"/>
            <w:vAlign w:val="center"/>
          </w:tcPr>
          <w:p w14:paraId="34A56EF2">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二苯并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h</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蒽</w:t>
            </w:r>
          </w:p>
        </w:tc>
        <w:tc>
          <w:tcPr>
            <w:tcW w:w="1515" w:type="dxa"/>
            <w:tcBorders>
              <w:tl2br w:val="nil"/>
              <w:tr2bl w:val="nil"/>
            </w:tcBorders>
            <w:noWrap w:val="0"/>
            <w:vAlign w:val="center"/>
          </w:tcPr>
          <w:p w14:paraId="0F59C1A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32587500">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429A82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2BA89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2D279E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w:t>
            </w:r>
          </w:p>
        </w:tc>
        <w:tc>
          <w:tcPr>
            <w:tcW w:w="3341" w:type="dxa"/>
            <w:tcBorders>
              <w:tl2br w:val="nil"/>
              <w:tr2bl w:val="nil"/>
            </w:tcBorders>
            <w:noWrap w:val="0"/>
            <w:vAlign w:val="center"/>
          </w:tcPr>
          <w:p w14:paraId="1ABDB4C9">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茚并</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3-cd</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芘</w:t>
            </w:r>
          </w:p>
        </w:tc>
        <w:tc>
          <w:tcPr>
            <w:tcW w:w="1515" w:type="dxa"/>
            <w:tcBorders>
              <w:tl2br w:val="nil"/>
              <w:tr2bl w:val="nil"/>
            </w:tcBorders>
            <w:noWrap w:val="0"/>
            <w:vAlign w:val="center"/>
          </w:tcPr>
          <w:p w14:paraId="375D8796">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0AEF1A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3404D12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r w14:paraId="01A4C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0" w:type="dxa"/>
            <w:tcBorders>
              <w:tl2br w:val="nil"/>
              <w:tr2bl w:val="nil"/>
            </w:tcBorders>
            <w:noWrap/>
            <w:vAlign w:val="center"/>
          </w:tcPr>
          <w:p w14:paraId="5DBD83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49</w:t>
            </w:r>
          </w:p>
        </w:tc>
        <w:tc>
          <w:tcPr>
            <w:tcW w:w="3341" w:type="dxa"/>
            <w:tcBorders>
              <w:tl2br w:val="nil"/>
              <w:tr2bl w:val="nil"/>
            </w:tcBorders>
            <w:noWrap w:val="0"/>
            <w:vAlign w:val="center"/>
          </w:tcPr>
          <w:p w14:paraId="07FBF43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萘</w:t>
            </w:r>
          </w:p>
        </w:tc>
        <w:tc>
          <w:tcPr>
            <w:tcW w:w="1515" w:type="dxa"/>
            <w:tcBorders>
              <w:tl2br w:val="nil"/>
              <w:tr2bl w:val="nil"/>
            </w:tcBorders>
            <w:noWrap w:val="0"/>
            <w:vAlign w:val="center"/>
          </w:tcPr>
          <w:p w14:paraId="6339ABA4">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792" w:type="dxa"/>
            <w:tcBorders>
              <w:tl2br w:val="nil"/>
              <w:tr2bl w:val="nil"/>
            </w:tcBorders>
            <w:noWrap w:val="0"/>
            <w:vAlign w:val="center"/>
          </w:tcPr>
          <w:p w14:paraId="5C3FA34C">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c>
          <w:tcPr>
            <w:tcW w:w="1518" w:type="dxa"/>
            <w:tcBorders>
              <w:tl2br w:val="nil"/>
              <w:tr2bl w:val="nil"/>
            </w:tcBorders>
            <w:noWrap w:val="0"/>
            <w:vAlign w:val="center"/>
          </w:tcPr>
          <w:p w14:paraId="53F44AC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未检出</w:t>
            </w:r>
          </w:p>
        </w:tc>
      </w:tr>
    </w:tbl>
    <w:p w14:paraId="3ABF746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21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农用地土壤环境质量现状监测结果单位：mg/kg（pH无量纲）</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108"/>
        <w:gridCol w:w="2176"/>
        <w:gridCol w:w="1081"/>
        <w:gridCol w:w="1097"/>
        <w:gridCol w:w="2157"/>
        <w:gridCol w:w="24"/>
      </w:tblGrid>
      <w:tr w14:paraId="0E40D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vMerge w:val="restart"/>
            <w:tcBorders>
              <w:tl2br w:val="nil"/>
              <w:tr2bl w:val="nil"/>
            </w:tcBorders>
            <w:noWrap/>
            <w:vAlign w:val="center"/>
          </w:tcPr>
          <w:p w14:paraId="0F2286FD">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1135" w:type="pct"/>
            <w:vMerge w:val="restart"/>
            <w:tcBorders>
              <w:tl2br w:val="nil"/>
              <w:tr2bl w:val="nil"/>
            </w:tcBorders>
            <w:noWrap w:val="0"/>
            <w:vAlign w:val="center"/>
          </w:tcPr>
          <w:p w14:paraId="65C1361E">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监测项目</w:t>
            </w:r>
          </w:p>
        </w:tc>
        <w:tc>
          <w:tcPr>
            <w:tcW w:w="1754" w:type="pct"/>
            <w:gridSpan w:val="2"/>
            <w:tcBorders>
              <w:tl2br w:val="nil"/>
              <w:tr2bl w:val="nil"/>
            </w:tcBorders>
            <w:noWrap w:val="0"/>
            <w:vAlign w:val="center"/>
          </w:tcPr>
          <w:p w14:paraId="7A668AD4">
            <w:pPr>
              <w:pStyle w:val="85"/>
              <w:keepNext w:val="0"/>
              <w:keepLines w:val="0"/>
              <w:pageBreakBefore w:val="0"/>
              <w:widowControl w:val="0"/>
              <w:kinsoku/>
              <w:wordWrap/>
              <w:topLinePunct w:val="0"/>
              <w:bidi w:val="0"/>
              <w:snapToGrid/>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T</w:t>
            </w:r>
            <w:r>
              <w:rPr>
                <w:rFonts w:hint="eastAsia" w:cs="Times New Roman"/>
                <w:b/>
                <w:color w:val="000000" w:themeColor="text1"/>
                <w:highlight w:val="none"/>
                <w:lang w:val="en-US" w:eastAsia="zh-CN"/>
                <w14:textFill>
                  <w14:solidFill>
                    <w14:schemeClr w14:val="tx1"/>
                  </w14:solidFill>
                </w14:textFill>
              </w:rPr>
              <w:t>5</w:t>
            </w:r>
          </w:p>
        </w:tc>
        <w:tc>
          <w:tcPr>
            <w:tcW w:w="1753" w:type="pct"/>
            <w:gridSpan w:val="2"/>
            <w:tcBorders>
              <w:tl2br w:val="nil"/>
              <w:tr2bl w:val="nil"/>
            </w:tcBorders>
            <w:noWrap w:val="0"/>
            <w:vAlign w:val="center"/>
          </w:tcPr>
          <w:p w14:paraId="1E4704E1">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lang w:val="en-US" w:eastAsia="zh-CN"/>
                <w14:textFill>
                  <w14:solidFill>
                    <w14:schemeClr w14:val="tx1"/>
                  </w14:solidFill>
                </w14:textFill>
              </w:rPr>
            </w:pPr>
            <w:r>
              <w:rPr>
                <w:rFonts w:hint="eastAsia" w:cs="Times New Roman"/>
                <w:b/>
                <w:color w:val="000000" w:themeColor="text1"/>
                <w:highlight w:val="none"/>
                <w:lang w:val="en-US" w:eastAsia="zh-CN"/>
                <w14:textFill>
                  <w14:solidFill>
                    <w14:schemeClr w14:val="tx1"/>
                  </w14:solidFill>
                </w14:textFill>
              </w:rPr>
              <w:t>T6</w:t>
            </w:r>
          </w:p>
        </w:tc>
      </w:tr>
      <w:tr w14:paraId="20960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vMerge w:val="continue"/>
            <w:tcBorders>
              <w:tl2br w:val="nil"/>
              <w:tr2bl w:val="nil"/>
            </w:tcBorders>
            <w:noWrap/>
            <w:vAlign w:val="center"/>
          </w:tcPr>
          <w:p w14:paraId="7EEB563A">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p>
        </w:tc>
        <w:tc>
          <w:tcPr>
            <w:tcW w:w="1135" w:type="pct"/>
            <w:vMerge w:val="continue"/>
            <w:tcBorders>
              <w:tl2br w:val="nil"/>
              <w:tr2bl w:val="nil"/>
            </w:tcBorders>
            <w:noWrap w:val="0"/>
            <w:vAlign w:val="center"/>
          </w:tcPr>
          <w:p w14:paraId="678DF607">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p>
        </w:tc>
        <w:tc>
          <w:tcPr>
            <w:tcW w:w="1754" w:type="pct"/>
            <w:gridSpan w:val="2"/>
            <w:tcBorders>
              <w:tl2br w:val="nil"/>
              <w:tr2bl w:val="nil"/>
            </w:tcBorders>
            <w:shd w:val="clear" w:color="auto" w:fill="auto"/>
            <w:noWrap w:val="0"/>
            <w:vAlign w:val="center"/>
          </w:tcPr>
          <w:p w14:paraId="6B62BF5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m</w:t>
            </w:r>
          </w:p>
        </w:tc>
        <w:tc>
          <w:tcPr>
            <w:tcW w:w="1753" w:type="pct"/>
            <w:gridSpan w:val="2"/>
            <w:tcBorders>
              <w:tl2br w:val="nil"/>
              <w:tr2bl w:val="nil"/>
            </w:tcBorders>
            <w:noWrap w:val="0"/>
            <w:vAlign w:val="center"/>
          </w:tcPr>
          <w:p w14:paraId="1B22CE09">
            <w:pPr>
              <w:keepNext w:val="0"/>
              <w:keepLines w:val="0"/>
              <w:pageBreakBefore w:val="0"/>
              <w:widowControl w:val="0"/>
              <w:kinsoku/>
              <w:wordWrap/>
              <w:overflowPunct/>
              <w:topLinePunct w:val="0"/>
              <w:autoSpaceDE/>
              <w:autoSpaceDN/>
              <w:bidi w:val="0"/>
              <w:adjustRightInd w:val="0"/>
              <w:snapToGrid/>
              <w:spacing w:after="0"/>
              <w:ind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m</w:t>
            </w:r>
          </w:p>
        </w:tc>
      </w:tr>
      <w:tr w14:paraId="7806D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057CE733">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135" w:type="pct"/>
            <w:tcBorders>
              <w:tl2br w:val="nil"/>
              <w:tr2bl w:val="nil"/>
            </w:tcBorders>
            <w:noWrap w:val="0"/>
            <w:vAlign w:val="center"/>
          </w:tcPr>
          <w:p w14:paraId="3D86C6A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pH</w:t>
            </w:r>
          </w:p>
        </w:tc>
        <w:tc>
          <w:tcPr>
            <w:tcW w:w="3257" w:type="dxa"/>
            <w:gridSpan w:val="2"/>
            <w:tcBorders>
              <w:tl2br w:val="nil"/>
              <w:tr2bl w:val="nil"/>
            </w:tcBorders>
            <w:noWrap w:val="0"/>
            <w:vAlign w:val="center"/>
          </w:tcPr>
          <w:p w14:paraId="2843D8E4">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7.88</w:t>
            </w:r>
          </w:p>
        </w:tc>
        <w:tc>
          <w:tcPr>
            <w:tcW w:w="3254" w:type="dxa"/>
            <w:gridSpan w:val="2"/>
            <w:tcBorders>
              <w:tl2br w:val="nil"/>
              <w:tr2bl w:val="nil"/>
            </w:tcBorders>
            <w:noWrap w:val="0"/>
            <w:vAlign w:val="center"/>
          </w:tcPr>
          <w:p w14:paraId="723646A0">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7.92</w:t>
            </w:r>
          </w:p>
        </w:tc>
      </w:tr>
      <w:tr w14:paraId="6882D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6C58A75F">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135" w:type="pct"/>
            <w:tcBorders>
              <w:tl2br w:val="nil"/>
              <w:tr2bl w:val="nil"/>
            </w:tcBorders>
            <w:noWrap w:val="0"/>
            <w:vAlign w:val="center"/>
          </w:tcPr>
          <w:p w14:paraId="2D9B7D2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镉（Cd）</w:t>
            </w:r>
          </w:p>
        </w:tc>
        <w:tc>
          <w:tcPr>
            <w:tcW w:w="3257" w:type="dxa"/>
            <w:gridSpan w:val="2"/>
            <w:tcBorders>
              <w:tl2br w:val="nil"/>
              <w:tr2bl w:val="nil"/>
            </w:tcBorders>
            <w:noWrap w:val="0"/>
            <w:vAlign w:val="center"/>
          </w:tcPr>
          <w:p w14:paraId="66BC29BC">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0.14</w:t>
            </w:r>
          </w:p>
        </w:tc>
        <w:tc>
          <w:tcPr>
            <w:tcW w:w="3254" w:type="dxa"/>
            <w:gridSpan w:val="2"/>
            <w:tcBorders>
              <w:tl2br w:val="nil"/>
              <w:tr2bl w:val="nil"/>
            </w:tcBorders>
            <w:noWrap w:val="0"/>
            <w:vAlign w:val="center"/>
          </w:tcPr>
          <w:p w14:paraId="7867391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0.13</w:t>
            </w:r>
          </w:p>
        </w:tc>
      </w:tr>
      <w:tr w14:paraId="4CD11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45A4E1C4">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135" w:type="pct"/>
            <w:tcBorders>
              <w:tl2br w:val="nil"/>
              <w:tr2bl w:val="nil"/>
            </w:tcBorders>
            <w:noWrap w:val="0"/>
            <w:vAlign w:val="center"/>
          </w:tcPr>
          <w:p w14:paraId="7943EB4D">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汞（Hg）</w:t>
            </w:r>
          </w:p>
        </w:tc>
        <w:tc>
          <w:tcPr>
            <w:tcW w:w="3257" w:type="dxa"/>
            <w:gridSpan w:val="2"/>
            <w:tcBorders>
              <w:tl2br w:val="nil"/>
              <w:tr2bl w:val="nil"/>
            </w:tcBorders>
            <w:noWrap w:val="0"/>
            <w:vAlign w:val="center"/>
          </w:tcPr>
          <w:p w14:paraId="397CC31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0.314</w:t>
            </w:r>
          </w:p>
        </w:tc>
        <w:tc>
          <w:tcPr>
            <w:tcW w:w="3254" w:type="dxa"/>
            <w:gridSpan w:val="2"/>
            <w:tcBorders>
              <w:tl2br w:val="nil"/>
              <w:tr2bl w:val="nil"/>
            </w:tcBorders>
            <w:noWrap w:val="0"/>
            <w:vAlign w:val="center"/>
          </w:tcPr>
          <w:p w14:paraId="1DD9371C">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0.302</w:t>
            </w:r>
          </w:p>
        </w:tc>
      </w:tr>
      <w:tr w14:paraId="068D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2D4E256A">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135" w:type="pct"/>
            <w:tcBorders>
              <w:tl2br w:val="nil"/>
              <w:tr2bl w:val="nil"/>
            </w:tcBorders>
            <w:noWrap w:val="0"/>
            <w:vAlign w:val="center"/>
          </w:tcPr>
          <w:p w14:paraId="0F36E408">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砷（As）</w:t>
            </w:r>
          </w:p>
        </w:tc>
        <w:tc>
          <w:tcPr>
            <w:tcW w:w="3257" w:type="dxa"/>
            <w:gridSpan w:val="2"/>
            <w:tcBorders>
              <w:tl2br w:val="nil"/>
              <w:tr2bl w:val="nil"/>
            </w:tcBorders>
            <w:noWrap w:val="0"/>
            <w:vAlign w:val="center"/>
          </w:tcPr>
          <w:p w14:paraId="3822EBCF">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2.86</w:t>
            </w:r>
          </w:p>
        </w:tc>
        <w:tc>
          <w:tcPr>
            <w:tcW w:w="3254" w:type="dxa"/>
            <w:gridSpan w:val="2"/>
            <w:tcBorders>
              <w:tl2br w:val="nil"/>
              <w:tr2bl w:val="nil"/>
            </w:tcBorders>
            <w:noWrap w:val="0"/>
            <w:vAlign w:val="center"/>
          </w:tcPr>
          <w:p w14:paraId="0E496AD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2.75</w:t>
            </w:r>
          </w:p>
        </w:tc>
      </w:tr>
      <w:tr w14:paraId="5A663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1D25144D">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135" w:type="pct"/>
            <w:tcBorders>
              <w:tl2br w:val="nil"/>
              <w:tr2bl w:val="nil"/>
            </w:tcBorders>
            <w:noWrap w:val="0"/>
            <w:vAlign w:val="center"/>
          </w:tcPr>
          <w:p w14:paraId="5702D13E">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铅（Pb）</w:t>
            </w:r>
          </w:p>
        </w:tc>
        <w:tc>
          <w:tcPr>
            <w:tcW w:w="3257" w:type="dxa"/>
            <w:gridSpan w:val="2"/>
            <w:tcBorders>
              <w:tl2br w:val="nil"/>
              <w:tr2bl w:val="nil"/>
            </w:tcBorders>
            <w:noWrap w:val="0"/>
            <w:vAlign w:val="center"/>
          </w:tcPr>
          <w:p w14:paraId="11B98675">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16.5</w:t>
            </w:r>
          </w:p>
        </w:tc>
        <w:tc>
          <w:tcPr>
            <w:tcW w:w="3254" w:type="dxa"/>
            <w:gridSpan w:val="2"/>
            <w:tcBorders>
              <w:tl2br w:val="nil"/>
              <w:tr2bl w:val="nil"/>
            </w:tcBorders>
            <w:noWrap w:val="0"/>
            <w:vAlign w:val="center"/>
          </w:tcPr>
          <w:p w14:paraId="4D30B142">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14.4</w:t>
            </w:r>
          </w:p>
        </w:tc>
      </w:tr>
      <w:tr w14:paraId="1EEBB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0C7C19E4">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135" w:type="pct"/>
            <w:tcBorders>
              <w:tl2br w:val="nil"/>
              <w:tr2bl w:val="nil"/>
            </w:tcBorders>
            <w:noWrap w:val="0"/>
            <w:vAlign w:val="center"/>
          </w:tcPr>
          <w:p w14:paraId="7F0CF5E1">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铬（</w:t>
            </w:r>
            <w:r>
              <w:rPr>
                <w:rFonts w:hint="eastAsia" w:cs="Times New Roman"/>
                <w:color w:val="000000" w:themeColor="text1"/>
                <w:highlight w:val="none"/>
                <w:lang w:val="en-US" w:eastAsia="zh-CN"/>
                <w14:textFill>
                  <w14:solidFill>
                    <w14:schemeClr w14:val="tx1"/>
                  </w14:solidFill>
                </w14:textFill>
              </w:rPr>
              <w:t>Cr</w:t>
            </w:r>
            <w:r>
              <w:rPr>
                <w:rFonts w:hint="eastAsia" w:ascii="Times New Roman" w:hAnsi="Times New Roman" w:eastAsia="宋体" w:cs="Times New Roman"/>
                <w:color w:val="000000" w:themeColor="text1"/>
                <w:highlight w:val="none"/>
                <w14:textFill>
                  <w14:solidFill>
                    <w14:schemeClr w14:val="tx1"/>
                  </w14:solidFill>
                </w14:textFill>
              </w:rPr>
              <w:t>）</w:t>
            </w:r>
          </w:p>
        </w:tc>
        <w:tc>
          <w:tcPr>
            <w:tcW w:w="3257" w:type="dxa"/>
            <w:gridSpan w:val="2"/>
            <w:tcBorders>
              <w:tl2br w:val="nil"/>
              <w:tr2bl w:val="nil"/>
            </w:tcBorders>
            <w:noWrap w:val="0"/>
            <w:vAlign w:val="center"/>
          </w:tcPr>
          <w:p w14:paraId="39810531">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40</w:t>
            </w:r>
          </w:p>
        </w:tc>
        <w:tc>
          <w:tcPr>
            <w:tcW w:w="3254" w:type="dxa"/>
            <w:gridSpan w:val="2"/>
            <w:tcBorders>
              <w:tl2br w:val="nil"/>
              <w:tr2bl w:val="nil"/>
            </w:tcBorders>
            <w:noWrap w:val="0"/>
            <w:vAlign w:val="center"/>
          </w:tcPr>
          <w:p w14:paraId="5CC552DE">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30</w:t>
            </w:r>
          </w:p>
        </w:tc>
      </w:tr>
      <w:tr w14:paraId="7B724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5D33CE52">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1135" w:type="pct"/>
            <w:tcBorders>
              <w:tl2br w:val="nil"/>
              <w:tr2bl w:val="nil"/>
            </w:tcBorders>
            <w:noWrap w:val="0"/>
            <w:vAlign w:val="center"/>
          </w:tcPr>
          <w:p w14:paraId="0341097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铜（Cu）</w:t>
            </w:r>
          </w:p>
        </w:tc>
        <w:tc>
          <w:tcPr>
            <w:tcW w:w="3257" w:type="dxa"/>
            <w:gridSpan w:val="2"/>
            <w:tcBorders>
              <w:tl2br w:val="nil"/>
              <w:tr2bl w:val="nil"/>
            </w:tcBorders>
            <w:noWrap w:val="0"/>
            <w:vAlign w:val="center"/>
          </w:tcPr>
          <w:p w14:paraId="70E7F95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20</w:t>
            </w:r>
          </w:p>
        </w:tc>
        <w:tc>
          <w:tcPr>
            <w:tcW w:w="3254" w:type="dxa"/>
            <w:gridSpan w:val="2"/>
            <w:tcBorders>
              <w:tl2br w:val="nil"/>
              <w:tr2bl w:val="nil"/>
            </w:tcBorders>
            <w:noWrap w:val="0"/>
            <w:vAlign w:val="center"/>
          </w:tcPr>
          <w:p w14:paraId="1F4C79D6">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18</w:t>
            </w:r>
          </w:p>
        </w:tc>
      </w:tr>
      <w:tr w14:paraId="4495B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00565D80">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135" w:type="pct"/>
            <w:tcBorders>
              <w:tl2br w:val="nil"/>
              <w:tr2bl w:val="nil"/>
            </w:tcBorders>
            <w:noWrap w:val="0"/>
            <w:vAlign w:val="center"/>
          </w:tcPr>
          <w:p w14:paraId="7BEDD717">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镍（Ni）</w:t>
            </w:r>
          </w:p>
        </w:tc>
        <w:tc>
          <w:tcPr>
            <w:tcW w:w="3257" w:type="dxa"/>
            <w:gridSpan w:val="2"/>
            <w:tcBorders>
              <w:tl2br w:val="nil"/>
              <w:tr2bl w:val="nil"/>
            </w:tcBorders>
            <w:noWrap w:val="0"/>
            <w:vAlign w:val="center"/>
          </w:tcPr>
          <w:p w14:paraId="537FB73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19</w:t>
            </w:r>
          </w:p>
        </w:tc>
        <w:tc>
          <w:tcPr>
            <w:tcW w:w="3254" w:type="dxa"/>
            <w:gridSpan w:val="2"/>
            <w:tcBorders>
              <w:tl2br w:val="nil"/>
              <w:tr2bl w:val="nil"/>
            </w:tcBorders>
            <w:noWrap w:val="0"/>
            <w:vAlign w:val="center"/>
          </w:tcPr>
          <w:p w14:paraId="07D22547">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26</w:t>
            </w:r>
          </w:p>
        </w:tc>
      </w:tr>
      <w:tr w14:paraId="4157D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shd w:val="clear" w:color="auto" w:fill="auto"/>
            <w:noWrap/>
            <w:vAlign w:val="center"/>
          </w:tcPr>
          <w:p w14:paraId="6D3F06CD">
            <w:pPr>
              <w:pStyle w:val="85"/>
              <w:keepNext w:val="0"/>
              <w:keepLines w:val="0"/>
              <w:pageBreakBefore w:val="0"/>
              <w:widowControl w:val="0"/>
              <w:kinsoku/>
              <w:wordWrap/>
              <w:topLinePunct w:val="0"/>
              <w:bidi w:val="0"/>
              <w:snapToGrid/>
              <w:ind w:firstLine="0" w:firstLineChars="0"/>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1135" w:type="pct"/>
            <w:tcBorders>
              <w:tl2br w:val="nil"/>
              <w:tr2bl w:val="nil"/>
            </w:tcBorders>
            <w:noWrap w:val="0"/>
            <w:vAlign w:val="center"/>
          </w:tcPr>
          <w:p w14:paraId="28260655">
            <w:pPr>
              <w:pStyle w:val="85"/>
              <w:keepNext w:val="0"/>
              <w:keepLines w:val="0"/>
              <w:pageBreakBefore w:val="0"/>
              <w:widowControl w:val="0"/>
              <w:kinsoku/>
              <w:wordWrap/>
              <w:topLinePunct w:val="0"/>
              <w:bidi w:val="0"/>
              <w:snapToGrid/>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锌（Zn）</w:t>
            </w:r>
          </w:p>
        </w:tc>
        <w:tc>
          <w:tcPr>
            <w:tcW w:w="3257" w:type="dxa"/>
            <w:gridSpan w:val="2"/>
            <w:tcBorders>
              <w:tl2br w:val="nil"/>
              <w:tr2bl w:val="nil"/>
            </w:tcBorders>
            <w:noWrap w:val="0"/>
            <w:vAlign w:val="center"/>
          </w:tcPr>
          <w:p w14:paraId="43B919F1">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18</w:t>
            </w:r>
          </w:p>
        </w:tc>
        <w:tc>
          <w:tcPr>
            <w:tcW w:w="3254" w:type="dxa"/>
            <w:gridSpan w:val="2"/>
            <w:tcBorders>
              <w:tl2br w:val="nil"/>
              <w:tr2bl w:val="nil"/>
            </w:tcBorders>
            <w:noWrap w:val="0"/>
            <w:vAlign w:val="center"/>
          </w:tcPr>
          <w:p w14:paraId="70F2680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14</w:t>
            </w:r>
          </w:p>
        </w:tc>
      </w:tr>
      <w:tr w14:paraId="76529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shd w:val="clear" w:color="auto" w:fill="auto"/>
            <w:noWrap/>
            <w:vAlign w:val="center"/>
          </w:tcPr>
          <w:p w14:paraId="20FB0734">
            <w:pPr>
              <w:pStyle w:val="85"/>
              <w:keepNext w:val="0"/>
              <w:keepLines w:val="0"/>
              <w:pageBreakBefore w:val="0"/>
              <w:widowControl w:val="0"/>
              <w:kinsoku/>
              <w:wordWrap/>
              <w:topLinePunct w:val="0"/>
              <w:bidi w:val="0"/>
              <w:snapToGrid/>
              <w:ind w:firstLine="0" w:firstLineChars="0"/>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0</w:t>
            </w:r>
          </w:p>
        </w:tc>
        <w:tc>
          <w:tcPr>
            <w:tcW w:w="1135" w:type="pct"/>
            <w:tcBorders>
              <w:tl2br w:val="nil"/>
              <w:tr2bl w:val="nil"/>
            </w:tcBorders>
            <w:noWrap w:val="0"/>
            <w:vAlign w:val="center"/>
          </w:tcPr>
          <w:p w14:paraId="489A2F6B">
            <w:pPr>
              <w:pStyle w:val="85"/>
              <w:keepNext w:val="0"/>
              <w:keepLines w:val="0"/>
              <w:pageBreakBefore w:val="0"/>
              <w:widowControl w:val="0"/>
              <w:kinsoku/>
              <w:wordWrap/>
              <w:topLinePunct w:val="0"/>
              <w:bidi w:val="0"/>
              <w:snapToGrid/>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石油类</w:t>
            </w:r>
          </w:p>
        </w:tc>
        <w:tc>
          <w:tcPr>
            <w:tcW w:w="3257" w:type="dxa"/>
            <w:gridSpan w:val="2"/>
            <w:tcBorders>
              <w:tl2br w:val="nil"/>
              <w:tr2bl w:val="nil"/>
            </w:tcBorders>
            <w:noWrap w:val="0"/>
            <w:vAlign w:val="center"/>
          </w:tcPr>
          <w:p w14:paraId="42DB20E3">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145</w:t>
            </w:r>
          </w:p>
        </w:tc>
        <w:tc>
          <w:tcPr>
            <w:tcW w:w="3254" w:type="dxa"/>
            <w:gridSpan w:val="2"/>
            <w:tcBorders>
              <w:tl2br w:val="nil"/>
              <w:tr2bl w:val="nil"/>
            </w:tcBorders>
            <w:noWrap w:val="0"/>
            <w:vAlign w:val="center"/>
          </w:tcPr>
          <w:p w14:paraId="76BD3E98">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120</w:t>
            </w:r>
          </w:p>
        </w:tc>
      </w:tr>
      <w:tr w14:paraId="656EA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shd w:val="clear" w:color="auto" w:fill="auto"/>
            <w:noWrap/>
            <w:vAlign w:val="center"/>
          </w:tcPr>
          <w:p w14:paraId="58083237">
            <w:pPr>
              <w:pStyle w:val="85"/>
              <w:keepNext w:val="0"/>
              <w:keepLines w:val="0"/>
              <w:pageBreakBefore w:val="0"/>
              <w:widowControl w:val="0"/>
              <w:kinsoku/>
              <w:wordWrap/>
              <w:topLinePunct w:val="0"/>
              <w:bidi w:val="0"/>
              <w:snapToGrid/>
              <w:ind w:firstLine="0" w:firstLineChars="0"/>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1</w:t>
            </w:r>
          </w:p>
        </w:tc>
        <w:tc>
          <w:tcPr>
            <w:tcW w:w="1135" w:type="pct"/>
            <w:tcBorders>
              <w:tl2br w:val="nil"/>
              <w:tr2bl w:val="nil"/>
            </w:tcBorders>
            <w:noWrap w:val="0"/>
            <w:vAlign w:val="center"/>
          </w:tcPr>
          <w:p w14:paraId="794405B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C40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257" w:type="dxa"/>
            <w:gridSpan w:val="2"/>
            <w:tcBorders>
              <w:tl2br w:val="nil"/>
              <w:tr2bl w:val="nil"/>
            </w:tcBorders>
            <w:noWrap w:val="0"/>
            <w:vAlign w:val="center"/>
          </w:tcPr>
          <w:p w14:paraId="07CF1A6B">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71</w:t>
            </w:r>
          </w:p>
        </w:tc>
        <w:tc>
          <w:tcPr>
            <w:tcW w:w="3254" w:type="dxa"/>
            <w:gridSpan w:val="2"/>
            <w:tcBorders>
              <w:tl2br w:val="nil"/>
              <w:tr2bl w:val="nil"/>
            </w:tcBorders>
            <w:noWrap w:val="0"/>
            <w:vAlign w:val="center"/>
          </w:tcPr>
          <w:p w14:paraId="57D18264">
            <w:pPr>
              <w:keepNext w:val="0"/>
              <w:keepLines w:val="0"/>
              <w:pageBreakBefore w:val="0"/>
              <w:widowControl/>
              <w:tabs>
                <w:tab w:val="left" w:pos="6560"/>
              </w:tabs>
              <w:kinsoku/>
              <w:wordWrap/>
              <w:overflowPunct/>
              <w:topLinePunct w:val="0"/>
              <w:autoSpaceDE/>
              <w:autoSpaceDN/>
              <w:bidi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64</w:t>
            </w:r>
          </w:p>
        </w:tc>
      </w:tr>
      <w:tr w14:paraId="72055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2" w:type="pct"/>
        </w:trPr>
        <w:tc>
          <w:tcPr>
            <w:tcW w:w="343" w:type="pct"/>
            <w:tcBorders>
              <w:tl2br w:val="nil"/>
              <w:tr2bl w:val="nil"/>
            </w:tcBorders>
            <w:noWrap/>
            <w:vAlign w:val="center"/>
          </w:tcPr>
          <w:p w14:paraId="146D1291">
            <w:pPr>
              <w:pStyle w:val="85"/>
              <w:keepNext w:val="0"/>
              <w:keepLines w:val="0"/>
              <w:pageBreakBefore w:val="0"/>
              <w:widowControl w:val="0"/>
              <w:kinsoku/>
              <w:wordWrap/>
              <w:topLinePunct w:val="0"/>
              <w:bidi w:val="0"/>
              <w:snapToGrid/>
              <w:ind w:firstLine="0" w:firstLineChars="0"/>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
                <w:sz w:val="21"/>
                <w:szCs w:val="21"/>
                <w:highlight w:val="none"/>
                <w:lang w:val="en-US" w:eastAsia="zh-CN" w:bidi="ar-SA"/>
                <w14:textFill>
                  <w14:solidFill>
                    <w14:schemeClr w14:val="tx1"/>
                  </w14:solidFill>
                </w14:textFill>
              </w:rPr>
              <w:t>12</w:t>
            </w:r>
          </w:p>
        </w:tc>
        <w:tc>
          <w:tcPr>
            <w:tcW w:w="1135" w:type="pct"/>
            <w:tcBorders>
              <w:tl2br w:val="nil"/>
              <w:tr2bl w:val="nil"/>
            </w:tcBorders>
            <w:noWrap w:val="0"/>
            <w:vAlign w:val="center"/>
          </w:tcPr>
          <w:p w14:paraId="0A0F127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微软雅黑" w:cs="Times New Roman"/>
                <w:color w:val="000000" w:themeColor="text1"/>
                <w:sz w:val="22"/>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754" w:type="pct"/>
            <w:gridSpan w:val="2"/>
            <w:tcBorders>
              <w:tl2br w:val="nil"/>
              <w:tr2bl w:val="nil"/>
            </w:tcBorders>
            <w:noWrap w:val="0"/>
            <w:vAlign w:val="center"/>
          </w:tcPr>
          <w:p w14:paraId="3921CCDB">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c>
          <w:tcPr>
            <w:tcW w:w="1753" w:type="pct"/>
            <w:gridSpan w:val="2"/>
            <w:tcBorders>
              <w:tl2br w:val="nil"/>
              <w:tr2bl w:val="nil"/>
            </w:tcBorders>
            <w:noWrap w:val="0"/>
            <w:vAlign w:val="center"/>
          </w:tcPr>
          <w:p w14:paraId="10C3C8BB">
            <w:pPr>
              <w:pStyle w:val="33"/>
              <w:keepNext w:val="0"/>
              <w:keepLines w:val="0"/>
              <w:pageBreakBefore w:val="0"/>
              <w:widowControl/>
              <w:kinsoku/>
              <w:wordWrap/>
              <w:overflowPunct/>
              <w:topLinePunct w:val="0"/>
              <w:autoSpaceDE/>
              <w:autoSpaceDN/>
              <w:bidi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未检出</w:t>
            </w:r>
          </w:p>
        </w:tc>
      </w:tr>
      <w:tr w14:paraId="2570A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vMerge w:val="restart"/>
            <w:tcBorders>
              <w:tl2br w:val="nil"/>
              <w:tr2bl w:val="nil"/>
            </w:tcBorders>
            <w:vAlign w:val="center"/>
          </w:tcPr>
          <w:p w14:paraId="6D67562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监测项目</w:t>
            </w:r>
          </w:p>
        </w:tc>
        <w:tc>
          <w:tcPr>
            <w:tcW w:w="3520" w:type="pct"/>
            <w:gridSpan w:val="5"/>
            <w:tcBorders>
              <w:tl2br w:val="nil"/>
              <w:tr2bl w:val="nil"/>
            </w:tcBorders>
            <w:vAlign w:val="center"/>
          </w:tcPr>
          <w:p w14:paraId="7BD2B30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T2</w:t>
            </w:r>
          </w:p>
        </w:tc>
      </w:tr>
      <w:tr w14:paraId="63E67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vMerge w:val="continue"/>
            <w:tcBorders>
              <w:tl2br w:val="nil"/>
              <w:tr2bl w:val="nil"/>
            </w:tcBorders>
            <w:vAlign w:val="center"/>
          </w:tcPr>
          <w:p w14:paraId="4B211C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1172" w:type="pct"/>
            <w:tcBorders>
              <w:tl2br w:val="nil"/>
              <w:tr2bl w:val="nil"/>
            </w:tcBorders>
            <w:vAlign w:val="center"/>
          </w:tcPr>
          <w:p w14:paraId="1223745C">
            <w:pPr>
              <w:pStyle w:val="8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0-0.5m</w:t>
            </w:r>
          </w:p>
        </w:tc>
        <w:tc>
          <w:tcPr>
            <w:tcW w:w="1173" w:type="pct"/>
            <w:gridSpan w:val="2"/>
            <w:tcBorders>
              <w:tl2br w:val="nil"/>
              <w:tr2bl w:val="nil"/>
            </w:tcBorders>
            <w:vAlign w:val="center"/>
          </w:tcPr>
          <w:p w14:paraId="553DD640">
            <w:pPr>
              <w:pStyle w:val="8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0.5</w:t>
            </w:r>
            <w:r>
              <w:rPr>
                <w:rFonts w:hint="eastAsia"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1.5m</w:t>
            </w:r>
          </w:p>
        </w:tc>
        <w:tc>
          <w:tcPr>
            <w:tcW w:w="1174" w:type="pct"/>
            <w:gridSpan w:val="2"/>
            <w:tcBorders>
              <w:tl2br w:val="nil"/>
              <w:tr2bl w:val="nil"/>
            </w:tcBorders>
            <w:vAlign w:val="center"/>
          </w:tcPr>
          <w:p w14:paraId="527FF4DE">
            <w:pPr>
              <w:pStyle w:val="8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1.5</w:t>
            </w:r>
            <w:r>
              <w:rPr>
                <w:rFonts w:hint="eastAsia"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3m</w:t>
            </w:r>
          </w:p>
        </w:tc>
      </w:tr>
      <w:tr w14:paraId="42A46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1479" w:type="pct"/>
            <w:gridSpan w:val="2"/>
            <w:tcBorders>
              <w:tl2br w:val="nil"/>
              <w:tr2bl w:val="nil"/>
            </w:tcBorders>
            <w:vAlign w:val="center"/>
          </w:tcPr>
          <w:p w14:paraId="3131F6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pH</w:t>
            </w:r>
          </w:p>
        </w:tc>
        <w:tc>
          <w:tcPr>
            <w:tcW w:w="2176" w:type="dxa"/>
            <w:tcBorders>
              <w:tl2br w:val="nil"/>
              <w:tr2bl w:val="nil"/>
            </w:tcBorders>
            <w:vAlign w:val="center"/>
          </w:tcPr>
          <w:p w14:paraId="10513D1B">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7.59</w:t>
            </w:r>
          </w:p>
        </w:tc>
        <w:tc>
          <w:tcPr>
            <w:tcW w:w="2178" w:type="dxa"/>
            <w:gridSpan w:val="2"/>
            <w:tcBorders>
              <w:tl2br w:val="nil"/>
              <w:tr2bl w:val="nil"/>
            </w:tcBorders>
            <w:vAlign w:val="center"/>
          </w:tcPr>
          <w:p w14:paraId="1045529D">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7.41</w:t>
            </w:r>
          </w:p>
        </w:tc>
        <w:tc>
          <w:tcPr>
            <w:tcW w:w="2181" w:type="dxa"/>
            <w:gridSpan w:val="2"/>
            <w:tcBorders>
              <w:tl2br w:val="nil"/>
              <w:tr2bl w:val="nil"/>
            </w:tcBorders>
            <w:vAlign w:val="center"/>
          </w:tcPr>
          <w:p w14:paraId="0AC14C61">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7.33</w:t>
            </w:r>
          </w:p>
        </w:tc>
      </w:tr>
      <w:tr w14:paraId="24384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59BA05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2176" w:type="dxa"/>
            <w:tcBorders>
              <w:tl2br w:val="nil"/>
              <w:tr2bl w:val="nil"/>
            </w:tcBorders>
            <w:vAlign w:val="center"/>
          </w:tcPr>
          <w:p w14:paraId="43597709">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157</w:t>
            </w:r>
          </w:p>
        </w:tc>
        <w:tc>
          <w:tcPr>
            <w:tcW w:w="2178" w:type="dxa"/>
            <w:gridSpan w:val="2"/>
            <w:tcBorders>
              <w:tl2br w:val="nil"/>
              <w:tr2bl w:val="nil"/>
            </w:tcBorders>
            <w:vAlign w:val="center"/>
          </w:tcPr>
          <w:p w14:paraId="68BEC6B9">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56</w:t>
            </w:r>
          </w:p>
        </w:tc>
        <w:tc>
          <w:tcPr>
            <w:tcW w:w="2181" w:type="dxa"/>
            <w:gridSpan w:val="2"/>
            <w:tcBorders>
              <w:tl2br w:val="nil"/>
              <w:tr2bl w:val="nil"/>
            </w:tcBorders>
            <w:vAlign w:val="center"/>
          </w:tcPr>
          <w:p w14:paraId="2D1557A8">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14</w:t>
            </w:r>
          </w:p>
        </w:tc>
      </w:tr>
      <w:tr w14:paraId="666E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6F9160C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172" w:type="pct"/>
            <w:tcBorders>
              <w:tl2br w:val="nil"/>
              <w:tr2bl w:val="nil"/>
            </w:tcBorders>
            <w:vAlign w:val="center"/>
          </w:tcPr>
          <w:p w14:paraId="7104C5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c>
          <w:tcPr>
            <w:tcW w:w="1173" w:type="pct"/>
            <w:gridSpan w:val="2"/>
            <w:tcBorders>
              <w:tl2br w:val="nil"/>
              <w:tr2bl w:val="nil"/>
            </w:tcBorders>
            <w:vAlign w:val="center"/>
          </w:tcPr>
          <w:p w14:paraId="59E1C40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c>
          <w:tcPr>
            <w:tcW w:w="1174" w:type="pct"/>
            <w:gridSpan w:val="2"/>
            <w:tcBorders>
              <w:tl2br w:val="nil"/>
              <w:tr2bl w:val="nil"/>
            </w:tcBorders>
            <w:vAlign w:val="center"/>
          </w:tcPr>
          <w:p w14:paraId="3E48FF4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r>
      <w:tr w14:paraId="03F42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5324B2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石油类</w:t>
            </w:r>
          </w:p>
        </w:tc>
        <w:tc>
          <w:tcPr>
            <w:tcW w:w="2176" w:type="dxa"/>
            <w:tcBorders>
              <w:tl2br w:val="nil"/>
              <w:tr2bl w:val="nil"/>
            </w:tcBorders>
            <w:vAlign w:val="center"/>
          </w:tcPr>
          <w:p w14:paraId="3E68E778">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305</w:t>
            </w:r>
          </w:p>
        </w:tc>
        <w:tc>
          <w:tcPr>
            <w:tcW w:w="2178" w:type="dxa"/>
            <w:gridSpan w:val="2"/>
            <w:tcBorders>
              <w:tl2br w:val="nil"/>
              <w:tr2bl w:val="nil"/>
            </w:tcBorders>
            <w:vAlign w:val="center"/>
          </w:tcPr>
          <w:p w14:paraId="7BE57D9E">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90</w:t>
            </w:r>
          </w:p>
        </w:tc>
        <w:tc>
          <w:tcPr>
            <w:tcW w:w="2181" w:type="dxa"/>
            <w:gridSpan w:val="2"/>
            <w:tcBorders>
              <w:tl2br w:val="nil"/>
              <w:tr2bl w:val="nil"/>
            </w:tcBorders>
            <w:vAlign w:val="center"/>
          </w:tcPr>
          <w:p w14:paraId="64EF618B">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26.6</w:t>
            </w:r>
          </w:p>
        </w:tc>
      </w:tr>
      <w:tr w14:paraId="0C69F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vMerge w:val="restart"/>
            <w:tcBorders>
              <w:tl2br w:val="nil"/>
              <w:tr2bl w:val="nil"/>
            </w:tcBorders>
            <w:vAlign w:val="center"/>
          </w:tcPr>
          <w:p w14:paraId="1713759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监测项目</w:t>
            </w:r>
          </w:p>
        </w:tc>
        <w:tc>
          <w:tcPr>
            <w:tcW w:w="3520" w:type="pct"/>
            <w:gridSpan w:val="5"/>
            <w:tcBorders>
              <w:tl2br w:val="nil"/>
              <w:tr2bl w:val="nil"/>
            </w:tcBorders>
            <w:vAlign w:val="center"/>
          </w:tcPr>
          <w:p w14:paraId="1A33F5E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T3</w:t>
            </w:r>
          </w:p>
        </w:tc>
      </w:tr>
      <w:tr w14:paraId="4C391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vMerge w:val="continue"/>
            <w:tcBorders>
              <w:tl2br w:val="nil"/>
              <w:tr2bl w:val="nil"/>
            </w:tcBorders>
            <w:vAlign w:val="center"/>
          </w:tcPr>
          <w:p w14:paraId="71EE56E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72" w:type="pct"/>
            <w:tcBorders>
              <w:tl2br w:val="nil"/>
              <w:tr2bl w:val="nil"/>
            </w:tcBorders>
            <w:vAlign w:val="center"/>
          </w:tcPr>
          <w:p w14:paraId="5BE98FB5">
            <w:pPr>
              <w:pStyle w:val="8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0-0.5m</w:t>
            </w:r>
          </w:p>
        </w:tc>
        <w:tc>
          <w:tcPr>
            <w:tcW w:w="1173" w:type="pct"/>
            <w:gridSpan w:val="2"/>
            <w:tcBorders>
              <w:tl2br w:val="nil"/>
              <w:tr2bl w:val="nil"/>
            </w:tcBorders>
            <w:vAlign w:val="center"/>
          </w:tcPr>
          <w:p w14:paraId="2D1F3EAF">
            <w:pPr>
              <w:pStyle w:val="8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0.5</w:t>
            </w:r>
            <w:r>
              <w:rPr>
                <w:rFonts w:hint="eastAsia"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1.5m</w:t>
            </w:r>
          </w:p>
        </w:tc>
        <w:tc>
          <w:tcPr>
            <w:tcW w:w="1174" w:type="pct"/>
            <w:gridSpan w:val="2"/>
            <w:tcBorders>
              <w:tl2br w:val="nil"/>
              <w:tr2bl w:val="nil"/>
            </w:tcBorders>
            <w:vAlign w:val="center"/>
          </w:tcPr>
          <w:p w14:paraId="525BA2A4">
            <w:pPr>
              <w:pStyle w:val="85"/>
              <w:keepNext w:val="0"/>
              <w:keepLines w:val="0"/>
              <w:pageBreakBefore w:val="0"/>
              <w:widowControl w:val="0"/>
              <w:kinsoku/>
              <w:wordWrap/>
              <w:overflowPunct/>
              <w:topLinePunct w:val="0"/>
              <w:autoSpaceDE/>
              <w:autoSpaceDN/>
              <w:bidi w:val="0"/>
              <w:snapToGrid/>
              <w:ind w:firstLine="0" w:firstLineChars="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1.5</w:t>
            </w:r>
            <w:r>
              <w:rPr>
                <w:rFonts w:hint="eastAsia"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14:textFill>
                  <w14:solidFill>
                    <w14:schemeClr w14:val="tx1"/>
                  </w14:solidFill>
                </w14:textFill>
              </w:rPr>
              <w:t>3m</w:t>
            </w:r>
          </w:p>
        </w:tc>
      </w:tr>
      <w:tr w14:paraId="509E5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0374875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pH</w:t>
            </w:r>
          </w:p>
        </w:tc>
        <w:tc>
          <w:tcPr>
            <w:tcW w:w="2176" w:type="dxa"/>
            <w:tcBorders>
              <w:tl2br w:val="nil"/>
              <w:tr2bl w:val="nil"/>
            </w:tcBorders>
            <w:vAlign w:val="center"/>
          </w:tcPr>
          <w:p w14:paraId="3AAD4459">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7.92</w:t>
            </w:r>
          </w:p>
        </w:tc>
        <w:tc>
          <w:tcPr>
            <w:tcW w:w="2178" w:type="dxa"/>
            <w:gridSpan w:val="2"/>
            <w:tcBorders>
              <w:tl2br w:val="nil"/>
              <w:tr2bl w:val="nil"/>
            </w:tcBorders>
            <w:vAlign w:val="center"/>
          </w:tcPr>
          <w:p w14:paraId="76BC7B92">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7.83</w:t>
            </w:r>
          </w:p>
        </w:tc>
        <w:tc>
          <w:tcPr>
            <w:tcW w:w="2181" w:type="dxa"/>
            <w:gridSpan w:val="2"/>
            <w:tcBorders>
              <w:tl2br w:val="nil"/>
              <w:tr2bl w:val="nil"/>
            </w:tcBorders>
            <w:vAlign w:val="center"/>
          </w:tcPr>
          <w:p w14:paraId="47D541E8">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7.70</w:t>
            </w:r>
          </w:p>
        </w:tc>
      </w:tr>
      <w:tr w14:paraId="67FBD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1DE7F5E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2176" w:type="dxa"/>
            <w:tcBorders>
              <w:tl2br w:val="nil"/>
              <w:tr2bl w:val="nil"/>
            </w:tcBorders>
            <w:vAlign w:val="center"/>
          </w:tcPr>
          <w:p w14:paraId="4EFFC411">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132</w:t>
            </w:r>
          </w:p>
        </w:tc>
        <w:tc>
          <w:tcPr>
            <w:tcW w:w="2178" w:type="dxa"/>
            <w:gridSpan w:val="2"/>
            <w:tcBorders>
              <w:tl2br w:val="nil"/>
              <w:tr2bl w:val="nil"/>
            </w:tcBorders>
            <w:vAlign w:val="center"/>
          </w:tcPr>
          <w:p w14:paraId="0E794078">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56</w:t>
            </w:r>
          </w:p>
        </w:tc>
        <w:tc>
          <w:tcPr>
            <w:tcW w:w="2181" w:type="dxa"/>
            <w:gridSpan w:val="2"/>
            <w:tcBorders>
              <w:tl2br w:val="nil"/>
              <w:tr2bl w:val="nil"/>
            </w:tcBorders>
            <w:vAlign w:val="center"/>
          </w:tcPr>
          <w:p w14:paraId="48352198">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18</w:t>
            </w:r>
          </w:p>
        </w:tc>
      </w:tr>
      <w:tr w14:paraId="2C5F2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46CB8D8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172" w:type="pct"/>
            <w:tcBorders>
              <w:tl2br w:val="nil"/>
              <w:tr2bl w:val="nil"/>
            </w:tcBorders>
            <w:vAlign w:val="center"/>
          </w:tcPr>
          <w:p w14:paraId="1CB297E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c>
          <w:tcPr>
            <w:tcW w:w="1173" w:type="pct"/>
            <w:gridSpan w:val="2"/>
            <w:tcBorders>
              <w:tl2br w:val="nil"/>
              <w:tr2bl w:val="nil"/>
            </w:tcBorders>
            <w:vAlign w:val="center"/>
          </w:tcPr>
          <w:p w14:paraId="3A1F0F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c>
          <w:tcPr>
            <w:tcW w:w="1174" w:type="pct"/>
            <w:gridSpan w:val="2"/>
            <w:tcBorders>
              <w:tl2br w:val="nil"/>
              <w:tr2bl w:val="nil"/>
            </w:tcBorders>
            <w:vAlign w:val="center"/>
          </w:tcPr>
          <w:p w14:paraId="6F6D6B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r>
      <w:tr w14:paraId="1C036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6B35C1A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石油类</w:t>
            </w:r>
          </w:p>
        </w:tc>
        <w:tc>
          <w:tcPr>
            <w:tcW w:w="2176" w:type="dxa"/>
            <w:tcBorders>
              <w:tl2br w:val="nil"/>
              <w:tr2bl w:val="nil"/>
            </w:tcBorders>
            <w:vAlign w:val="center"/>
          </w:tcPr>
          <w:p w14:paraId="3E7199FD">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266</w:t>
            </w:r>
          </w:p>
        </w:tc>
        <w:tc>
          <w:tcPr>
            <w:tcW w:w="2178" w:type="dxa"/>
            <w:gridSpan w:val="2"/>
            <w:tcBorders>
              <w:tl2br w:val="nil"/>
              <w:tr2bl w:val="nil"/>
            </w:tcBorders>
            <w:vAlign w:val="center"/>
          </w:tcPr>
          <w:p w14:paraId="4F5B5790">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95.5</w:t>
            </w:r>
          </w:p>
        </w:tc>
        <w:tc>
          <w:tcPr>
            <w:tcW w:w="2181" w:type="dxa"/>
            <w:gridSpan w:val="2"/>
            <w:tcBorders>
              <w:tl2br w:val="nil"/>
              <w:tr2bl w:val="nil"/>
            </w:tcBorders>
            <w:vAlign w:val="center"/>
          </w:tcPr>
          <w:p w14:paraId="2A1283CF">
            <w:pPr>
              <w:keepNext w:val="0"/>
              <w:keepLines w:val="0"/>
              <w:pageBreakBefore w:val="0"/>
              <w:tabs>
                <w:tab w:val="left" w:pos="656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34.1</w:t>
            </w:r>
          </w:p>
        </w:tc>
      </w:tr>
      <w:tr w14:paraId="351F1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1479" w:type="pct"/>
            <w:gridSpan w:val="2"/>
            <w:vMerge w:val="restart"/>
            <w:tcBorders>
              <w:tl2br w:val="nil"/>
              <w:tr2bl w:val="nil"/>
            </w:tcBorders>
            <w:vAlign w:val="center"/>
          </w:tcPr>
          <w:p w14:paraId="45F91B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监测项目</w:t>
            </w:r>
          </w:p>
        </w:tc>
        <w:tc>
          <w:tcPr>
            <w:tcW w:w="3520" w:type="pct"/>
            <w:gridSpan w:val="5"/>
            <w:tcBorders>
              <w:tl2br w:val="nil"/>
              <w:tr2bl w:val="nil"/>
            </w:tcBorders>
            <w:vAlign w:val="center"/>
          </w:tcPr>
          <w:p w14:paraId="0E3647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T4</w:t>
            </w:r>
          </w:p>
        </w:tc>
      </w:tr>
      <w:tr w14:paraId="1FF1E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1479" w:type="pct"/>
            <w:gridSpan w:val="2"/>
            <w:vMerge w:val="continue"/>
            <w:tcBorders>
              <w:tl2br w:val="nil"/>
              <w:tr2bl w:val="nil"/>
            </w:tcBorders>
            <w:vAlign w:val="center"/>
          </w:tcPr>
          <w:p w14:paraId="659EEE1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color w:val="000000" w:themeColor="text1"/>
                <w:highlight w:val="none"/>
                <w14:textFill>
                  <w14:solidFill>
                    <w14:schemeClr w14:val="tx1"/>
                  </w14:solidFill>
                </w14:textFill>
              </w:rPr>
            </w:pPr>
          </w:p>
        </w:tc>
        <w:tc>
          <w:tcPr>
            <w:tcW w:w="3520" w:type="pct"/>
            <w:gridSpan w:val="5"/>
            <w:tcBorders>
              <w:tl2br w:val="nil"/>
              <w:tr2bl w:val="nil"/>
            </w:tcBorders>
            <w:vAlign w:val="center"/>
          </w:tcPr>
          <w:p w14:paraId="2E11F463">
            <w:pPr>
              <w:keepNext w:val="0"/>
              <w:keepLines w:val="0"/>
              <w:pageBreakBefore w:val="0"/>
              <w:widowControl w:val="0"/>
              <w:kinsoku/>
              <w:wordWrap/>
              <w:overflowPunct/>
              <w:topLinePunct w:val="0"/>
              <w:autoSpaceDE/>
              <w:autoSpaceDN/>
              <w:bidi w:val="0"/>
              <w:adjustRightInd w:val="0"/>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0-0.2m</w:t>
            </w:r>
          </w:p>
        </w:tc>
      </w:tr>
      <w:tr w14:paraId="0FDEA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5A4E07D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pH</w:t>
            </w:r>
          </w:p>
        </w:tc>
        <w:tc>
          <w:tcPr>
            <w:tcW w:w="3520" w:type="pct"/>
            <w:gridSpan w:val="5"/>
            <w:tcBorders>
              <w:tl2br w:val="nil"/>
              <w:tr2bl w:val="nil"/>
            </w:tcBorders>
            <w:vAlign w:val="center"/>
          </w:tcPr>
          <w:p w14:paraId="3888D288">
            <w:pPr>
              <w:pStyle w:val="33"/>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7.91</w:t>
            </w:r>
          </w:p>
        </w:tc>
      </w:tr>
      <w:tr w14:paraId="180C1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7CA53D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3520" w:type="pct"/>
            <w:gridSpan w:val="5"/>
            <w:tcBorders>
              <w:tl2br w:val="nil"/>
              <w:tr2bl w:val="nil"/>
            </w:tcBorders>
            <w:vAlign w:val="center"/>
          </w:tcPr>
          <w:p w14:paraId="47420F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43</w:t>
            </w:r>
          </w:p>
        </w:tc>
      </w:tr>
      <w:tr w14:paraId="60E33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765FFE5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3520" w:type="pct"/>
            <w:gridSpan w:val="5"/>
            <w:tcBorders>
              <w:tl2br w:val="nil"/>
              <w:tr2bl w:val="nil"/>
            </w:tcBorders>
            <w:vAlign w:val="center"/>
          </w:tcPr>
          <w:p w14:paraId="7851AE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未检出</w:t>
            </w:r>
          </w:p>
        </w:tc>
      </w:tr>
      <w:tr w14:paraId="0E802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79" w:type="pct"/>
            <w:gridSpan w:val="2"/>
            <w:tcBorders>
              <w:tl2br w:val="nil"/>
              <w:tr2bl w:val="nil"/>
            </w:tcBorders>
            <w:vAlign w:val="center"/>
          </w:tcPr>
          <w:p w14:paraId="31D1C69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石油类</w:t>
            </w:r>
          </w:p>
        </w:tc>
        <w:tc>
          <w:tcPr>
            <w:tcW w:w="3520" w:type="pct"/>
            <w:gridSpan w:val="5"/>
            <w:tcBorders>
              <w:tl2br w:val="nil"/>
              <w:tr2bl w:val="nil"/>
            </w:tcBorders>
            <w:vAlign w:val="center"/>
          </w:tcPr>
          <w:p w14:paraId="4B2ABE2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95.1</w:t>
            </w:r>
          </w:p>
        </w:tc>
      </w:tr>
    </w:tbl>
    <w:p w14:paraId="0B6063BB">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.4土壤环境质量现状评价</w:t>
      </w:r>
    </w:p>
    <w:p w14:paraId="74BF228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（1）评价方法</w:t>
      </w:r>
    </w:p>
    <w:p w14:paraId="02ED60B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评价方法采用指数法进行土壤环境质量现状评价，即通过指数的大小来反映土壤环境受污染的程度，公式为：</w:t>
      </w:r>
    </w:p>
    <w:p w14:paraId="7E285EE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K</w:t>
      </w:r>
      <w:r>
        <w:rPr>
          <w:rFonts w:hint="default" w:ascii="Times New Roman" w:hAnsi="Times New Roman" w:eastAsia="宋体" w:cs="Times New Roman"/>
          <w:snapToGrid w:val="0"/>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=X</w:t>
      </w:r>
      <w:r>
        <w:rPr>
          <w:rFonts w:hint="default" w:ascii="Times New Roman" w:hAnsi="Times New Roman" w:eastAsia="宋体" w:cs="Times New Roman"/>
          <w:snapToGrid w:val="0"/>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/X</w:t>
      </w:r>
      <w:r>
        <w:rPr>
          <w:rFonts w:hint="default" w:ascii="Times New Roman" w:hAnsi="Times New Roman" w:eastAsia="宋体" w:cs="Times New Roman"/>
          <w:snapToGrid w:val="0"/>
          <w:color w:val="000000" w:themeColor="text1"/>
          <w:sz w:val="24"/>
          <w:szCs w:val="24"/>
          <w:highlight w:val="none"/>
          <w:vertAlign w:val="subscript"/>
          <w14:textFill>
            <w14:solidFill>
              <w14:schemeClr w14:val="tx1"/>
            </w14:solidFill>
          </w14:textFill>
        </w:rPr>
        <w:t>oi</w:t>
      </w:r>
    </w:p>
    <w:p w14:paraId="65226D72">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outlineLvl w:val="9"/>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式中：K</w:t>
      </w:r>
      <w:r>
        <w:rPr>
          <w:rFonts w:hint="default" w:ascii="Times New Roman" w:hAnsi="Times New Roman" w:eastAsia="宋体" w:cs="Times New Roman"/>
          <w:snapToGrid w:val="0"/>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第i项分指数；</w:t>
      </w:r>
    </w:p>
    <w:p w14:paraId="19CC8C64">
      <w:pPr>
        <w:keepNext w:val="0"/>
        <w:keepLines w:val="0"/>
        <w:pageBreakBefore w:val="0"/>
        <w:widowControl w:val="0"/>
        <w:kinsoku/>
        <w:wordWrap/>
        <w:overflowPunct/>
        <w:topLinePunct w:val="0"/>
        <w:autoSpaceDE/>
        <w:autoSpaceDN/>
        <w:bidi w:val="0"/>
        <w:adjustRightInd/>
        <w:snapToGrid w:val="0"/>
        <w:spacing w:after="0" w:line="360" w:lineRule="auto"/>
        <w:ind w:firstLine="1200" w:firstLineChars="500"/>
        <w:textAlignment w:val="auto"/>
        <w:outlineLvl w:val="9"/>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X</w:t>
      </w:r>
      <w:r>
        <w:rPr>
          <w:rFonts w:hint="default" w:ascii="Times New Roman" w:hAnsi="Times New Roman" w:eastAsia="宋体" w:cs="Times New Roman"/>
          <w:snapToGrid w:val="0"/>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土壤中i污染物的实测含量mg/kg；</w:t>
      </w:r>
    </w:p>
    <w:p w14:paraId="3017FA3B">
      <w:pPr>
        <w:keepNext w:val="0"/>
        <w:keepLines w:val="0"/>
        <w:pageBreakBefore w:val="0"/>
        <w:widowControl w:val="0"/>
        <w:kinsoku/>
        <w:wordWrap/>
        <w:overflowPunct/>
        <w:topLinePunct w:val="0"/>
        <w:autoSpaceDE/>
        <w:autoSpaceDN/>
        <w:bidi w:val="0"/>
        <w:adjustRightInd/>
        <w:snapToGrid w:val="0"/>
        <w:spacing w:after="0" w:line="360" w:lineRule="auto"/>
        <w:ind w:firstLine="1200" w:firstLineChars="5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X</w:t>
      </w:r>
      <w:r>
        <w:rPr>
          <w:rFonts w:hint="default" w:ascii="Times New Roman" w:hAnsi="Times New Roman" w:eastAsia="宋体" w:cs="Times New Roman"/>
          <w:snapToGrid w:val="0"/>
          <w:color w:val="000000" w:themeColor="text1"/>
          <w:sz w:val="24"/>
          <w:szCs w:val="24"/>
          <w:highlight w:val="none"/>
          <w:vertAlign w:val="subscript"/>
          <w14:textFill>
            <w14:solidFill>
              <w14:schemeClr w14:val="tx1"/>
            </w14:solidFill>
          </w14:textFill>
        </w:rPr>
        <w:t>oi</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土壤中i污染物的标准值mg/kg。</w:t>
      </w:r>
    </w:p>
    <w:p w14:paraId="65490F3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（2）评价标准</w:t>
      </w:r>
    </w:p>
    <w:p w14:paraId="067840B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1监测点位土壤执行《土壤环境质量建设用地土壤污染风险管控标准（试行）》（GB36600-2018）中表1建设用地土壤污染风险筛选值（基本项目）中第二类用地筛选值标准，以及表2（其他项目）中第二类用地筛选值标准；</w:t>
      </w:r>
    </w:p>
    <w:p w14:paraId="0EA97D9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监测点位土壤执行《土壤环境质量农用地土壤污染风险管控标准（试行）》（GB15618-2018）表1农用地土壤风险筛选值（基本项目）中标准。</w:t>
      </w:r>
    </w:p>
    <w:p w14:paraId="638B05E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（3）评价结果</w:t>
      </w:r>
    </w:p>
    <w:p w14:paraId="43A3D04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建设用地土壤环境质量现状评价结果见表4.3-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。农用地土壤环境质量现状评价结果见表4.3-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A6DFB1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22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建设用地土壤环境质量现状评价结果</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33"/>
        <w:gridCol w:w="1817"/>
        <w:gridCol w:w="1817"/>
        <w:gridCol w:w="1819"/>
      </w:tblGrid>
      <w:tr w14:paraId="076CF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064" w:type="pct"/>
            <w:vMerge w:val="restart"/>
            <w:tcBorders>
              <w:tl2br w:val="nil"/>
              <w:tr2bl w:val="nil"/>
            </w:tcBorders>
            <w:vAlign w:val="center"/>
          </w:tcPr>
          <w:p w14:paraId="4E5276F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监测项目</w:t>
            </w:r>
          </w:p>
        </w:tc>
        <w:tc>
          <w:tcPr>
            <w:tcW w:w="2935" w:type="pct"/>
            <w:gridSpan w:val="3"/>
            <w:tcBorders>
              <w:tl2br w:val="nil"/>
              <w:tr2bl w:val="nil"/>
            </w:tcBorders>
            <w:vAlign w:val="center"/>
          </w:tcPr>
          <w:p w14:paraId="5E6F87B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监测点位及监测结果</w:t>
            </w:r>
          </w:p>
        </w:tc>
      </w:tr>
      <w:tr w14:paraId="23FFF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vMerge w:val="continue"/>
            <w:tcBorders>
              <w:tl2br w:val="nil"/>
              <w:tr2bl w:val="nil"/>
            </w:tcBorders>
            <w:vAlign w:val="center"/>
          </w:tcPr>
          <w:p w14:paraId="383FD2E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2935" w:type="pct"/>
            <w:gridSpan w:val="3"/>
            <w:tcBorders>
              <w:tl2br w:val="nil"/>
              <w:tr2bl w:val="nil"/>
            </w:tcBorders>
            <w:vAlign w:val="center"/>
          </w:tcPr>
          <w:p w14:paraId="5F103F9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T1</w:t>
            </w:r>
          </w:p>
        </w:tc>
      </w:tr>
      <w:tr w14:paraId="15D86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vMerge w:val="continue"/>
            <w:tcBorders>
              <w:tl2br w:val="nil"/>
              <w:tr2bl w:val="nil"/>
            </w:tcBorders>
            <w:vAlign w:val="center"/>
          </w:tcPr>
          <w:p w14:paraId="3CAC26A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978" w:type="pct"/>
            <w:tcBorders>
              <w:tl2br w:val="nil"/>
              <w:tr2bl w:val="nil"/>
            </w:tcBorders>
            <w:vAlign w:val="center"/>
          </w:tcPr>
          <w:p w14:paraId="5F61759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0-0.5m</w:t>
            </w:r>
          </w:p>
        </w:tc>
        <w:tc>
          <w:tcPr>
            <w:tcW w:w="978" w:type="pct"/>
            <w:tcBorders>
              <w:tl2br w:val="nil"/>
              <w:tr2bl w:val="nil"/>
            </w:tcBorders>
            <w:vAlign w:val="center"/>
          </w:tcPr>
          <w:p w14:paraId="2F0E013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0.5</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1.5m</w:t>
            </w:r>
          </w:p>
        </w:tc>
        <w:tc>
          <w:tcPr>
            <w:tcW w:w="979" w:type="pct"/>
            <w:tcBorders>
              <w:tl2br w:val="nil"/>
              <w:tr2bl w:val="nil"/>
            </w:tcBorders>
            <w:vAlign w:val="center"/>
          </w:tcPr>
          <w:p w14:paraId="770D596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1.5</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3m</w:t>
            </w:r>
          </w:p>
        </w:tc>
      </w:tr>
      <w:tr w14:paraId="2E6C1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064" w:type="pct"/>
            <w:tcBorders>
              <w:tl2br w:val="nil"/>
              <w:tr2bl w:val="nil"/>
            </w:tcBorders>
            <w:vAlign w:val="center"/>
          </w:tcPr>
          <w:p w14:paraId="0F88C77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Cd</w:t>
            </w:r>
          </w:p>
        </w:tc>
        <w:tc>
          <w:tcPr>
            <w:tcW w:w="1817" w:type="dxa"/>
            <w:tcBorders>
              <w:tl2br w:val="nil"/>
              <w:tr2bl w:val="nil"/>
            </w:tcBorders>
            <w:vAlign w:val="center"/>
          </w:tcPr>
          <w:p w14:paraId="2DD09873">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0.0158</w:t>
            </w:r>
          </w:p>
        </w:tc>
        <w:tc>
          <w:tcPr>
            <w:tcW w:w="1817" w:type="dxa"/>
            <w:tcBorders>
              <w:tl2br w:val="nil"/>
              <w:tr2bl w:val="nil"/>
            </w:tcBorders>
            <w:vAlign w:val="center"/>
          </w:tcPr>
          <w:p w14:paraId="48EFE44F">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0.0303</w:t>
            </w:r>
          </w:p>
        </w:tc>
        <w:tc>
          <w:tcPr>
            <w:tcW w:w="1819" w:type="dxa"/>
            <w:tcBorders>
              <w:tl2br w:val="nil"/>
              <w:tr2bl w:val="nil"/>
            </w:tcBorders>
            <w:vAlign w:val="center"/>
          </w:tcPr>
          <w:p w14:paraId="12171116">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0.0143</w:t>
            </w:r>
          </w:p>
        </w:tc>
      </w:tr>
      <w:tr w14:paraId="32963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1975A8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Hg</w:t>
            </w:r>
          </w:p>
        </w:tc>
        <w:tc>
          <w:tcPr>
            <w:tcW w:w="1817" w:type="dxa"/>
            <w:tcBorders>
              <w:tl2br w:val="nil"/>
              <w:tr2bl w:val="nil"/>
            </w:tcBorders>
            <w:vAlign w:val="center"/>
          </w:tcPr>
          <w:p w14:paraId="3D1929A8">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0.0085</w:t>
            </w:r>
          </w:p>
        </w:tc>
        <w:tc>
          <w:tcPr>
            <w:tcW w:w="1817" w:type="dxa"/>
            <w:tcBorders>
              <w:tl2br w:val="nil"/>
              <w:tr2bl w:val="nil"/>
            </w:tcBorders>
            <w:vAlign w:val="center"/>
          </w:tcPr>
          <w:p w14:paraId="53BF90C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0.0075</w:t>
            </w:r>
          </w:p>
        </w:tc>
        <w:tc>
          <w:tcPr>
            <w:tcW w:w="1819" w:type="dxa"/>
            <w:tcBorders>
              <w:tl2br w:val="nil"/>
              <w:tr2bl w:val="nil"/>
            </w:tcBorders>
            <w:vAlign w:val="center"/>
          </w:tcPr>
          <w:p w14:paraId="7F5CDE8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0.0077</w:t>
            </w:r>
          </w:p>
        </w:tc>
      </w:tr>
      <w:tr w14:paraId="2157F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6D714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As</w:t>
            </w:r>
          </w:p>
        </w:tc>
        <w:tc>
          <w:tcPr>
            <w:tcW w:w="1817" w:type="dxa"/>
            <w:tcBorders>
              <w:tl2br w:val="nil"/>
              <w:tr2bl w:val="nil"/>
            </w:tcBorders>
            <w:vAlign w:val="center"/>
          </w:tcPr>
          <w:p w14:paraId="7A77CEB6">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0.0542</w:t>
            </w:r>
          </w:p>
        </w:tc>
        <w:tc>
          <w:tcPr>
            <w:tcW w:w="1817" w:type="dxa"/>
            <w:tcBorders>
              <w:tl2br w:val="nil"/>
              <w:tr2bl w:val="nil"/>
            </w:tcBorders>
            <w:vAlign w:val="center"/>
          </w:tcPr>
          <w:p w14:paraId="2881F52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0.0555</w:t>
            </w:r>
          </w:p>
        </w:tc>
        <w:tc>
          <w:tcPr>
            <w:tcW w:w="1819" w:type="dxa"/>
            <w:tcBorders>
              <w:tl2br w:val="nil"/>
              <w:tr2bl w:val="nil"/>
            </w:tcBorders>
            <w:vAlign w:val="center"/>
          </w:tcPr>
          <w:p w14:paraId="6BE63E1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0.0523</w:t>
            </w:r>
          </w:p>
        </w:tc>
      </w:tr>
      <w:tr w14:paraId="6E06B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C85A31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Pb</w:t>
            </w:r>
          </w:p>
        </w:tc>
        <w:tc>
          <w:tcPr>
            <w:tcW w:w="1817" w:type="dxa"/>
            <w:tcBorders>
              <w:tl2br w:val="nil"/>
              <w:tr2bl w:val="nil"/>
            </w:tcBorders>
            <w:vAlign w:val="center"/>
          </w:tcPr>
          <w:p w14:paraId="7381FD5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0.0215</w:t>
            </w:r>
          </w:p>
        </w:tc>
        <w:tc>
          <w:tcPr>
            <w:tcW w:w="1817" w:type="dxa"/>
            <w:tcBorders>
              <w:tl2br w:val="nil"/>
              <w:tr2bl w:val="nil"/>
            </w:tcBorders>
            <w:vAlign w:val="center"/>
          </w:tcPr>
          <w:p w14:paraId="62E1871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0.0206</w:t>
            </w:r>
          </w:p>
        </w:tc>
        <w:tc>
          <w:tcPr>
            <w:tcW w:w="1819" w:type="dxa"/>
            <w:tcBorders>
              <w:tl2br w:val="nil"/>
              <w:tr2bl w:val="nil"/>
            </w:tcBorders>
            <w:vAlign w:val="center"/>
          </w:tcPr>
          <w:p w14:paraId="1A6B32D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0.0195</w:t>
            </w:r>
          </w:p>
        </w:tc>
      </w:tr>
      <w:tr w14:paraId="599C5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2FA348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Cr</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6+</w:t>
            </w:r>
          </w:p>
        </w:tc>
        <w:tc>
          <w:tcPr>
            <w:tcW w:w="1817" w:type="dxa"/>
            <w:tcBorders>
              <w:tl2br w:val="nil"/>
              <w:tr2bl w:val="nil"/>
            </w:tcBorders>
            <w:vAlign w:val="center"/>
          </w:tcPr>
          <w:p w14:paraId="2C10C8C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17" w:type="dxa"/>
            <w:tcBorders>
              <w:tl2br w:val="nil"/>
              <w:tr2bl w:val="nil"/>
            </w:tcBorders>
            <w:vAlign w:val="center"/>
          </w:tcPr>
          <w:p w14:paraId="3B4713D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19" w:type="dxa"/>
            <w:tcBorders>
              <w:tl2br w:val="nil"/>
              <w:tr2bl w:val="nil"/>
            </w:tcBorders>
            <w:vAlign w:val="center"/>
          </w:tcPr>
          <w:p w14:paraId="21230A9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612F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BFBD3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Cu</w:t>
            </w:r>
          </w:p>
        </w:tc>
        <w:tc>
          <w:tcPr>
            <w:tcW w:w="1817" w:type="dxa"/>
            <w:tcBorders>
              <w:tl2br w:val="nil"/>
              <w:tr2bl w:val="nil"/>
            </w:tcBorders>
            <w:vAlign w:val="center"/>
          </w:tcPr>
          <w:p w14:paraId="2E66B8E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0.0011</w:t>
            </w:r>
          </w:p>
        </w:tc>
        <w:tc>
          <w:tcPr>
            <w:tcW w:w="1817" w:type="dxa"/>
            <w:tcBorders>
              <w:tl2br w:val="nil"/>
              <w:tr2bl w:val="nil"/>
            </w:tcBorders>
            <w:vAlign w:val="center"/>
          </w:tcPr>
          <w:p w14:paraId="7BB679EF">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0.0013</w:t>
            </w:r>
          </w:p>
        </w:tc>
        <w:tc>
          <w:tcPr>
            <w:tcW w:w="1819" w:type="dxa"/>
            <w:tcBorders>
              <w:tl2br w:val="nil"/>
              <w:tr2bl w:val="nil"/>
            </w:tcBorders>
            <w:vAlign w:val="center"/>
          </w:tcPr>
          <w:p w14:paraId="688578F6">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0.0010</w:t>
            </w:r>
          </w:p>
        </w:tc>
      </w:tr>
      <w:tr w14:paraId="54546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6C1039B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Ni</w:t>
            </w:r>
          </w:p>
        </w:tc>
        <w:tc>
          <w:tcPr>
            <w:tcW w:w="1817" w:type="dxa"/>
            <w:tcBorders>
              <w:tl2br w:val="nil"/>
              <w:tr2bl w:val="nil"/>
            </w:tcBorders>
            <w:vAlign w:val="center"/>
          </w:tcPr>
          <w:p w14:paraId="1DCDE14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0.0078</w:t>
            </w:r>
          </w:p>
        </w:tc>
        <w:tc>
          <w:tcPr>
            <w:tcW w:w="1817" w:type="dxa"/>
            <w:tcBorders>
              <w:tl2br w:val="nil"/>
              <w:tr2bl w:val="nil"/>
            </w:tcBorders>
            <w:vAlign w:val="center"/>
          </w:tcPr>
          <w:p w14:paraId="3B2BE688">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0.0078</w:t>
            </w:r>
          </w:p>
        </w:tc>
        <w:tc>
          <w:tcPr>
            <w:tcW w:w="1819" w:type="dxa"/>
            <w:tcBorders>
              <w:tl2br w:val="nil"/>
              <w:tr2bl w:val="nil"/>
            </w:tcBorders>
            <w:vAlign w:val="center"/>
          </w:tcPr>
          <w:p w14:paraId="05E6EA0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0.0078</w:t>
            </w:r>
          </w:p>
        </w:tc>
      </w:tr>
      <w:tr w14:paraId="53171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EF85B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w:t>
            </w:r>
          </w:p>
        </w:tc>
        <w:tc>
          <w:tcPr>
            <w:tcW w:w="978" w:type="pct"/>
            <w:tcBorders>
              <w:tl2br w:val="nil"/>
              <w:tr2bl w:val="nil"/>
            </w:tcBorders>
            <w:vAlign w:val="center"/>
          </w:tcPr>
          <w:p w14:paraId="44C29A8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F69A4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4A581DB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B7E7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64" w:type="pct"/>
            <w:tcBorders>
              <w:tl2br w:val="nil"/>
              <w:tr2bl w:val="nil"/>
            </w:tcBorders>
            <w:vAlign w:val="center"/>
          </w:tcPr>
          <w:p w14:paraId="04CBE00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甲苯</w:t>
            </w:r>
          </w:p>
        </w:tc>
        <w:tc>
          <w:tcPr>
            <w:tcW w:w="978" w:type="pct"/>
            <w:tcBorders>
              <w:tl2br w:val="nil"/>
              <w:tr2bl w:val="nil"/>
            </w:tcBorders>
            <w:vAlign w:val="center"/>
          </w:tcPr>
          <w:p w14:paraId="6D4C977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88CE4E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A7E99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970B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A837D8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乙苯</w:t>
            </w:r>
          </w:p>
        </w:tc>
        <w:tc>
          <w:tcPr>
            <w:tcW w:w="978" w:type="pct"/>
            <w:tcBorders>
              <w:tl2br w:val="nil"/>
              <w:tr2bl w:val="nil"/>
            </w:tcBorders>
            <w:vAlign w:val="center"/>
          </w:tcPr>
          <w:p w14:paraId="3701CA4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87B6E1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51945F0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2DC99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B85399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氯苯</w:t>
            </w:r>
          </w:p>
        </w:tc>
        <w:tc>
          <w:tcPr>
            <w:tcW w:w="978" w:type="pct"/>
            <w:tcBorders>
              <w:tl2br w:val="nil"/>
              <w:tr2bl w:val="nil"/>
            </w:tcBorders>
            <w:vAlign w:val="center"/>
          </w:tcPr>
          <w:p w14:paraId="44415FC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332B031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BE042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63EE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53B1FC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苯乙烯</w:t>
            </w:r>
          </w:p>
        </w:tc>
        <w:tc>
          <w:tcPr>
            <w:tcW w:w="978" w:type="pct"/>
            <w:tcBorders>
              <w:tl2br w:val="nil"/>
              <w:tr2bl w:val="nil"/>
            </w:tcBorders>
            <w:vAlign w:val="center"/>
          </w:tcPr>
          <w:p w14:paraId="757D497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076AA9C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66942B1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4DCA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0FA267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间二甲苯+对二甲苯</w:t>
            </w:r>
          </w:p>
        </w:tc>
        <w:tc>
          <w:tcPr>
            <w:tcW w:w="978" w:type="pct"/>
            <w:tcBorders>
              <w:tl2br w:val="nil"/>
              <w:tr2bl w:val="nil"/>
            </w:tcBorders>
            <w:vAlign w:val="center"/>
          </w:tcPr>
          <w:p w14:paraId="6C178F7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072F39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7E334ED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A7E1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27F6F9F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邻二甲苯</w:t>
            </w:r>
          </w:p>
        </w:tc>
        <w:tc>
          <w:tcPr>
            <w:tcW w:w="978" w:type="pct"/>
            <w:tcBorders>
              <w:tl2br w:val="nil"/>
              <w:tr2bl w:val="nil"/>
            </w:tcBorders>
            <w:vAlign w:val="center"/>
          </w:tcPr>
          <w:p w14:paraId="2C4D19F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43833F3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7DA4FBB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9163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55C7CE9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氯乙烯</w:t>
            </w:r>
          </w:p>
        </w:tc>
        <w:tc>
          <w:tcPr>
            <w:tcW w:w="978" w:type="pct"/>
            <w:tcBorders>
              <w:tl2br w:val="nil"/>
              <w:tr2bl w:val="nil"/>
            </w:tcBorders>
            <w:vAlign w:val="center"/>
          </w:tcPr>
          <w:p w14:paraId="241F3C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5C64BE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009D71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D2F0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4EE102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1，2-二氯苯</w:t>
            </w:r>
          </w:p>
        </w:tc>
        <w:tc>
          <w:tcPr>
            <w:tcW w:w="978" w:type="pct"/>
            <w:tcBorders>
              <w:tl2br w:val="nil"/>
              <w:tr2bl w:val="nil"/>
            </w:tcBorders>
            <w:vAlign w:val="center"/>
          </w:tcPr>
          <w:p w14:paraId="65512A8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6C508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5513256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4182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E7C007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1，4-二氯苯</w:t>
            </w:r>
          </w:p>
        </w:tc>
        <w:tc>
          <w:tcPr>
            <w:tcW w:w="978" w:type="pct"/>
            <w:tcBorders>
              <w:tl2br w:val="nil"/>
              <w:tr2bl w:val="nil"/>
            </w:tcBorders>
            <w:vAlign w:val="center"/>
          </w:tcPr>
          <w:p w14:paraId="729C009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B52F5B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0956B09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DE51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7FD28C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四氯化碳</w:t>
            </w:r>
          </w:p>
        </w:tc>
        <w:tc>
          <w:tcPr>
            <w:tcW w:w="978" w:type="pct"/>
            <w:tcBorders>
              <w:tl2br w:val="nil"/>
              <w:tr2bl w:val="nil"/>
            </w:tcBorders>
            <w:vAlign w:val="center"/>
          </w:tcPr>
          <w:p w14:paraId="6C5568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6D723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2178C24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27CE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442795C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氯仿</w:t>
            </w:r>
          </w:p>
        </w:tc>
        <w:tc>
          <w:tcPr>
            <w:tcW w:w="978" w:type="pct"/>
            <w:tcBorders>
              <w:tl2br w:val="nil"/>
              <w:tr2bl w:val="nil"/>
            </w:tcBorders>
            <w:vAlign w:val="center"/>
          </w:tcPr>
          <w:p w14:paraId="0FE3105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F10D02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7B015D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8A4F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5AEBA47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氯甲烷</w:t>
            </w:r>
          </w:p>
        </w:tc>
        <w:tc>
          <w:tcPr>
            <w:tcW w:w="978" w:type="pct"/>
            <w:tcBorders>
              <w:tl2br w:val="nil"/>
              <w:tr2bl w:val="nil"/>
            </w:tcBorders>
            <w:vAlign w:val="center"/>
          </w:tcPr>
          <w:p w14:paraId="53DF03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34E22F7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7CFD217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1F56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6EE21BE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1，1-二氯乙烷</w:t>
            </w:r>
          </w:p>
        </w:tc>
        <w:tc>
          <w:tcPr>
            <w:tcW w:w="978" w:type="pct"/>
            <w:tcBorders>
              <w:tl2br w:val="nil"/>
              <w:tr2bl w:val="nil"/>
            </w:tcBorders>
            <w:vAlign w:val="center"/>
          </w:tcPr>
          <w:p w14:paraId="2BB90A4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0FEF3ED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D882CE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522E0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2707C64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1，2-二氯乙烷</w:t>
            </w:r>
          </w:p>
        </w:tc>
        <w:tc>
          <w:tcPr>
            <w:tcW w:w="978" w:type="pct"/>
            <w:tcBorders>
              <w:tl2br w:val="nil"/>
              <w:tr2bl w:val="nil"/>
            </w:tcBorders>
            <w:vAlign w:val="center"/>
          </w:tcPr>
          <w:p w14:paraId="5DE2467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564B095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081DCA7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FEB8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03DE9C7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1，1-二氯乙烯</w:t>
            </w:r>
          </w:p>
        </w:tc>
        <w:tc>
          <w:tcPr>
            <w:tcW w:w="978" w:type="pct"/>
            <w:tcBorders>
              <w:tl2br w:val="nil"/>
              <w:tr2bl w:val="nil"/>
            </w:tcBorders>
            <w:vAlign w:val="center"/>
          </w:tcPr>
          <w:p w14:paraId="2C08908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0204234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6C45F9B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C66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13B80A1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顺-1，2-二氯乙烯</w:t>
            </w:r>
          </w:p>
        </w:tc>
        <w:tc>
          <w:tcPr>
            <w:tcW w:w="978" w:type="pct"/>
            <w:tcBorders>
              <w:tl2br w:val="nil"/>
              <w:tr2bl w:val="nil"/>
            </w:tcBorders>
            <w:vAlign w:val="center"/>
          </w:tcPr>
          <w:p w14:paraId="7A626AF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22815EF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17362E2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B0CB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03EF5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反-1，2-二氯乙烯</w:t>
            </w:r>
          </w:p>
        </w:tc>
        <w:tc>
          <w:tcPr>
            <w:tcW w:w="978" w:type="pct"/>
            <w:tcBorders>
              <w:tl2br w:val="nil"/>
              <w:tr2bl w:val="nil"/>
            </w:tcBorders>
            <w:vAlign w:val="center"/>
          </w:tcPr>
          <w:p w14:paraId="6308B71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2AA40A3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5F488AE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2FADA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5A6FEB6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二氯甲烷</w:t>
            </w:r>
          </w:p>
        </w:tc>
        <w:tc>
          <w:tcPr>
            <w:tcW w:w="978" w:type="pct"/>
            <w:tcBorders>
              <w:tl2br w:val="nil"/>
              <w:tr2bl w:val="nil"/>
            </w:tcBorders>
            <w:vAlign w:val="center"/>
          </w:tcPr>
          <w:p w14:paraId="46D0037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09C9584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8EFFC0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ACFD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2A1B57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1，2-二氯丙烷</w:t>
            </w:r>
          </w:p>
        </w:tc>
        <w:tc>
          <w:tcPr>
            <w:tcW w:w="978" w:type="pct"/>
            <w:tcBorders>
              <w:tl2br w:val="nil"/>
              <w:tr2bl w:val="nil"/>
            </w:tcBorders>
            <w:vAlign w:val="center"/>
          </w:tcPr>
          <w:p w14:paraId="2B30EE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2144AA4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202C49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258F9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1EE49AD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1，1，1，2-四氯乙烷</w:t>
            </w:r>
          </w:p>
        </w:tc>
        <w:tc>
          <w:tcPr>
            <w:tcW w:w="978" w:type="pct"/>
            <w:tcBorders>
              <w:tl2br w:val="nil"/>
              <w:tr2bl w:val="nil"/>
            </w:tcBorders>
            <w:vAlign w:val="center"/>
          </w:tcPr>
          <w:p w14:paraId="5932AFB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14C5334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697E312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8AC2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089D1F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1，1，2，2-四氯乙烷</w:t>
            </w:r>
          </w:p>
        </w:tc>
        <w:tc>
          <w:tcPr>
            <w:tcW w:w="978" w:type="pct"/>
            <w:tcBorders>
              <w:tl2br w:val="nil"/>
              <w:tr2bl w:val="nil"/>
            </w:tcBorders>
            <w:vAlign w:val="center"/>
          </w:tcPr>
          <w:p w14:paraId="32CA60A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BD002C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246BBE7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0A68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064" w:type="pct"/>
            <w:tcBorders>
              <w:tl2br w:val="nil"/>
              <w:tr2bl w:val="nil"/>
            </w:tcBorders>
            <w:vAlign w:val="center"/>
          </w:tcPr>
          <w:p w14:paraId="4FB397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四氯乙烯</w:t>
            </w:r>
          </w:p>
        </w:tc>
        <w:tc>
          <w:tcPr>
            <w:tcW w:w="978" w:type="pct"/>
            <w:tcBorders>
              <w:tl2br w:val="nil"/>
              <w:tr2bl w:val="nil"/>
            </w:tcBorders>
            <w:vAlign w:val="center"/>
          </w:tcPr>
          <w:p w14:paraId="252BE72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E8BA96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0C4E710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9890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064" w:type="pct"/>
            <w:tcBorders>
              <w:tl2br w:val="nil"/>
              <w:tr2bl w:val="nil"/>
            </w:tcBorders>
            <w:vAlign w:val="center"/>
          </w:tcPr>
          <w:p w14:paraId="0B965D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1，1，1-三氯乙烷</w:t>
            </w:r>
          </w:p>
        </w:tc>
        <w:tc>
          <w:tcPr>
            <w:tcW w:w="978" w:type="pct"/>
            <w:tcBorders>
              <w:tl2br w:val="nil"/>
              <w:tr2bl w:val="nil"/>
            </w:tcBorders>
            <w:vAlign w:val="center"/>
          </w:tcPr>
          <w:p w14:paraId="7F27B3F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586FB0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1AF9F1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ED8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F31071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1，1，2-三氯乙烷</w:t>
            </w:r>
          </w:p>
        </w:tc>
        <w:tc>
          <w:tcPr>
            <w:tcW w:w="978" w:type="pct"/>
            <w:tcBorders>
              <w:tl2br w:val="nil"/>
              <w:tr2bl w:val="nil"/>
            </w:tcBorders>
            <w:vAlign w:val="center"/>
          </w:tcPr>
          <w:p w14:paraId="7138507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2B58EE1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0616896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75AB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07C1DFF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三氯乙烯</w:t>
            </w:r>
          </w:p>
        </w:tc>
        <w:tc>
          <w:tcPr>
            <w:tcW w:w="978" w:type="pct"/>
            <w:tcBorders>
              <w:tl2br w:val="nil"/>
              <w:tr2bl w:val="nil"/>
            </w:tcBorders>
            <w:vAlign w:val="center"/>
          </w:tcPr>
          <w:p w14:paraId="5707D70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27C0425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4B9F4D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0909A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67D79FB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1，2，3-三氯丙烷</w:t>
            </w:r>
          </w:p>
        </w:tc>
        <w:tc>
          <w:tcPr>
            <w:tcW w:w="978" w:type="pct"/>
            <w:tcBorders>
              <w:tl2br w:val="nil"/>
              <w:tr2bl w:val="nil"/>
            </w:tcBorders>
            <w:vAlign w:val="center"/>
          </w:tcPr>
          <w:p w14:paraId="4FFECEC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C4583A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62EAB94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73C5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69C6EF5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硝基苯</w:t>
            </w:r>
          </w:p>
        </w:tc>
        <w:tc>
          <w:tcPr>
            <w:tcW w:w="978" w:type="pct"/>
            <w:tcBorders>
              <w:tl2br w:val="nil"/>
              <w:tr2bl w:val="nil"/>
            </w:tcBorders>
            <w:vAlign w:val="center"/>
          </w:tcPr>
          <w:p w14:paraId="20ACDD1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4177336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2C57F30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35D50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1A34A8E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苯胺</w:t>
            </w:r>
          </w:p>
        </w:tc>
        <w:tc>
          <w:tcPr>
            <w:tcW w:w="978" w:type="pct"/>
            <w:tcBorders>
              <w:tl2br w:val="nil"/>
              <w:tr2bl w:val="nil"/>
            </w:tcBorders>
            <w:vAlign w:val="center"/>
          </w:tcPr>
          <w:p w14:paraId="47FA1CE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219A8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4482AA7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7E8A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91C74E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2-氯酚</w:t>
            </w:r>
          </w:p>
        </w:tc>
        <w:tc>
          <w:tcPr>
            <w:tcW w:w="978" w:type="pct"/>
            <w:tcBorders>
              <w:tl2br w:val="nil"/>
              <w:tr2bl w:val="nil"/>
            </w:tcBorders>
            <w:vAlign w:val="center"/>
          </w:tcPr>
          <w:p w14:paraId="1677063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14F1B6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1E0768A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66E4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2816AAC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䓛</w:t>
            </w:r>
          </w:p>
        </w:tc>
        <w:tc>
          <w:tcPr>
            <w:tcW w:w="978" w:type="pct"/>
            <w:tcBorders>
              <w:tl2br w:val="nil"/>
              <w:tr2bl w:val="nil"/>
            </w:tcBorders>
            <w:vAlign w:val="center"/>
          </w:tcPr>
          <w:p w14:paraId="1EA5194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1E08CDA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0D96C72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CEB7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36D0B3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w:t>
            </w:r>
          </w:p>
        </w:tc>
        <w:tc>
          <w:tcPr>
            <w:tcW w:w="978" w:type="pct"/>
            <w:tcBorders>
              <w:tl2br w:val="nil"/>
              <w:tr2bl w:val="nil"/>
            </w:tcBorders>
            <w:vAlign w:val="center"/>
          </w:tcPr>
          <w:p w14:paraId="251ABD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38F49F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13A6FEC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BBAC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C8751C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蒽</w:t>
            </w:r>
          </w:p>
        </w:tc>
        <w:tc>
          <w:tcPr>
            <w:tcW w:w="978" w:type="pct"/>
            <w:tcBorders>
              <w:tl2br w:val="nil"/>
              <w:tr2bl w:val="nil"/>
            </w:tcBorders>
            <w:vAlign w:val="center"/>
          </w:tcPr>
          <w:p w14:paraId="596A9A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2FAD672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374D3F7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47E3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CC72EF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荧蒽</w:t>
            </w:r>
          </w:p>
        </w:tc>
        <w:tc>
          <w:tcPr>
            <w:tcW w:w="978" w:type="pct"/>
            <w:tcBorders>
              <w:tl2br w:val="nil"/>
              <w:tr2bl w:val="nil"/>
            </w:tcBorders>
            <w:vAlign w:val="center"/>
          </w:tcPr>
          <w:p w14:paraId="4347F4F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79F682B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1744BBD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F607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56C23CA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荧蒽</w:t>
            </w:r>
          </w:p>
        </w:tc>
        <w:tc>
          <w:tcPr>
            <w:tcW w:w="978" w:type="pct"/>
            <w:tcBorders>
              <w:tl2br w:val="nil"/>
              <w:tr2bl w:val="nil"/>
            </w:tcBorders>
            <w:vAlign w:val="center"/>
          </w:tcPr>
          <w:p w14:paraId="481AC0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32AD5CF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687E268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67F9E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3D1352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芘</w:t>
            </w:r>
          </w:p>
        </w:tc>
        <w:tc>
          <w:tcPr>
            <w:tcW w:w="978" w:type="pct"/>
            <w:tcBorders>
              <w:tl2br w:val="nil"/>
              <w:tr2bl w:val="nil"/>
            </w:tcBorders>
            <w:vAlign w:val="center"/>
          </w:tcPr>
          <w:p w14:paraId="1DCD46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47CEB06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52EBF4F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2A11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E7CEA0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茚并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1，2，3-cd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芘</w:t>
            </w:r>
          </w:p>
        </w:tc>
        <w:tc>
          <w:tcPr>
            <w:tcW w:w="978" w:type="pct"/>
            <w:tcBorders>
              <w:tl2br w:val="nil"/>
              <w:tr2bl w:val="nil"/>
            </w:tcBorders>
            <w:vAlign w:val="center"/>
          </w:tcPr>
          <w:p w14:paraId="57386E0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622E26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7547FA6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21E5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7C0080D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二苯并</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a，h</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蒽</w:t>
            </w:r>
          </w:p>
        </w:tc>
        <w:tc>
          <w:tcPr>
            <w:tcW w:w="978" w:type="pct"/>
            <w:tcBorders>
              <w:tl2br w:val="nil"/>
              <w:tr2bl w:val="nil"/>
            </w:tcBorders>
            <w:vAlign w:val="center"/>
          </w:tcPr>
          <w:p w14:paraId="5352AA6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8" w:type="pct"/>
            <w:tcBorders>
              <w:tl2br w:val="nil"/>
              <w:tr2bl w:val="nil"/>
            </w:tcBorders>
            <w:vAlign w:val="center"/>
          </w:tcPr>
          <w:p w14:paraId="3B0A00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979" w:type="pct"/>
            <w:tcBorders>
              <w:tl2br w:val="nil"/>
              <w:tr2bl w:val="nil"/>
            </w:tcBorders>
            <w:vAlign w:val="center"/>
          </w:tcPr>
          <w:p w14:paraId="4D2C0F6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37E4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64" w:type="pct"/>
            <w:tcBorders>
              <w:tl2br w:val="nil"/>
              <w:tr2bl w:val="nil"/>
            </w:tcBorders>
            <w:vAlign w:val="center"/>
          </w:tcPr>
          <w:p w14:paraId="5D614C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C40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17" w:type="dxa"/>
            <w:tcBorders>
              <w:tl2br w:val="nil"/>
              <w:tr2bl w:val="nil"/>
            </w:tcBorders>
            <w:vAlign w:val="center"/>
          </w:tcPr>
          <w:p w14:paraId="29F24E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0.0231</w:t>
            </w:r>
          </w:p>
        </w:tc>
        <w:tc>
          <w:tcPr>
            <w:tcW w:w="1817" w:type="dxa"/>
            <w:tcBorders>
              <w:tl2br w:val="nil"/>
              <w:tr2bl w:val="nil"/>
            </w:tcBorders>
            <w:vAlign w:val="center"/>
          </w:tcPr>
          <w:p w14:paraId="3A1F97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0.0096</w:t>
            </w:r>
          </w:p>
        </w:tc>
        <w:tc>
          <w:tcPr>
            <w:tcW w:w="1819" w:type="dxa"/>
            <w:tcBorders>
              <w:tl2br w:val="nil"/>
              <w:tr2bl w:val="nil"/>
            </w:tcBorders>
            <w:vAlign w:val="center"/>
          </w:tcPr>
          <w:p w14:paraId="73E951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0.0024</w:t>
            </w:r>
          </w:p>
        </w:tc>
      </w:tr>
    </w:tbl>
    <w:p w14:paraId="173F7A9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23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农用地土壤环境质量现状评价结果</w:t>
      </w:r>
    </w:p>
    <w:tbl>
      <w:tblPr>
        <w:tblStyle w:val="18"/>
        <w:tblW w:w="495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615"/>
        <w:gridCol w:w="1992"/>
        <w:gridCol w:w="983"/>
        <w:gridCol w:w="1022"/>
        <w:gridCol w:w="1953"/>
      </w:tblGrid>
      <w:tr w14:paraId="72E2BC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46" w:type="pct"/>
            <w:vMerge w:val="restart"/>
            <w:tcBorders>
              <w:tl2br w:val="nil"/>
              <w:tr2bl w:val="nil"/>
            </w:tcBorders>
            <w:noWrap/>
            <w:vAlign w:val="center"/>
          </w:tcPr>
          <w:p w14:paraId="31226799">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1420" w:type="pct"/>
            <w:vMerge w:val="restart"/>
            <w:tcBorders>
              <w:tl2br w:val="nil"/>
              <w:tr2bl w:val="nil"/>
            </w:tcBorders>
            <w:noWrap w:val="0"/>
            <w:vAlign w:val="center"/>
          </w:tcPr>
          <w:p w14:paraId="2F4F8470">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监测项目</w:t>
            </w:r>
          </w:p>
        </w:tc>
        <w:tc>
          <w:tcPr>
            <w:tcW w:w="1616" w:type="pct"/>
            <w:gridSpan w:val="2"/>
            <w:tcBorders>
              <w:tl2br w:val="nil"/>
              <w:tr2bl w:val="nil"/>
            </w:tcBorders>
            <w:noWrap w:val="0"/>
            <w:vAlign w:val="center"/>
          </w:tcPr>
          <w:p w14:paraId="5334B09C">
            <w:pPr>
              <w:pStyle w:val="85"/>
              <w:keepNext w:val="0"/>
              <w:keepLines w:val="0"/>
              <w:pageBreakBefore w:val="0"/>
              <w:widowControl w:val="0"/>
              <w:kinsoku/>
              <w:wordWrap/>
              <w:topLinePunct w:val="0"/>
              <w:bidi w:val="0"/>
              <w:snapToGrid/>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lang w:val="en-US" w:eastAsia="zh-CN"/>
                <w14:textFill>
                  <w14:solidFill>
                    <w14:schemeClr w14:val="tx1"/>
                  </w14:solidFill>
                </w14:textFill>
              </w:rPr>
              <w:t>T</w:t>
            </w:r>
            <w:r>
              <w:rPr>
                <w:rFonts w:hint="eastAsia" w:cs="Times New Roman"/>
                <w:b/>
                <w:color w:val="000000" w:themeColor="text1"/>
                <w:highlight w:val="none"/>
                <w:lang w:val="en-US" w:eastAsia="zh-CN"/>
                <w14:textFill>
                  <w14:solidFill>
                    <w14:schemeClr w14:val="tx1"/>
                  </w14:solidFill>
                </w14:textFill>
              </w:rPr>
              <w:t>5</w:t>
            </w:r>
          </w:p>
        </w:tc>
        <w:tc>
          <w:tcPr>
            <w:tcW w:w="1616" w:type="pct"/>
            <w:gridSpan w:val="2"/>
            <w:tcBorders>
              <w:tl2br w:val="nil"/>
              <w:tr2bl w:val="nil"/>
            </w:tcBorders>
            <w:noWrap w:val="0"/>
            <w:vAlign w:val="center"/>
          </w:tcPr>
          <w:p w14:paraId="22729824">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lang w:val="en-US" w:eastAsia="zh-CN"/>
                <w14:textFill>
                  <w14:solidFill>
                    <w14:schemeClr w14:val="tx1"/>
                  </w14:solidFill>
                </w14:textFill>
              </w:rPr>
            </w:pPr>
            <w:r>
              <w:rPr>
                <w:rFonts w:hint="eastAsia" w:cs="Times New Roman"/>
                <w:b/>
                <w:color w:val="000000" w:themeColor="text1"/>
                <w:highlight w:val="none"/>
                <w:lang w:val="en-US" w:eastAsia="zh-CN"/>
                <w14:textFill>
                  <w14:solidFill>
                    <w14:schemeClr w14:val="tx1"/>
                  </w14:solidFill>
                </w14:textFill>
              </w:rPr>
              <w:t>T6</w:t>
            </w:r>
          </w:p>
        </w:tc>
      </w:tr>
      <w:tr w14:paraId="59385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6" w:type="pct"/>
            <w:vMerge w:val="continue"/>
            <w:tcBorders>
              <w:tl2br w:val="nil"/>
              <w:tr2bl w:val="nil"/>
            </w:tcBorders>
            <w:noWrap/>
            <w:vAlign w:val="center"/>
          </w:tcPr>
          <w:p w14:paraId="2A6EA43D">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p>
        </w:tc>
        <w:tc>
          <w:tcPr>
            <w:tcW w:w="1420" w:type="pct"/>
            <w:vMerge w:val="continue"/>
            <w:tcBorders>
              <w:tl2br w:val="nil"/>
              <w:tr2bl w:val="nil"/>
            </w:tcBorders>
            <w:noWrap w:val="0"/>
            <w:vAlign w:val="center"/>
          </w:tcPr>
          <w:p w14:paraId="5BD7DAA2">
            <w:pPr>
              <w:pStyle w:val="85"/>
              <w:keepNext w:val="0"/>
              <w:keepLines w:val="0"/>
              <w:pageBreakBefore w:val="0"/>
              <w:widowControl w:val="0"/>
              <w:kinsoku/>
              <w:wordWrap/>
              <w:topLinePunct w:val="0"/>
              <w:bidi w:val="0"/>
              <w:snapToGrid/>
              <w:rPr>
                <w:rFonts w:hint="default" w:ascii="Times New Roman" w:hAnsi="Times New Roman" w:cs="Times New Roman"/>
                <w:b/>
                <w:color w:val="000000" w:themeColor="text1"/>
                <w:highlight w:val="none"/>
                <w14:textFill>
                  <w14:solidFill>
                    <w14:schemeClr w14:val="tx1"/>
                  </w14:solidFill>
                </w14:textFill>
              </w:rPr>
            </w:pPr>
          </w:p>
        </w:tc>
        <w:tc>
          <w:tcPr>
            <w:tcW w:w="1616" w:type="pct"/>
            <w:gridSpan w:val="2"/>
            <w:tcBorders>
              <w:tl2br w:val="nil"/>
              <w:tr2bl w:val="nil"/>
            </w:tcBorders>
            <w:noWrap w:val="0"/>
            <w:vAlign w:val="center"/>
          </w:tcPr>
          <w:p w14:paraId="0C99D46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m</w:t>
            </w:r>
          </w:p>
        </w:tc>
        <w:tc>
          <w:tcPr>
            <w:tcW w:w="1616" w:type="pct"/>
            <w:gridSpan w:val="2"/>
            <w:tcBorders>
              <w:tl2br w:val="nil"/>
              <w:tr2bl w:val="nil"/>
            </w:tcBorders>
            <w:noWrap w:val="0"/>
            <w:vAlign w:val="center"/>
          </w:tcPr>
          <w:p w14:paraId="263D9DC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m</w:t>
            </w:r>
          </w:p>
        </w:tc>
      </w:tr>
      <w:tr w14:paraId="4386B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011A3571">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420" w:type="pct"/>
            <w:tcBorders>
              <w:tl2br w:val="nil"/>
              <w:tr2bl w:val="nil"/>
            </w:tcBorders>
            <w:shd w:val="clear" w:color="auto" w:fill="auto"/>
            <w:noWrap w:val="0"/>
            <w:vAlign w:val="center"/>
          </w:tcPr>
          <w:p w14:paraId="6D0F9D1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镉（Cd）</w:t>
            </w:r>
          </w:p>
        </w:tc>
        <w:tc>
          <w:tcPr>
            <w:tcW w:w="2975" w:type="dxa"/>
            <w:gridSpan w:val="2"/>
            <w:tcBorders>
              <w:tl2br w:val="nil"/>
              <w:tr2bl w:val="nil"/>
            </w:tcBorders>
            <w:shd w:val="clear" w:color="auto" w:fill="auto"/>
            <w:noWrap w:val="0"/>
            <w:vAlign w:val="center"/>
          </w:tcPr>
          <w:p w14:paraId="5F4DFA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0.2333</w:t>
            </w:r>
          </w:p>
        </w:tc>
        <w:tc>
          <w:tcPr>
            <w:tcW w:w="2975" w:type="dxa"/>
            <w:gridSpan w:val="2"/>
            <w:tcBorders>
              <w:tl2br w:val="nil"/>
              <w:tr2bl w:val="nil"/>
            </w:tcBorders>
            <w:shd w:val="clear" w:color="auto" w:fill="auto"/>
            <w:noWrap w:val="0"/>
            <w:vAlign w:val="center"/>
          </w:tcPr>
          <w:p w14:paraId="5560F9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0.2167</w:t>
            </w:r>
          </w:p>
        </w:tc>
      </w:tr>
      <w:tr w14:paraId="2EA47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439DCDEA">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420" w:type="pct"/>
            <w:tcBorders>
              <w:tl2br w:val="nil"/>
              <w:tr2bl w:val="nil"/>
            </w:tcBorders>
            <w:shd w:val="clear" w:color="auto" w:fill="auto"/>
            <w:noWrap w:val="0"/>
            <w:vAlign w:val="center"/>
          </w:tcPr>
          <w:p w14:paraId="118A63F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汞（Hg）</w:t>
            </w:r>
          </w:p>
        </w:tc>
        <w:tc>
          <w:tcPr>
            <w:tcW w:w="2975" w:type="dxa"/>
            <w:gridSpan w:val="2"/>
            <w:tcBorders>
              <w:tl2br w:val="nil"/>
              <w:tr2bl w:val="nil"/>
            </w:tcBorders>
            <w:shd w:val="clear" w:color="auto" w:fill="auto"/>
            <w:noWrap w:val="0"/>
            <w:vAlign w:val="center"/>
          </w:tcPr>
          <w:p w14:paraId="1FC704A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0.0924</w:t>
            </w:r>
          </w:p>
        </w:tc>
        <w:tc>
          <w:tcPr>
            <w:tcW w:w="2975" w:type="dxa"/>
            <w:gridSpan w:val="2"/>
            <w:tcBorders>
              <w:tl2br w:val="nil"/>
              <w:tr2bl w:val="nil"/>
            </w:tcBorders>
            <w:shd w:val="clear" w:color="auto" w:fill="auto"/>
            <w:noWrap w:val="0"/>
            <w:vAlign w:val="center"/>
          </w:tcPr>
          <w:p w14:paraId="38E444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0.0888</w:t>
            </w:r>
          </w:p>
        </w:tc>
      </w:tr>
      <w:tr w14:paraId="70DAE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7C021A26">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420" w:type="pct"/>
            <w:tcBorders>
              <w:tl2br w:val="nil"/>
              <w:tr2bl w:val="nil"/>
            </w:tcBorders>
            <w:shd w:val="clear" w:color="auto" w:fill="auto"/>
            <w:noWrap w:val="0"/>
            <w:vAlign w:val="center"/>
          </w:tcPr>
          <w:p w14:paraId="4DA480A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砷（As）</w:t>
            </w:r>
          </w:p>
        </w:tc>
        <w:tc>
          <w:tcPr>
            <w:tcW w:w="2975" w:type="dxa"/>
            <w:gridSpan w:val="2"/>
            <w:tcBorders>
              <w:tl2br w:val="nil"/>
              <w:tr2bl w:val="nil"/>
            </w:tcBorders>
            <w:shd w:val="clear" w:color="auto" w:fill="auto"/>
            <w:noWrap w:val="0"/>
            <w:vAlign w:val="center"/>
          </w:tcPr>
          <w:p w14:paraId="180816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0.1144</w:t>
            </w:r>
          </w:p>
        </w:tc>
        <w:tc>
          <w:tcPr>
            <w:tcW w:w="2975" w:type="dxa"/>
            <w:gridSpan w:val="2"/>
            <w:tcBorders>
              <w:tl2br w:val="nil"/>
              <w:tr2bl w:val="nil"/>
            </w:tcBorders>
            <w:shd w:val="clear" w:color="auto" w:fill="auto"/>
            <w:noWrap w:val="0"/>
            <w:vAlign w:val="center"/>
          </w:tcPr>
          <w:p w14:paraId="4192D7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0.1100</w:t>
            </w:r>
          </w:p>
        </w:tc>
      </w:tr>
      <w:tr w14:paraId="79ECC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77FF1B74">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420" w:type="pct"/>
            <w:tcBorders>
              <w:tl2br w:val="nil"/>
              <w:tr2bl w:val="nil"/>
            </w:tcBorders>
            <w:shd w:val="clear" w:color="auto" w:fill="auto"/>
            <w:noWrap w:val="0"/>
            <w:vAlign w:val="center"/>
          </w:tcPr>
          <w:p w14:paraId="067CEA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铅（Pb）</w:t>
            </w:r>
          </w:p>
        </w:tc>
        <w:tc>
          <w:tcPr>
            <w:tcW w:w="2975" w:type="dxa"/>
            <w:gridSpan w:val="2"/>
            <w:tcBorders>
              <w:tl2br w:val="nil"/>
              <w:tr2bl w:val="nil"/>
            </w:tcBorders>
            <w:shd w:val="clear" w:color="auto" w:fill="auto"/>
            <w:noWrap w:val="0"/>
            <w:vAlign w:val="center"/>
          </w:tcPr>
          <w:p w14:paraId="6C8D07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0.0971</w:t>
            </w:r>
          </w:p>
        </w:tc>
        <w:tc>
          <w:tcPr>
            <w:tcW w:w="2975" w:type="dxa"/>
            <w:gridSpan w:val="2"/>
            <w:tcBorders>
              <w:tl2br w:val="nil"/>
              <w:tr2bl w:val="nil"/>
            </w:tcBorders>
            <w:shd w:val="clear" w:color="auto" w:fill="auto"/>
            <w:noWrap w:val="0"/>
            <w:vAlign w:val="center"/>
          </w:tcPr>
          <w:p w14:paraId="6108558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0.0847</w:t>
            </w:r>
          </w:p>
        </w:tc>
      </w:tr>
      <w:tr w14:paraId="70875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08BD09B6">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1420" w:type="pct"/>
            <w:tcBorders>
              <w:tl2br w:val="nil"/>
              <w:tr2bl w:val="nil"/>
            </w:tcBorders>
            <w:shd w:val="clear" w:color="auto" w:fill="auto"/>
            <w:noWrap w:val="0"/>
            <w:vAlign w:val="center"/>
          </w:tcPr>
          <w:p w14:paraId="37BA53D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铬（Cr）</w:t>
            </w:r>
          </w:p>
        </w:tc>
        <w:tc>
          <w:tcPr>
            <w:tcW w:w="2975" w:type="dxa"/>
            <w:gridSpan w:val="2"/>
            <w:tcBorders>
              <w:tl2br w:val="nil"/>
              <w:tr2bl w:val="nil"/>
            </w:tcBorders>
            <w:shd w:val="clear" w:color="auto" w:fill="auto"/>
            <w:noWrap w:val="0"/>
            <w:vAlign w:val="center"/>
          </w:tcPr>
          <w:p w14:paraId="4F81E9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0.1600</w:t>
            </w:r>
          </w:p>
        </w:tc>
        <w:tc>
          <w:tcPr>
            <w:tcW w:w="2975" w:type="dxa"/>
            <w:gridSpan w:val="2"/>
            <w:tcBorders>
              <w:tl2br w:val="nil"/>
              <w:tr2bl w:val="nil"/>
            </w:tcBorders>
            <w:shd w:val="clear" w:color="auto" w:fill="auto"/>
            <w:noWrap w:val="0"/>
            <w:vAlign w:val="center"/>
          </w:tcPr>
          <w:p w14:paraId="65AC95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0.1200</w:t>
            </w:r>
          </w:p>
        </w:tc>
      </w:tr>
      <w:tr w14:paraId="7C039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49E3A278">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420" w:type="pct"/>
            <w:tcBorders>
              <w:tl2br w:val="nil"/>
              <w:tr2bl w:val="nil"/>
            </w:tcBorders>
            <w:shd w:val="clear" w:color="auto" w:fill="auto"/>
            <w:noWrap w:val="0"/>
            <w:vAlign w:val="center"/>
          </w:tcPr>
          <w:p w14:paraId="03D9530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铜（Cu）</w:t>
            </w:r>
          </w:p>
        </w:tc>
        <w:tc>
          <w:tcPr>
            <w:tcW w:w="2975" w:type="dxa"/>
            <w:gridSpan w:val="2"/>
            <w:tcBorders>
              <w:tl2br w:val="nil"/>
              <w:tr2bl w:val="nil"/>
            </w:tcBorders>
            <w:shd w:val="clear" w:color="auto" w:fill="auto"/>
            <w:noWrap w:val="0"/>
            <w:vAlign w:val="center"/>
          </w:tcPr>
          <w:p w14:paraId="6CDB845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0.2000</w:t>
            </w:r>
          </w:p>
        </w:tc>
        <w:tc>
          <w:tcPr>
            <w:tcW w:w="2975" w:type="dxa"/>
            <w:gridSpan w:val="2"/>
            <w:tcBorders>
              <w:tl2br w:val="nil"/>
              <w:tr2bl w:val="nil"/>
            </w:tcBorders>
            <w:shd w:val="clear" w:color="auto" w:fill="auto"/>
            <w:noWrap w:val="0"/>
            <w:vAlign w:val="center"/>
          </w:tcPr>
          <w:p w14:paraId="6D2790F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0.1800</w:t>
            </w:r>
          </w:p>
        </w:tc>
      </w:tr>
      <w:tr w14:paraId="0CE60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014DE126">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1420" w:type="pct"/>
            <w:tcBorders>
              <w:tl2br w:val="nil"/>
              <w:tr2bl w:val="nil"/>
            </w:tcBorders>
            <w:shd w:val="clear" w:color="auto" w:fill="auto"/>
            <w:noWrap w:val="0"/>
            <w:vAlign w:val="center"/>
          </w:tcPr>
          <w:p w14:paraId="2FC78A6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镍（Ni）</w:t>
            </w:r>
          </w:p>
        </w:tc>
        <w:tc>
          <w:tcPr>
            <w:tcW w:w="2975" w:type="dxa"/>
            <w:gridSpan w:val="2"/>
            <w:tcBorders>
              <w:tl2br w:val="nil"/>
              <w:tr2bl w:val="nil"/>
            </w:tcBorders>
            <w:shd w:val="clear" w:color="auto" w:fill="auto"/>
            <w:noWrap w:val="0"/>
            <w:vAlign w:val="center"/>
          </w:tcPr>
          <w:p w14:paraId="259978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0.1000</w:t>
            </w:r>
          </w:p>
        </w:tc>
        <w:tc>
          <w:tcPr>
            <w:tcW w:w="2975" w:type="dxa"/>
            <w:gridSpan w:val="2"/>
            <w:tcBorders>
              <w:tl2br w:val="nil"/>
              <w:tr2bl w:val="nil"/>
            </w:tcBorders>
            <w:shd w:val="clear" w:color="auto" w:fill="auto"/>
            <w:noWrap w:val="0"/>
            <w:vAlign w:val="center"/>
          </w:tcPr>
          <w:p w14:paraId="3855E12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0.1368</w:t>
            </w:r>
          </w:p>
        </w:tc>
      </w:tr>
      <w:tr w14:paraId="37C00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noWrap/>
            <w:vAlign w:val="center"/>
          </w:tcPr>
          <w:p w14:paraId="11D7ED99">
            <w:pPr>
              <w:pStyle w:val="85"/>
              <w:keepNext w:val="0"/>
              <w:keepLines w:val="0"/>
              <w:pageBreakBefore w:val="0"/>
              <w:widowControl w:val="0"/>
              <w:kinsoku/>
              <w:wordWrap/>
              <w:topLinePunct w:val="0"/>
              <w:bidi w:val="0"/>
              <w:snapToGrid/>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w:t>
            </w:r>
          </w:p>
        </w:tc>
        <w:tc>
          <w:tcPr>
            <w:tcW w:w="1420" w:type="pct"/>
            <w:tcBorders>
              <w:tl2br w:val="nil"/>
              <w:tr2bl w:val="nil"/>
            </w:tcBorders>
            <w:shd w:val="clear" w:color="auto" w:fill="auto"/>
            <w:noWrap w:val="0"/>
            <w:vAlign w:val="center"/>
          </w:tcPr>
          <w:p w14:paraId="17FDB6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锌（Zn）</w:t>
            </w:r>
          </w:p>
        </w:tc>
        <w:tc>
          <w:tcPr>
            <w:tcW w:w="2975" w:type="dxa"/>
            <w:gridSpan w:val="2"/>
            <w:tcBorders>
              <w:tl2br w:val="nil"/>
              <w:tr2bl w:val="nil"/>
            </w:tcBorders>
            <w:shd w:val="clear" w:color="auto" w:fill="auto"/>
            <w:noWrap w:val="0"/>
            <w:vAlign w:val="center"/>
          </w:tcPr>
          <w:p w14:paraId="4481CA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0.0600</w:t>
            </w:r>
          </w:p>
        </w:tc>
        <w:tc>
          <w:tcPr>
            <w:tcW w:w="2975" w:type="dxa"/>
            <w:gridSpan w:val="2"/>
            <w:tcBorders>
              <w:tl2br w:val="nil"/>
              <w:tr2bl w:val="nil"/>
            </w:tcBorders>
            <w:shd w:val="clear" w:color="auto" w:fill="auto"/>
            <w:noWrap w:val="0"/>
            <w:vAlign w:val="center"/>
          </w:tcPr>
          <w:p w14:paraId="0FF491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0.0467</w:t>
            </w:r>
          </w:p>
        </w:tc>
      </w:tr>
      <w:tr w14:paraId="69DC9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shd w:val="clear" w:color="auto" w:fill="auto"/>
            <w:noWrap/>
            <w:vAlign w:val="center"/>
          </w:tcPr>
          <w:p w14:paraId="4C263643">
            <w:pPr>
              <w:pStyle w:val="85"/>
              <w:keepNext w:val="0"/>
              <w:keepLines w:val="0"/>
              <w:pageBreakBefore w:val="0"/>
              <w:widowControl w:val="0"/>
              <w:kinsoku/>
              <w:wordWrap/>
              <w:topLinePunct w:val="0"/>
              <w:bidi w:val="0"/>
              <w:snapToGrid/>
              <w:ind w:firstLine="0" w:firstLineChars="0"/>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w:t>
            </w:r>
          </w:p>
        </w:tc>
        <w:tc>
          <w:tcPr>
            <w:tcW w:w="1420" w:type="pct"/>
            <w:tcBorders>
              <w:tl2br w:val="nil"/>
              <w:tr2bl w:val="nil"/>
            </w:tcBorders>
            <w:shd w:val="clear" w:color="auto" w:fill="auto"/>
            <w:noWrap w:val="0"/>
            <w:vAlign w:val="center"/>
          </w:tcPr>
          <w:p w14:paraId="36BD26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975" w:type="dxa"/>
            <w:gridSpan w:val="2"/>
            <w:tcBorders>
              <w:tl2br w:val="nil"/>
              <w:tr2bl w:val="nil"/>
            </w:tcBorders>
            <w:shd w:val="clear" w:color="auto" w:fill="auto"/>
            <w:noWrap w:val="0"/>
            <w:vAlign w:val="center"/>
          </w:tcPr>
          <w:p w14:paraId="75BEEB1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0.0158</w:t>
            </w:r>
          </w:p>
        </w:tc>
        <w:tc>
          <w:tcPr>
            <w:tcW w:w="2975" w:type="dxa"/>
            <w:gridSpan w:val="2"/>
            <w:tcBorders>
              <w:tl2br w:val="nil"/>
              <w:tr2bl w:val="nil"/>
            </w:tcBorders>
            <w:shd w:val="clear" w:color="auto" w:fill="auto"/>
            <w:noWrap w:val="0"/>
            <w:vAlign w:val="center"/>
          </w:tcPr>
          <w:p w14:paraId="31AEC8F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0.0142</w:t>
            </w:r>
          </w:p>
        </w:tc>
      </w:tr>
      <w:tr w14:paraId="7557F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vMerge w:val="restart"/>
            <w:tcBorders>
              <w:tl2br w:val="nil"/>
              <w:tr2bl w:val="nil"/>
            </w:tcBorders>
            <w:vAlign w:val="center"/>
          </w:tcPr>
          <w:p w14:paraId="3B39472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监测项目</w:t>
            </w:r>
          </w:p>
        </w:tc>
        <w:tc>
          <w:tcPr>
            <w:tcW w:w="3232" w:type="pct"/>
            <w:gridSpan w:val="4"/>
            <w:tcBorders>
              <w:tl2br w:val="nil"/>
              <w:tr2bl w:val="nil"/>
            </w:tcBorders>
            <w:vAlign w:val="center"/>
          </w:tcPr>
          <w:p w14:paraId="6061E6C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T2</w:t>
            </w:r>
          </w:p>
        </w:tc>
      </w:tr>
      <w:tr w14:paraId="44840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vMerge w:val="continue"/>
            <w:tcBorders>
              <w:tl2br w:val="nil"/>
              <w:tr2bl w:val="nil"/>
            </w:tcBorders>
            <w:vAlign w:val="center"/>
          </w:tcPr>
          <w:p w14:paraId="682EB77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1082" w:type="pct"/>
            <w:tcBorders>
              <w:tl2br w:val="nil"/>
              <w:tr2bl w:val="nil"/>
            </w:tcBorders>
            <w:vAlign w:val="center"/>
          </w:tcPr>
          <w:p w14:paraId="1E5F7E7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0-0.5m</w:t>
            </w:r>
          </w:p>
        </w:tc>
        <w:tc>
          <w:tcPr>
            <w:tcW w:w="1089" w:type="pct"/>
            <w:gridSpan w:val="2"/>
            <w:tcBorders>
              <w:tl2br w:val="nil"/>
              <w:tr2bl w:val="nil"/>
            </w:tcBorders>
            <w:vAlign w:val="center"/>
          </w:tcPr>
          <w:p w14:paraId="05E48DA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0.5</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1.5m</w:t>
            </w:r>
          </w:p>
        </w:tc>
        <w:tc>
          <w:tcPr>
            <w:tcW w:w="1061" w:type="pct"/>
            <w:tcBorders>
              <w:tl2br w:val="nil"/>
              <w:tr2bl w:val="nil"/>
            </w:tcBorders>
            <w:vAlign w:val="center"/>
          </w:tcPr>
          <w:p w14:paraId="004DD9D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1.5</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3m</w:t>
            </w:r>
          </w:p>
        </w:tc>
      </w:tr>
      <w:tr w14:paraId="171F0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tcBorders>
              <w:tl2br w:val="nil"/>
              <w:tr2bl w:val="nil"/>
            </w:tcBorders>
            <w:vAlign w:val="center"/>
          </w:tcPr>
          <w:p w14:paraId="20E845D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992" w:type="dxa"/>
            <w:tcBorders>
              <w:tl2br w:val="nil"/>
              <w:tr2bl w:val="nil"/>
            </w:tcBorders>
            <w:vAlign w:val="center"/>
          </w:tcPr>
          <w:p w14:paraId="454F92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0.0349</w:t>
            </w:r>
          </w:p>
        </w:tc>
        <w:tc>
          <w:tcPr>
            <w:tcW w:w="2005" w:type="dxa"/>
            <w:gridSpan w:val="2"/>
            <w:tcBorders>
              <w:tl2br w:val="nil"/>
              <w:tr2bl w:val="nil"/>
            </w:tcBorders>
            <w:vAlign w:val="center"/>
          </w:tcPr>
          <w:p w14:paraId="2C453A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0.0124</w:t>
            </w:r>
          </w:p>
        </w:tc>
        <w:tc>
          <w:tcPr>
            <w:tcW w:w="1953" w:type="dxa"/>
            <w:tcBorders>
              <w:tl2br w:val="nil"/>
              <w:tr2bl w:val="nil"/>
            </w:tcBorders>
            <w:vAlign w:val="center"/>
          </w:tcPr>
          <w:p w14:paraId="5B88C4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0.0031</w:t>
            </w:r>
          </w:p>
        </w:tc>
      </w:tr>
      <w:tr w14:paraId="2C960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vMerge w:val="restart"/>
            <w:tcBorders>
              <w:tl2br w:val="nil"/>
              <w:tr2bl w:val="nil"/>
            </w:tcBorders>
            <w:vAlign w:val="center"/>
          </w:tcPr>
          <w:p w14:paraId="207906C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监测项目</w:t>
            </w:r>
          </w:p>
        </w:tc>
        <w:tc>
          <w:tcPr>
            <w:tcW w:w="3232" w:type="pct"/>
            <w:gridSpan w:val="4"/>
            <w:tcBorders>
              <w:tl2br w:val="nil"/>
              <w:tr2bl w:val="nil"/>
            </w:tcBorders>
            <w:vAlign w:val="center"/>
          </w:tcPr>
          <w:p w14:paraId="2C3194A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T3</w:t>
            </w:r>
          </w:p>
        </w:tc>
      </w:tr>
      <w:tr w14:paraId="55C75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vMerge w:val="continue"/>
            <w:tcBorders>
              <w:tl2br w:val="nil"/>
              <w:tr2bl w:val="nil"/>
            </w:tcBorders>
            <w:vAlign w:val="center"/>
          </w:tcPr>
          <w:p w14:paraId="08A855A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82" w:type="pct"/>
            <w:tcBorders>
              <w:tl2br w:val="nil"/>
              <w:tr2bl w:val="nil"/>
            </w:tcBorders>
            <w:vAlign w:val="center"/>
          </w:tcPr>
          <w:p w14:paraId="31DDE34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0-0.5m</w:t>
            </w:r>
          </w:p>
        </w:tc>
        <w:tc>
          <w:tcPr>
            <w:tcW w:w="1089" w:type="pct"/>
            <w:gridSpan w:val="2"/>
            <w:tcBorders>
              <w:tl2br w:val="nil"/>
              <w:tr2bl w:val="nil"/>
            </w:tcBorders>
            <w:vAlign w:val="center"/>
          </w:tcPr>
          <w:p w14:paraId="49D8E9F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0.5</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1.5m</w:t>
            </w:r>
          </w:p>
        </w:tc>
        <w:tc>
          <w:tcPr>
            <w:tcW w:w="1061" w:type="pct"/>
            <w:tcBorders>
              <w:tl2br w:val="nil"/>
              <w:tr2bl w:val="nil"/>
            </w:tcBorders>
            <w:vAlign w:val="center"/>
          </w:tcPr>
          <w:p w14:paraId="3872755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1.5</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3m</w:t>
            </w:r>
          </w:p>
        </w:tc>
      </w:tr>
      <w:tr w14:paraId="21F94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tcBorders>
              <w:tl2br w:val="nil"/>
              <w:tr2bl w:val="nil"/>
            </w:tcBorders>
            <w:vAlign w:val="center"/>
          </w:tcPr>
          <w:p w14:paraId="45B2B88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992" w:type="dxa"/>
            <w:tcBorders>
              <w:tl2br w:val="nil"/>
              <w:tr2bl w:val="nil"/>
            </w:tcBorders>
            <w:vAlign w:val="center"/>
          </w:tcPr>
          <w:p w14:paraId="1AE617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0.0293</w:t>
            </w:r>
          </w:p>
        </w:tc>
        <w:tc>
          <w:tcPr>
            <w:tcW w:w="2005" w:type="dxa"/>
            <w:gridSpan w:val="2"/>
            <w:tcBorders>
              <w:tl2br w:val="nil"/>
              <w:tr2bl w:val="nil"/>
            </w:tcBorders>
            <w:vAlign w:val="center"/>
          </w:tcPr>
          <w:p w14:paraId="45542B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0.0124</w:t>
            </w:r>
          </w:p>
        </w:tc>
        <w:tc>
          <w:tcPr>
            <w:tcW w:w="1953" w:type="dxa"/>
            <w:tcBorders>
              <w:tl2br w:val="nil"/>
              <w:tr2bl w:val="nil"/>
            </w:tcBorders>
            <w:vAlign w:val="center"/>
          </w:tcPr>
          <w:p w14:paraId="2C8104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0.0040</w:t>
            </w:r>
          </w:p>
        </w:tc>
      </w:tr>
      <w:tr w14:paraId="6DA0F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vMerge w:val="restart"/>
            <w:tcBorders>
              <w:tl2br w:val="nil"/>
              <w:tr2bl w:val="nil"/>
            </w:tcBorders>
            <w:vAlign w:val="center"/>
          </w:tcPr>
          <w:p w14:paraId="31575BE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监测项目</w:t>
            </w:r>
          </w:p>
        </w:tc>
        <w:tc>
          <w:tcPr>
            <w:tcW w:w="3232" w:type="pct"/>
            <w:gridSpan w:val="4"/>
            <w:tcBorders>
              <w:tl2br w:val="nil"/>
              <w:tr2bl w:val="nil"/>
            </w:tcBorders>
            <w:vAlign w:val="center"/>
          </w:tcPr>
          <w:p w14:paraId="12FBF2A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T4</w:t>
            </w:r>
          </w:p>
        </w:tc>
      </w:tr>
      <w:tr w14:paraId="1D9B5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vMerge w:val="continue"/>
            <w:tcBorders>
              <w:tl2br w:val="nil"/>
              <w:tr2bl w:val="nil"/>
            </w:tcBorders>
            <w:vAlign w:val="center"/>
          </w:tcPr>
          <w:p w14:paraId="4BB7F86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232" w:type="pct"/>
            <w:gridSpan w:val="4"/>
            <w:tcBorders>
              <w:tl2br w:val="nil"/>
              <w:tr2bl w:val="nil"/>
            </w:tcBorders>
            <w:vAlign w:val="center"/>
          </w:tcPr>
          <w:p w14:paraId="24C52D2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m</w:t>
            </w:r>
          </w:p>
        </w:tc>
      </w:tr>
      <w:tr w14:paraId="6422C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67" w:type="pct"/>
            <w:gridSpan w:val="2"/>
            <w:tcBorders>
              <w:tl2br w:val="nil"/>
              <w:tr2bl w:val="nil"/>
            </w:tcBorders>
            <w:vAlign w:val="center"/>
          </w:tcPr>
          <w:p w14:paraId="4FC4E9D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3232" w:type="pct"/>
            <w:gridSpan w:val="4"/>
            <w:tcBorders>
              <w:tl2br w:val="nil"/>
              <w:tr2bl w:val="nil"/>
            </w:tcBorders>
            <w:vAlign w:val="center"/>
          </w:tcPr>
          <w:p w14:paraId="2EC3D7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0.0096</w:t>
            </w:r>
          </w:p>
        </w:tc>
      </w:tr>
    </w:tbl>
    <w:p w14:paraId="61A5410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（4）评价结论</w:t>
      </w:r>
    </w:p>
    <w:p w14:paraId="3447E60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从表中可以看出，评价区域内土壤环境质量较好，没有出现超标情况。</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临时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地内土壤满足《土壤环境质量建设用地土壤污染风险管控标准（试行）》（GB36600-2018）中表1建设用地土壤污染风险筛选值（基本项目）中第二类用地筛选值标准，以及表2（其他项目）中第二类用地筛选值标准；评价范围内耕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草地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土壤满足《土壤环境质量农用地土壤污染风险管控标准（试行）》（GB15618-2018）表1农用地土壤风险筛选值（基本项目）中标准。</w:t>
      </w:r>
    </w:p>
    <w:p w14:paraId="0F444072">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4.3.</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生态环境现状评价</w:t>
      </w:r>
    </w:p>
    <w:p w14:paraId="0B912579">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生态功能区划</w:t>
      </w:r>
    </w:p>
    <w:p w14:paraId="3360C11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根据黑龙江省人民政府批准的《黑龙江省生态功能区划》（黑政函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75号），</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本项目所在区域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属于松嫩平原西部草甸草原生态区，松嫩平原西部草甸草原与农业生态亚区，</w:t>
      </w:r>
      <w:r>
        <w:rPr>
          <w:rFonts w:hint="default" w:ascii="Times New Roman" w:hAnsi="Times New Roman" w:eastAsia="宋体" w:cs="Times New Roman"/>
          <w:color w:val="000000" w:themeColor="text1"/>
          <w:sz w:val="24"/>
          <w:szCs w:val="24"/>
          <w:highlight w:val="none"/>
          <w14:textFill>
            <w14:solidFill>
              <w14:schemeClr w14:val="tx1"/>
            </w14:solidFill>
          </w14:textFill>
        </w:rPr>
        <w:t>大庆地区矿业与土壤保持生态功能区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。本工程区生态功能区划见表4.3-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6ECAE8A">
      <w:pPr>
        <w:pStyle w:val="61"/>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表4.3-2</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本工程区域生态功能区划表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113"/>
        <w:gridCol w:w="2349"/>
        <w:gridCol w:w="1867"/>
        <w:gridCol w:w="3017"/>
      </w:tblGrid>
      <w:tr w14:paraId="1488A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0" w:type="pct"/>
            <w:gridSpan w:val="3"/>
            <w:tcBorders>
              <w:tl2br w:val="nil"/>
              <w:tr2bl w:val="nil"/>
            </w:tcBorders>
            <w:vAlign w:val="center"/>
          </w:tcPr>
          <w:p w14:paraId="082066E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项目区生态功能分区单元</w:t>
            </w:r>
          </w:p>
        </w:tc>
        <w:tc>
          <w:tcPr>
            <w:tcW w:w="1005" w:type="pct"/>
            <w:tcBorders>
              <w:tl2br w:val="nil"/>
              <w:tr2bl w:val="nil"/>
            </w:tcBorders>
            <w:vAlign w:val="center"/>
          </w:tcPr>
          <w:p w14:paraId="14B66A1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主要生态系统服务功能</w:t>
            </w:r>
          </w:p>
        </w:tc>
        <w:tc>
          <w:tcPr>
            <w:tcW w:w="1624" w:type="pct"/>
            <w:tcBorders>
              <w:tl2br w:val="nil"/>
              <w:tr2bl w:val="nil"/>
            </w:tcBorders>
            <w:vAlign w:val="center"/>
          </w:tcPr>
          <w:p w14:paraId="299D84F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保护措施与发展方向</w:t>
            </w:r>
          </w:p>
        </w:tc>
      </w:tr>
      <w:tr w14:paraId="2D5FE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07" w:type="pct"/>
            <w:vMerge w:val="restart"/>
            <w:tcBorders>
              <w:tl2br w:val="nil"/>
              <w:tr2bl w:val="nil"/>
            </w:tcBorders>
            <w:vAlign w:val="center"/>
          </w:tcPr>
          <w:p w14:paraId="3F180E9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I-06松嫩平原西部草甸草原生态区</w:t>
            </w:r>
          </w:p>
        </w:tc>
        <w:tc>
          <w:tcPr>
            <w:tcW w:w="599" w:type="pct"/>
            <w:vMerge w:val="restart"/>
            <w:tcBorders>
              <w:tl2br w:val="nil"/>
              <w:tr2bl w:val="nil"/>
            </w:tcBorders>
            <w:vAlign w:val="center"/>
          </w:tcPr>
          <w:p w14:paraId="36322AA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I-06-01松嫩平原西部草甸草原与农业生态亚区</w:t>
            </w:r>
          </w:p>
        </w:tc>
        <w:tc>
          <w:tcPr>
            <w:tcW w:w="1263" w:type="pct"/>
            <w:tcBorders>
              <w:tl2br w:val="nil"/>
              <w:tr2bl w:val="nil"/>
            </w:tcBorders>
            <w:vAlign w:val="center"/>
          </w:tcPr>
          <w:p w14:paraId="1D70AA9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I-06-01-02大庆地区矿业与土壤保持生态功能区</w:t>
            </w:r>
          </w:p>
        </w:tc>
        <w:tc>
          <w:tcPr>
            <w:tcW w:w="1005" w:type="pct"/>
            <w:tcBorders>
              <w:tl2br w:val="nil"/>
              <w:tr2bl w:val="nil"/>
            </w:tcBorders>
            <w:vAlign w:val="center"/>
          </w:tcPr>
          <w:p w14:paraId="3FB541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沙漠化控制、植被保护、生物多样性保护、石油开采</w:t>
            </w:r>
          </w:p>
        </w:tc>
        <w:tc>
          <w:tcPr>
            <w:tcW w:w="1624" w:type="pct"/>
            <w:tcBorders>
              <w:tl2br w:val="nil"/>
              <w:tr2bl w:val="nil"/>
            </w:tcBorders>
            <w:vAlign w:val="center"/>
          </w:tcPr>
          <w:p w14:paraId="2F4138D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逐步恢复草原面积，加大对漏斗区的回注，防止漏斗区继续形成，控制对水环境的影响，科学发展农牧业</w:t>
            </w:r>
          </w:p>
        </w:tc>
      </w:tr>
      <w:tr w14:paraId="794DC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07" w:type="pct"/>
            <w:vMerge w:val="continue"/>
            <w:tcBorders>
              <w:tl2br w:val="nil"/>
              <w:tr2bl w:val="nil"/>
            </w:tcBorders>
            <w:vAlign w:val="center"/>
          </w:tcPr>
          <w:p w14:paraId="3AD573F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99" w:type="pct"/>
            <w:vMerge w:val="continue"/>
            <w:tcBorders>
              <w:tl2br w:val="nil"/>
              <w:tr2bl w:val="nil"/>
            </w:tcBorders>
            <w:vAlign w:val="center"/>
          </w:tcPr>
          <w:p w14:paraId="5D1D561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63" w:type="pct"/>
            <w:tcBorders>
              <w:tl2br w:val="nil"/>
              <w:tr2bl w:val="nil"/>
            </w:tcBorders>
            <w:vAlign w:val="center"/>
          </w:tcPr>
          <w:p w14:paraId="5B09DC3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I-06-01-02</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安达</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肇东</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肇源农、牧业与盐渍化控制生态功能区肇州县、肇东市和安达市，面积 10000平</w:t>
            </w:r>
          </w:p>
        </w:tc>
        <w:tc>
          <w:tcPr>
            <w:tcW w:w="1005" w:type="pct"/>
            <w:tcBorders>
              <w:tl2br w:val="nil"/>
              <w:tr2bl w:val="nil"/>
            </w:tcBorders>
            <w:vAlign w:val="center"/>
          </w:tcPr>
          <w:p w14:paraId="6CBE643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盐渍化控制、生态系统产品提供</w:t>
            </w:r>
          </w:p>
        </w:tc>
        <w:tc>
          <w:tcPr>
            <w:tcW w:w="1624" w:type="pct"/>
            <w:tcBorders>
              <w:tl2br w:val="nil"/>
              <w:tr2bl w:val="nil"/>
            </w:tcBorders>
            <w:vAlign w:val="center"/>
          </w:tcPr>
          <w:p w14:paraId="7501794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对草地进行恢复，禁止盲目开荒，对家畜实行圈养或轮牧，加大生态农业建设</w:t>
            </w:r>
          </w:p>
        </w:tc>
      </w:tr>
    </w:tbl>
    <w:p w14:paraId="457F0B5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.2区域土地利用现状</w:t>
      </w:r>
    </w:p>
    <w:p w14:paraId="068F4FB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按照《土地利用现状分类》（GB210210-2017）的分类系统，《土地利用现状分类》国家标准采用一级、二级两个层次的分类体系，共分12个一级类、73个二级类。</w:t>
      </w:r>
    </w:p>
    <w:p w14:paraId="7B7FB78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评价范围土地利用现状分类系统按照全国土地利用分类系统标准，</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调查采用2023年9月5日的哨兵2号遥感卫星影像（分辨率10m），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在ArcGIS10.2软件支持下，进行数据解译、编绘成图，在此基础上，分析评价范围土地利用现状。</w:t>
      </w:r>
    </w:p>
    <w:p w14:paraId="2F83737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本项目生态评价范围内主要以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耕地（基本农田）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、草地（非基本草原）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为主。由于工程所在区域为已开发区，人类活动频繁，野生动物较少。本次评价将评价区土地利用类型主要分为耕地、草地、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工矿仓储用地、交通运输用地等。耕地主要为旱田地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及水田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，种植玉米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等农作物；草地主要为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羊草、杂类草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；林地主要为人工小青杨林，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按照《土地利用现状分类》（GB210210-2017）的分类系统，工矿仓储用地主要为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工业用地及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采矿用地；交通运输用地主要为城镇村道路用地。评价区土地利用分类见表4.3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，评价区土地利用结构见表4.3-2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，区域生态评价范围内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土地利用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现状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附图4-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DD1013D">
      <w:pPr>
        <w:widowControl w:val="0"/>
        <w:autoSpaceDE w:val="0"/>
        <w:autoSpaceDN w:val="0"/>
        <w:spacing w:after="0"/>
        <w:jc w:val="center"/>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kern w:val="2"/>
          <w:sz w:val="24"/>
          <w:szCs w:val="24"/>
          <w:highlight w:val="none"/>
          <w:lang w:val="en-US"/>
          <w14:textFill>
            <w14:solidFill>
              <w14:schemeClr w14:val="tx1"/>
            </w14:solidFill>
          </w14:textFill>
        </w:rPr>
        <w:t>4.3-2</w:t>
      </w:r>
      <w:r>
        <w:rPr>
          <w:rFonts w:hint="eastAsia"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 xml:space="preserve">5  </w:t>
      </w:r>
      <w:r>
        <w:rPr>
          <w:rFonts w:hint="default" w:ascii="Times New Roman" w:hAnsi="Times New Roman" w:eastAsia="宋体" w:cs="Times New Roman"/>
          <w:b/>
          <w:color w:val="000000" w:themeColor="text1"/>
          <w:kern w:val="2"/>
          <w:sz w:val="24"/>
          <w:szCs w:val="24"/>
          <w:highlight w:val="none"/>
          <w:lang w:val="en-US"/>
          <w14:textFill>
            <w14:solidFill>
              <w14:schemeClr w14:val="tx1"/>
            </w14:solidFill>
          </w14:textFill>
        </w:rPr>
        <w:t>评价区土地利用分类</w:t>
      </w:r>
    </w:p>
    <w:tbl>
      <w:tblPr>
        <w:tblStyle w:val="19"/>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333"/>
        <w:gridCol w:w="733"/>
        <w:gridCol w:w="1284"/>
        <w:gridCol w:w="5280"/>
      </w:tblGrid>
      <w:tr w14:paraId="22AA8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1" w:type="dxa"/>
            <w:gridSpan w:val="2"/>
            <w:tcBorders>
              <w:tl2br w:val="nil"/>
              <w:tr2bl w:val="nil"/>
            </w:tcBorders>
          </w:tcPr>
          <w:p w14:paraId="080C175B">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一级类</w:t>
            </w:r>
          </w:p>
        </w:tc>
        <w:tc>
          <w:tcPr>
            <w:tcW w:w="2017" w:type="dxa"/>
            <w:gridSpan w:val="2"/>
            <w:tcBorders>
              <w:tl2br w:val="nil"/>
              <w:tr2bl w:val="nil"/>
            </w:tcBorders>
          </w:tcPr>
          <w:p w14:paraId="35066D4A">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二级类</w:t>
            </w:r>
          </w:p>
        </w:tc>
        <w:tc>
          <w:tcPr>
            <w:tcW w:w="5280" w:type="dxa"/>
            <w:vMerge w:val="restart"/>
            <w:tcBorders>
              <w:tl2br w:val="nil"/>
              <w:tr2bl w:val="nil"/>
            </w:tcBorders>
          </w:tcPr>
          <w:p w14:paraId="5120329A">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含义</w:t>
            </w:r>
          </w:p>
        </w:tc>
      </w:tr>
      <w:tr w14:paraId="36C32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1463690B">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编码</w:t>
            </w:r>
          </w:p>
        </w:tc>
        <w:tc>
          <w:tcPr>
            <w:tcW w:w="1333" w:type="dxa"/>
            <w:tcBorders>
              <w:tl2br w:val="nil"/>
              <w:tr2bl w:val="nil"/>
            </w:tcBorders>
            <w:vAlign w:val="center"/>
          </w:tcPr>
          <w:p w14:paraId="6C693276">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名称</w:t>
            </w:r>
          </w:p>
        </w:tc>
        <w:tc>
          <w:tcPr>
            <w:tcW w:w="733" w:type="dxa"/>
            <w:tcBorders>
              <w:tl2br w:val="nil"/>
              <w:tr2bl w:val="nil"/>
            </w:tcBorders>
            <w:vAlign w:val="center"/>
          </w:tcPr>
          <w:p w14:paraId="7C8FB936">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编码</w:t>
            </w:r>
          </w:p>
        </w:tc>
        <w:tc>
          <w:tcPr>
            <w:tcW w:w="1284" w:type="dxa"/>
            <w:tcBorders>
              <w:tl2br w:val="nil"/>
              <w:tr2bl w:val="nil"/>
            </w:tcBorders>
            <w:vAlign w:val="center"/>
          </w:tcPr>
          <w:p w14:paraId="1898B019">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名称</w:t>
            </w:r>
          </w:p>
        </w:tc>
        <w:tc>
          <w:tcPr>
            <w:tcW w:w="5280" w:type="dxa"/>
            <w:vMerge w:val="continue"/>
            <w:tcBorders>
              <w:tl2br w:val="nil"/>
              <w:tr2bl w:val="nil"/>
            </w:tcBorders>
          </w:tcPr>
          <w:p w14:paraId="779BF0D0">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r>
      <w:tr w14:paraId="2531B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58" w:type="dxa"/>
            <w:tcBorders>
              <w:tl2br w:val="nil"/>
              <w:tr2bl w:val="nil"/>
            </w:tcBorders>
            <w:vAlign w:val="center"/>
          </w:tcPr>
          <w:p w14:paraId="77A48ACB">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01</w:t>
            </w:r>
          </w:p>
        </w:tc>
        <w:tc>
          <w:tcPr>
            <w:tcW w:w="1333" w:type="dxa"/>
            <w:tcBorders>
              <w:tl2br w:val="nil"/>
              <w:tr2bl w:val="nil"/>
            </w:tcBorders>
            <w:vAlign w:val="center"/>
          </w:tcPr>
          <w:p w14:paraId="2ECE6713">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耕地</w:t>
            </w:r>
          </w:p>
        </w:tc>
        <w:tc>
          <w:tcPr>
            <w:tcW w:w="733" w:type="dxa"/>
            <w:tcBorders>
              <w:tl2br w:val="nil"/>
              <w:tr2bl w:val="nil"/>
            </w:tcBorders>
            <w:vAlign w:val="center"/>
          </w:tcPr>
          <w:p w14:paraId="4A90E74B">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0103</w:t>
            </w:r>
          </w:p>
        </w:tc>
        <w:tc>
          <w:tcPr>
            <w:tcW w:w="1284" w:type="dxa"/>
            <w:tcBorders>
              <w:tl2br w:val="nil"/>
              <w:tr2bl w:val="nil"/>
            </w:tcBorders>
            <w:vAlign w:val="center"/>
          </w:tcPr>
          <w:p w14:paraId="2260640F">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旱地</w:t>
            </w:r>
          </w:p>
        </w:tc>
        <w:tc>
          <w:tcPr>
            <w:tcW w:w="5280" w:type="dxa"/>
            <w:tcBorders>
              <w:tl2br w:val="nil"/>
              <w:tr2bl w:val="nil"/>
            </w:tcBorders>
            <w:vAlign w:val="center"/>
          </w:tcPr>
          <w:p w14:paraId="5128A230">
            <w:pPr>
              <w:widowControl w:val="0"/>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指无灌溉设备，主要靠天然降水种植旱生农作物的耕地，包括没有灌溉设施，紧靠引洪淤灌的耕地。</w:t>
            </w:r>
          </w:p>
        </w:tc>
      </w:tr>
      <w:tr w14:paraId="4FA6A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2026E063">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03</w:t>
            </w:r>
          </w:p>
        </w:tc>
        <w:tc>
          <w:tcPr>
            <w:tcW w:w="1333" w:type="dxa"/>
            <w:tcBorders>
              <w:tl2br w:val="nil"/>
              <w:tr2bl w:val="nil"/>
            </w:tcBorders>
            <w:vAlign w:val="center"/>
          </w:tcPr>
          <w:p w14:paraId="7F05A160">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林地</w:t>
            </w:r>
          </w:p>
        </w:tc>
        <w:tc>
          <w:tcPr>
            <w:tcW w:w="733" w:type="dxa"/>
            <w:tcBorders>
              <w:tl2br w:val="nil"/>
              <w:tr2bl w:val="nil"/>
            </w:tcBorders>
            <w:vAlign w:val="center"/>
          </w:tcPr>
          <w:p w14:paraId="049C9626">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0301</w:t>
            </w:r>
          </w:p>
        </w:tc>
        <w:tc>
          <w:tcPr>
            <w:tcW w:w="1284" w:type="dxa"/>
            <w:tcBorders>
              <w:tl2br w:val="nil"/>
              <w:tr2bl w:val="nil"/>
            </w:tcBorders>
            <w:vAlign w:val="center"/>
          </w:tcPr>
          <w:p w14:paraId="0D8C485A">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乔木林地</w:t>
            </w:r>
          </w:p>
        </w:tc>
        <w:tc>
          <w:tcPr>
            <w:tcW w:w="5280" w:type="dxa"/>
            <w:tcBorders>
              <w:tl2br w:val="nil"/>
              <w:tr2bl w:val="nil"/>
            </w:tcBorders>
            <w:vAlign w:val="center"/>
          </w:tcPr>
          <w:p w14:paraId="6AC67194">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指乔木郁闭度</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2的林地，不包括森林沼泽。</w:t>
            </w:r>
          </w:p>
        </w:tc>
      </w:tr>
      <w:tr w14:paraId="127B1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59707967">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04</w:t>
            </w:r>
          </w:p>
        </w:tc>
        <w:tc>
          <w:tcPr>
            <w:tcW w:w="1333" w:type="dxa"/>
            <w:tcBorders>
              <w:tl2br w:val="nil"/>
              <w:tr2bl w:val="nil"/>
            </w:tcBorders>
            <w:vAlign w:val="center"/>
          </w:tcPr>
          <w:p w14:paraId="7C01C9C4">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草地</w:t>
            </w:r>
          </w:p>
        </w:tc>
        <w:tc>
          <w:tcPr>
            <w:tcW w:w="733" w:type="dxa"/>
            <w:tcBorders>
              <w:tl2br w:val="nil"/>
              <w:tr2bl w:val="nil"/>
            </w:tcBorders>
            <w:vAlign w:val="center"/>
          </w:tcPr>
          <w:p w14:paraId="59383217">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0404</w:t>
            </w:r>
          </w:p>
        </w:tc>
        <w:tc>
          <w:tcPr>
            <w:tcW w:w="1284" w:type="dxa"/>
            <w:tcBorders>
              <w:tl2br w:val="nil"/>
              <w:tr2bl w:val="nil"/>
            </w:tcBorders>
            <w:vAlign w:val="center"/>
          </w:tcPr>
          <w:p w14:paraId="1BBE5F2C">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其他草地</w:t>
            </w:r>
          </w:p>
        </w:tc>
        <w:tc>
          <w:tcPr>
            <w:tcW w:w="5280" w:type="dxa"/>
            <w:tcBorders>
              <w:tl2br w:val="nil"/>
              <w:tr2bl w:val="nil"/>
            </w:tcBorders>
            <w:vAlign w:val="center"/>
          </w:tcPr>
          <w:p w14:paraId="1D392419">
            <w:pPr>
              <w:widowControl w:val="0"/>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指树木郁闭度&lt;0.1，表层为土质，不用于放牧的草地。</w:t>
            </w:r>
          </w:p>
        </w:tc>
      </w:tr>
      <w:tr w14:paraId="2AD11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58" w:type="dxa"/>
            <w:tcBorders>
              <w:tl2br w:val="nil"/>
              <w:tr2bl w:val="nil"/>
            </w:tcBorders>
            <w:shd w:val="clear" w:color="auto" w:fill="auto"/>
            <w:vAlign w:val="center"/>
          </w:tcPr>
          <w:p w14:paraId="0E31F0A2">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06</w:t>
            </w:r>
          </w:p>
        </w:tc>
        <w:tc>
          <w:tcPr>
            <w:tcW w:w="1333" w:type="dxa"/>
            <w:tcBorders>
              <w:tl2br w:val="nil"/>
              <w:tr2bl w:val="nil"/>
            </w:tcBorders>
            <w:shd w:val="clear" w:color="auto" w:fill="auto"/>
            <w:vAlign w:val="center"/>
          </w:tcPr>
          <w:p w14:paraId="621B8118">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工矿仓储</w:t>
            </w:r>
          </w:p>
          <w:p w14:paraId="458DA87D">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用地</w:t>
            </w:r>
          </w:p>
        </w:tc>
        <w:tc>
          <w:tcPr>
            <w:tcW w:w="733" w:type="dxa"/>
            <w:tcBorders>
              <w:tl2br w:val="nil"/>
              <w:tr2bl w:val="nil"/>
            </w:tcBorders>
            <w:shd w:val="clear" w:color="auto" w:fill="auto"/>
            <w:vAlign w:val="center"/>
          </w:tcPr>
          <w:p w14:paraId="021CF2A3">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0602</w:t>
            </w:r>
          </w:p>
        </w:tc>
        <w:tc>
          <w:tcPr>
            <w:tcW w:w="1284" w:type="dxa"/>
            <w:tcBorders>
              <w:tl2br w:val="nil"/>
              <w:tr2bl w:val="nil"/>
            </w:tcBorders>
            <w:shd w:val="clear" w:color="auto" w:fill="auto"/>
            <w:vAlign w:val="center"/>
          </w:tcPr>
          <w:p w14:paraId="3130C21A">
            <w:pPr>
              <w:widowControl w:val="0"/>
              <w:adjustRightInd w:val="0"/>
              <w:snapToGrid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采矿用地</w:t>
            </w:r>
          </w:p>
        </w:tc>
        <w:tc>
          <w:tcPr>
            <w:tcW w:w="5280" w:type="dxa"/>
            <w:tcBorders>
              <w:tl2br w:val="nil"/>
              <w:tr2bl w:val="nil"/>
            </w:tcBorders>
            <w:shd w:val="clear" w:color="auto" w:fill="auto"/>
            <w:vAlign w:val="center"/>
          </w:tcPr>
          <w:p w14:paraId="5D5483C5">
            <w:pPr>
              <w:keepNext w:val="0"/>
              <w:keepLines w:val="0"/>
              <w:pageBreakBefore w:val="0"/>
              <w:widowControl w:val="0"/>
              <w:tabs>
                <w:tab w:val="left" w:pos="990"/>
              </w:tabs>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指采矿、采石、采砂（沙）场，砖瓦窑等地面生产用地，排土（石）及尾矿堆放地。</w:t>
            </w:r>
          </w:p>
        </w:tc>
      </w:tr>
      <w:tr w14:paraId="51136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4B01B20F">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07</w:t>
            </w:r>
          </w:p>
        </w:tc>
        <w:tc>
          <w:tcPr>
            <w:tcW w:w="1333" w:type="dxa"/>
            <w:tcBorders>
              <w:tl2br w:val="nil"/>
              <w:tr2bl w:val="nil"/>
            </w:tcBorders>
            <w:vAlign w:val="center"/>
          </w:tcPr>
          <w:p w14:paraId="6B458953">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住宅用地</w:t>
            </w:r>
          </w:p>
        </w:tc>
        <w:tc>
          <w:tcPr>
            <w:tcW w:w="733" w:type="dxa"/>
            <w:tcBorders>
              <w:tl2br w:val="nil"/>
              <w:tr2bl w:val="nil"/>
            </w:tcBorders>
            <w:vAlign w:val="center"/>
          </w:tcPr>
          <w:p w14:paraId="17549153">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0702</w:t>
            </w:r>
          </w:p>
        </w:tc>
        <w:tc>
          <w:tcPr>
            <w:tcW w:w="1284" w:type="dxa"/>
            <w:tcBorders>
              <w:tl2br w:val="nil"/>
              <w:tr2bl w:val="nil"/>
            </w:tcBorders>
            <w:vAlign w:val="center"/>
          </w:tcPr>
          <w:p w14:paraId="2F9EA9DB">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农村宅基地</w:t>
            </w:r>
          </w:p>
        </w:tc>
        <w:tc>
          <w:tcPr>
            <w:tcW w:w="5280" w:type="dxa"/>
            <w:tcBorders>
              <w:tl2br w:val="nil"/>
              <w:tr2bl w:val="nil"/>
            </w:tcBorders>
            <w:vAlign w:val="center"/>
          </w:tcPr>
          <w:p w14:paraId="21E7855F">
            <w:pPr>
              <w:widowControl w:val="0"/>
              <w:spacing w:after="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 xml:space="preserve">    指农村用于生活居住的宅基地。</w:t>
            </w:r>
          </w:p>
        </w:tc>
      </w:tr>
      <w:tr w14:paraId="09AC1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1D55DA3F">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10</w:t>
            </w:r>
          </w:p>
        </w:tc>
        <w:tc>
          <w:tcPr>
            <w:tcW w:w="1333" w:type="dxa"/>
            <w:vMerge w:val="restart"/>
            <w:tcBorders>
              <w:tl2br w:val="nil"/>
              <w:tr2bl w:val="nil"/>
            </w:tcBorders>
            <w:vAlign w:val="center"/>
          </w:tcPr>
          <w:p w14:paraId="395A067B">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交通运输</w:t>
            </w:r>
          </w:p>
          <w:p w14:paraId="0CFE227C">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用地</w:t>
            </w:r>
          </w:p>
        </w:tc>
        <w:tc>
          <w:tcPr>
            <w:tcW w:w="733" w:type="dxa"/>
            <w:tcBorders>
              <w:tl2br w:val="nil"/>
              <w:tr2bl w:val="nil"/>
            </w:tcBorders>
            <w:vAlign w:val="center"/>
          </w:tcPr>
          <w:p w14:paraId="10A71A8D">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1003</w:t>
            </w:r>
          </w:p>
        </w:tc>
        <w:tc>
          <w:tcPr>
            <w:tcW w:w="1284" w:type="dxa"/>
            <w:tcBorders>
              <w:tl2br w:val="nil"/>
              <w:tr2bl w:val="nil"/>
            </w:tcBorders>
            <w:vAlign w:val="center"/>
          </w:tcPr>
          <w:p w14:paraId="1E48159A">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公路用地</w:t>
            </w:r>
          </w:p>
        </w:tc>
        <w:tc>
          <w:tcPr>
            <w:tcW w:w="5280" w:type="dxa"/>
            <w:tcBorders>
              <w:tl2br w:val="nil"/>
              <w:tr2bl w:val="nil"/>
            </w:tcBorders>
            <w:vAlign w:val="center"/>
          </w:tcPr>
          <w:p w14:paraId="66A72DAA">
            <w:pPr>
              <w:widowControl w:val="0"/>
              <w:spacing w:after="0"/>
              <w:ind w:firstLine="420" w:firstLineChars="200"/>
              <w:jc w:val="both"/>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指用于国道、省道、县道和乡道的用地。包括征地范围内的路堤、路堑、道沟、桥梁、汽车停靠站、林木及直接为其服务的附属用地。</w:t>
            </w:r>
          </w:p>
        </w:tc>
      </w:tr>
      <w:tr w14:paraId="68642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3695C35C">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11</w:t>
            </w:r>
          </w:p>
        </w:tc>
        <w:tc>
          <w:tcPr>
            <w:tcW w:w="1333" w:type="dxa"/>
            <w:vMerge w:val="continue"/>
            <w:tcBorders>
              <w:tl2br w:val="nil"/>
              <w:tr2bl w:val="nil"/>
            </w:tcBorders>
            <w:vAlign w:val="center"/>
          </w:tcPr>
          <w:p w14:paraId="22600570">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p>
        </w:tc>
        <w:tc>
          <w:tcPr>
            <w:tcW w:w="733" w:type="dxa"/>
            <w:tcBorders>
              <w:tl2br w:val="nil"/>
              <w:tr2bl w:val="nil"/>
            </w:tcBorders>
            <w:vAlign w:val="center"/>
          </w:tcPr>
          <w:p w14:paraId="4787B354">
            <w:pPr>
              <w:widowControl w:val="0"/>
              <w:spacing w:after="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1004</w:t>
            </w:r>
          </w:p>
        </w:tc>
        <w:tc>
          <w:tcPr>
            <w:tcW w:w="1284" w:type="dxa"/>
            <w:tcBorders>
              <w:tl2br w:val="nil"/>
              <w:tr2bl w:val="nil"/>
            </w:tcBorders>
            <w:vAlign w:val="center"/>
          </w:tcPr>
          <w:p w14:paraId="526C1A65">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农村道路</w:t>
            </w:r>
          </w:p>
        </w:tc>
        <w:tc>
          <w:tcPr>
            <w:tcW w:w="5280" w:type="dxa"/>
            <w:tcBorders>
              <w:tl2br w:val="nil"/>
              <w:tr2bl w:val="nil"/>
            </w:tcBorders>
            <w:vAlign w:val="center"/>
          </w:tcPr>
          <w:p w14:paraId="2799876F">
            <w:pPr>
              <w:widowControl w:val="0"/>
              <w:spacing w:after="0"/>
              <w:ind w:firstLine="420" w:firstLineChars="200"/>
              <w:jc w:val="both"/>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指城镇、村庄范围内公用道路及行道树用地</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包括快速路、主干路、次干路、支路、专用人行道和非机动车道，及其交叉口等。</w:t>
            </w:r>
          </w:p>
        </w:tc>
      </w:tr>
      <w:tr w14:paraId="3D06A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8" w:type="dxa"/>
            <w:tcBorders>
              <w:tl2br w:val="nil"/>
              <w:tr2bl w:val="nil"/>
            </w:tcBorders>
            <w:vAlign w:val="center"/>
          </w:tcPr>
          <w:p w14:paraId="6CB2C656">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12</w:t>
            </w:r>
          </w:p>
        </w:tc>
        <w:tc>
          <w:tcPr>
            <w:tcW w:w="1333" w:type="dxa"/>
            <w:tcBorders>
              <w:tl2br w:val="nil"/>
              <w:tr2bl w:val="nil"/>
            </w:tcBorders>
            <w:vAlign w:val="center"/>
          </w:tcPr>
          <w:p w14:paraId="30BC2761">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水域及水利设施用地</w:t>
            </w:r>
          </w:p>
        </w:tc>
        <w:tc>
          <w:tcPr>
            <w:tcW w:w="733" w:type="dxa"/>
            <w:tcBorders>
              <w:tl2br w:val="nil"/>
              <w:tr2bl w:val="nil"/>
            </w:tcBorders>
            <w:vAlign w:val="center"/>
          </w:tcPr>
          <w:p w14:paraId="16FD2047">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1107</w:t>
            </w:r>
          </w:p>
        </w:tc>
        <w:tc>
          <w:tcPr>
            <w:tcW w:w="1284" w:type="dxa"/>
            <w:tcBorders>
              <w:tl2br w:val="nil"/>
              <w:tr2bl w:val="nil"/>
            </w:tcBorders>
            <w:vAlign w:val="center"/>
          </w:tcPr>
          <w:p w14:paraId="19FE49DA">
            <w:pPr>
              <w:widowControl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沟渠</w:t>
            </w:r>
          </w:p>
        </w:tc>
        <w:tc>
          <w:tcPr>
            <w:tcW w:w="5280" w:type="dxa"/>
            <w:tcBorders>
              <w:tl2br w:val="nil"/>
              <w:tr2bl w:val="nil"/>
            </w:tcBorders>
            <w:vAlign w:val="center"/>
          </w:tcPr>
          <w:p w14:paraId="3719C4B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指人工修建，南方宽度≥1.0m，北方宽度≥2.0m用于引、排、灌的渠道，包括渠槽、渠堤、护堤林及小型泵站。</w:t>
            </w:r>
          </w:p>
        </w:tc>
      </w:tr>
    </w:tbl>
    <w:p w14:paraId="221C7A42">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表4.3-2</w:t>
      </w:r>
      <w:r>
        <w:rPr>
          <w:rFonts w:hint="eastAsia"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评价区土地利用结构</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4331"/>
        <w:gridCol w:w="2088"/>
        <w:gridCol w:w="1871"/>
      </w:tblGrid>
      <w:tr w14:paraId="6E2FC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2C8EF8DE">
            <w:pPr>
              <w:keepNext w:val="0"/>
              <w:keepLines w:val="0"/>
              <w:pageBreakBefore w:val="0"/>
              <w:widowControl w:val="0"/>
              <w:kinsoku/>
              <w:wordWrap/>
              <w:topLinePunct w:val="0"/>
              <w:bidi w:val="0"/>
              <w:spacing w:after="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bookmarkStart w:id="75" w:name="_Toc203187743"/>
            <w:bookmarkStart w:id="76" w:name="_Toc136397593"/>
            <w:bookmarkStart w:id="77" w:name="_Toc87157160"/>
            <w:bookmarkStart w:id="78" w:name="_Toc138724949"/>
            <w:bookmarkStart w:id="79" w:name="_Toc88110731"/>
            <w:bookmarkStart w:id="80" w:name="_Toc86727607"/>
            <w:bookmarkStart w:id="81" w:name="_Toc56909268"/>
            <w:bookmarkStart w:id="82" w:name="_Toc56909590"/>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序号</w:t>
            </w:r>
          </w:p>
        </w:tc>
        <w:tc>
          <w:tcPr>
            <w:tcW w:w="2331" w:type="pct"/>
            <w:tcBorders>
              <w:tl2br w:val="nil"/>
              <w:tr2bl w:val="nil"/>
            </w:tcBorders>
            <w:shd w:val="clear" w:color="auto" w:fill="auto"/>
            <w:vAlign w:val="center"/>
          </w:tcPr>
          <w:p w14:paraId="3DBEB740">
            <w:pPr>
              <w:keepNext w:val="0"/>
              <w:keepLines w:val="0"/>
              <w:pageBreakBefore w:val="0"/>
              <w:widowControl w:val="0"/>
              <w:kinsoku/>
              <w:wordWrap/>
              <w:topLinePunct w:val="0"/>
              <w:bidi w:val="0"/>
              <w:spacing w:after="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地类</w:t>
            </w:r>
          </w:p>
        </w:tc>
        <w:tc>
          <w:tcPr>
            <w:tcW w:w="1124" w:type="pct"/>
            <w:tcBorders>
              <w:tl2br w:val="nil"/>
              <w:tr2bl w:val="nil"/>
            </w:tcBorders>
            <w:shd w:val="clear" w:color="auto" w:fill="auto"/>
            <w:vAlign w:val="center"/>
          </w:tcPr>
          <w:p w14:paraId="57B0AD10">
            <w:pPr>
              <w:keepNext w:val="0"/>
              <w:keepLines w:val="0"/>
              <w:pageBreakBefore w:val="0"/>
              <w:widowControl w:val="0"/>
              <w:kinsoku/>
              <w:wordWrap/>
              <w:topLinePunct w:val="0"/>
              <w:bidi w:val="0"/>
              <w:spacing w:after="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面积（km</w:t>
            </w:r>
            <w:r>
              <w:rPr>
                <w:rFonts w:hint="default" w:ascii="Times New Roman" w:hAnsi="Times New Roman" w:eastAsia="宋体" w:cs="Times New Roman"/>
                <w:b/>
                <w:bCs/>
                <w:color w:val="000000" w:themeColor="text1"/>
                <w:kern w:val="2"/>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w:t>
            </w:r>
          </w:p>
        </w:tc>
        <w:tc>
          <w:tcPr>
            <w:tcW w:w="1007" w:type="pct"/>
            <w:tcBorders>
              <w:tl2br w:val="nil"/>
              <w:tr2bl w:val="nil"/>
            </w:tcBorders>
            <w:shd w:val="clear" w:color="auto" w:fill="auto"/>
            <w:vAlign w:val="center"/>
          </w:tcPr>
          <w:p w14:paraId="648E4F47">
            <w:pPr>
              <w:keepNext w:val="0"/>
              <w:keepLines w:val="0"/>
              <w:pageBreakBefore w:val="0"/>
              <w:widowControl w:val="0"/>
              <w:kinsoku/>
              <w:wordWrap/>
              <w:topLinePunct w:val="0"/>
              <w:bidi w:val="0"/>
              <w:spacing w:after="0"/>
              <w:jc w:val="cente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比例（%）</w:t>
            </w:r>
          </w:p>
        </w:tc>
      </w:tr>
      <w:tr w14:paraId="6B749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3C7D209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p>
        </w:tc>
        <w:tc>
          <w:tcPr>
            <w:tcW w:w="2331" w:type="pct"/>
            <w:tcBorders>
              <w:tl2br w:val="nil"/>
              <w:tr2bl w:val="nil"/>
            </w:tcBorders>
            <w:shd w:val="clear" w:color="auto" w:fill="auto"/>
            <w:vAlign w:val="bottom"/>
          </w:tcPr>
          <w:p w14:paraId="4D3A2B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采矿用地</w:t>
            </w:r>
          </w:p>
        </w:tc>
        <w:tc>
          <w:tcPr>
            <w:tcW w:w="1124" w:type="pct"/>
            <w:tcBorders>
              <w:tl2br w:val="nil"/>
              <w:tr2bl w:val="nil"/>
            </w:tcBorders>
            <w:shd w:val="clear" w:color="auto" w:fill="auto"/>
            <w:vAlign w:val="bottom"/>
          </w:tcPr>
          <w:p w14:paraId="7CF845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0.39</w:t>
            </w:r>
          </w:p>
        </w:tc>
        <w:tc>
          <w:tcPr>
            <w:tcW w:w="1007" w:type="pct"/>
            <w:tcBorders>
              <w:tl2br w:val="nil"/>
              <w:tr2bl w:val="nil"/>
            </w:tcBorders>
            <w:shd w:val="clear" w:color="auto" w:fill="auto"/>
            <w:vAlign w:val="bottom"/>
          </w:tcPr>
          <w:p w14:paraId="206824A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3.62</w:t>
            </w:r>
          </w:p>
        </w:tc>
      </w:tr>
      <w:tr w14:paraId="608EC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132B6833">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p>
        </w:tc>
        <w:tc>
          <w:tcPr>
            <w:tcW w:w="2331" w:type="pct"/>
            <w:tcBorders>
              <w:tl2br w:val="nil"/>
              <w:tr2bl w:val="nil"/>
            </w:tcBorders>
            <w:shd w:val="clear" w:color="auto" w:fill="auto"/>
            <w:vAlign w:val="bottom"/>
          </w:tcPr>
          <w:p w14:paraId="4A4594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公路用地</w:t>
            </w:r>
          </w:p>
        </w:tc>
        <w:tc>
          <w:tcPr>
            <w:tcW w:w="1124" w:type="pct"/>
            <w:tcBorders>
              <w:tl2br w:val="nil"/>
              <w:tr2bl w:val="nil"/>
            </w:tcBorders>
            <w:shd w:val="clear" w:color="auto" w:fill="auto"/>
            <w:vAlign w:val="bottom"/>
          </w:tcPr>
          <w:p w14:paraId="3C270C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1007" w:type="pct"/>
            <w:tcBorders>
              <w:tl2br w:val="nil"/>
              <w:tr2bl w:val="nil"/>
            </w:tcBorders>
            <w:shd w:val="clear" w:color="auto" w:fill="auto"/>
            <w:vAlign w:val="bottom"/>
          </w:tcPr>
          <w:p w14:paraId="26BCDB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w:t>
            </w:r>
          </w:p>
        </w:tc>
      </w:tr>
      <w:tr w14:paraId="2AFF4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37" w:type="pct"/>
            <w:tcBorders>
              <w:tl2br w:val="nil"/>
              <w:tr2bl w:val="nil"/>
            </w:tcBorders>
            <w:shd w:val="clear" w:color="auto" w:fill="auto"/>
            <w:vAlign w:val="center"/>
          </w:tcPr>
          <w:p w14:paraId="642D2019">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w:t>
            </w:r>
          </w:p>
        </w:tc>
        <w:tc>
          <w:tcPr>
            <w:tcW w:w="2331" w:type="pct"/>
            <w:tcBorders>
              <w:tl2br w:val="nil"/>
              <w:tr2bl w:val="nil"/>
            </w:tcBorders>
            <w:shd w:val="clear" w:color="auto" w:fill="auto"/>
            <w:vAlign w:val="bottom"/>
          </w:tcPr>
          <w:p w14:paraId="21F4CB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其他草地</w:t>
            </w:r>
          </w:p>
        </w:tc>
        <w:tc>
          <w:tcPr>
            <w:tcW w:w="1124" w:type="pct"/>
            <w:tcBorders>
              <w:tl2br w:val="nil"/>
              <w:tr2bl w:val="nil"/>
            </w:tcBorders>
            <w:shd w:val="clear" w:color="auto" w:fill="auto"/>
            <w:vAlign w:val="bottom"/>
          </w:tcPr>
          <w:p w14:paraId="5F7625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4.01</w:t>
            </w:r>
          </w:p>
        </w:tc>
        <w:tc>
          <w:tcPr>
            <w:tcW w:w="1007" w:type="pct"/>
            <w:tcBorders>
              <w:tl2br w:val="nil"/>
              <w:tr2bl w:val="nil"/>
            </w:tcBorders>
            <w:shd w:val="clear" w:color="auto" w:fill="auto"/>
            <w:vAlign w:val="bottom"/>
          </w:tcPr>
          <w:p w14:paraId="607B10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37.23</w:t>
            </w:r>
          </w:p>
        </w:tc>
      </w:tr>
      <w:tr w14:paraId="75A01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7F7B6A03">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4</w:t>
            </w:r>
          </w:p>
        </w:tc>
        <w:tc>
          <w:tcPr>
            <w:tcW w:w="2331" w:type="pct"/>
            <w:tcBorders>
              <w:tl2br w:val="nil"/>
              <w:tr2bl w:val="nil"/>
            </w:tcBorders>
            <w:shd w:val="clear" w:color="auto" w:fill="auto"/>
            <w:vAlign w:val="bottom"/>
          </w:tcPr>
          <w:p w14:paraId="72D2F6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沟渠</w:t>
            </w:r>
          </w:p>
        </w:tc>
        <w:tc>
          <w:tcPr>
            <w:tcW w:w="1124" w:type="pct"/>
            <w:tcBorders>
              <w:tl2br w:val="nil"/>
              <w:tr2bl w:val="nil"/>
            </w:tcBorders>
            <w:shd w:val="clear" w:color="auto" w:fill="auto"/>
            <w:vAlign w:val="bottom"/>
          </w:tcPr>
          <w:p w14:paraId="11E5AF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1007" w:type="pct"/>
            <w:tcBorders>
              <w:tl2br w:val="nil"/>
              <w:tr2bl w:val="nil"/>
            </w:tcBorders>
            <w:shd w:val="clear" w:color="auto" w:fill="auto"/>
            <w:vAlign w:val="bottom"/>
          </w:tcPr>
          <w:p w14:paraId="7397D2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w:t>
            </w:r>
          </w:p>
        </w:tc>
      </w:tr>
      <w:tr w14:paraId="4A635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25237A3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w:t>
            </w:r>
          </w:p>
        </w:tc>
        <w:tc>
          <w:tcPr>
            <w:tcW w:w="2331" w:type="pct"/>
            <w:tcBorders>
              <w:tl2br w:val="nil"/>
              <w:tr2bl w:val="nil"/>
            </w:tcBorders>
            <w:shd w:val="clear" w:color="auto" w:fill="auto"/>
            <w:vAlign w:val="bottom"/>
          </w:tcPr>
          <w:p w14:paraId="290E54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乔木林地</w:t>
            </w:r>
          </w:p>
        </w:tc>
        <w:tc>
          <w:tcPr>
            <w:tcW w:w="1124" w:type="pct"/>
            <w:tcBorders>
              <w:tl2br w:val="nil"/>
              <w:tr2bl w:val="nil"/>
            </w:tcBorders>
            <w:shd w:val="clear" w:color="auto" w:fill="auto"/>
            <w:vAlign w:val="bottom"/>
          </w:tcPr>
          <w:p w14:paraId="428EE7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0.21</w:t>
            </w:r>
          </w:p>
        </w:tc>
        <w:tc>
          <w:tcPr>
            <w:tcW w:w="1007" w:type="pct"/>
            <w:tcBorders>
              <w:tl2br w:val="nil"/>
              <w:tr2bl w:val="nil"/>
            </w:tcBorders>
            <w:shd w:val="clear" w:color="auto" w:fill="auto"/>
            <w:vAlign w:val="bottom"/>
          </w:tcPr>
          <w:p w14:paraId="08A741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1.95</w:t>
            </w:r>
          </w:p>
        </w:tc>
      </w:tr>
      <w:tr w14:paraId="2711F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7" w:type="pct"/>
            <w:tcBorders>
              <w:tl2br w:val="nil"/>
              <w:tr2bl w:val="nil"/>
            </w:tcBorders>
            <w:shd w:val="clear" w:color="auto" w:fill="auto"/>
            <w:vAlign w:val="center"/>
          </w:tcPr>
          <w:p w14:paraId="3E7E16E6">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6</w:t>
            </w:r>
          </w:p>
        </w:tc>
        <w:tc>
          <w:tcPr>
            <w:tcW w:w="2331" w:type="pct"/>
            <w:tcBorders>
              <w:tl2br w:val="nil"/>
              <w:tr2bl w:val="nil"/>
            </w:tcBorders>
            <w:shd w:val="clear" w:color="auto" w:fill="auto"/>
            <w:vAlign w:val="bottom"/>
          </w:tcPr>
          <w:p w14:paraId="550841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农村道路</w:t>
            </w:r>
          </w:p>
        </w:tc>
        <w:tc>
          <w:tcPr>
            <w:tcW w:w="1124" w:type="pct"/>
            <w:tcBorders>
              <w:tl2br w:val="nil"/>
              <w:tr2bl w:val="nil"/>
            </w:tcBorders>
            <w:shd w:val="clear" w:color="auto" w:fill="auto"/>
            <w:vAlign w:val="bottom"/>
          </w:tcPr>
          <w:p w14:paraId="2BDEAC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w:t>
            </w:r>
          </w:p>
        </w:tc>
        <w:tc>
          <w:tcPr>
            <w:tcW w:w="1007" w:type="pct"/>
            <w:tcBorders>
              <w:tl2br w:val="nil"/>
              <w:tr2bl w:val="nil"/>
            </w:tcBorders>
            <w:shd w:val="clear" w:color="auto" w:fill="auto"/>
            <w:vAlign w:val="bottom"/>
          </w:tcPr>
          <w:p w14:paraId="3D9E2EF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0.28</w:t>
            </w:r>
          </w:p>
        </w:tc>
      </w:tr>
      <w:tr w14:paraId="6B8A7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5A6C1AAC">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7</w:t>
            </w:r>
          </w:p>
        </w:tc>
        <w:tc>
          <w:tcPr>
            <w:tcW w:w="2331" w:type="pct"/>
            <w:tcBorders>
              <w:tl2br w:val="nil"/>
              <w:tr2bl w:val="nil"/>
            </w:tcBorders>
            <w:shd w:val="clear" w:color="auto" w:fill="auto"/>
            <w:vAlign w:val="bottom"/>
          </w:tcPr>
          <w:p w14:paraId="77251D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农村宅基地</w:t>
            </w:r>
          </w:p>
        </w:tc>
        <w:tc>
          <w:tcPr>
            <w:tcW w:w="1124" w:type="pct"/>
            <w:tcBorders>
              <w:tl2br w:val="nil"/>
              <w:tr2bl w:val="nil"/>
            </w:tcBorders>
            <w:shd w:val="clear" w:color="auto" w:fill="auto"/>
            <w:vAlign w:val="bottom"/>
          </w:tcPr>
          <w:p w14:paraId="2CB811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0.15</w:t>
            </w:r>
          </w:p>
        </w:tc>
        <w:tc>
          <w:tcPr>
            <w:tcW w:w="1007" w:type="pct"/>
            <w:tcBorders>
              <w:tl2br w:val="nil"/>
              <w:tr2bl w:val="nil"/>
            </w:tcBorders>
            <w:shd w:val="clear" w:color="auto" w:fill="auto"/>
            <w:vAlign w:val="bottom"/>
          </w:tcPr>
          <w:p w14:paraId="3D403B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1.39</w:t>
            </w:r>
          </w:p>
        </w:tc>
      </w:tr>
      <w:tr w14:paraId="11FB1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5385CCE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8</w:t>
            </w:r>
          </w:p>
        </w:tc>
        <w:tc>
          <w:tcPr>
            <w:tcW w:w="2331" w:type="pct"/>
            <w:tcBorders>
              <w:tl2br w:val="nil"/>
              <w:tr2bl w:val="nil"/>
            </w:tcBorders>
            <w:shd w:val="clear" w:color="auto" w:fill="auto"/>
            <w:vAlign w:val="bottom"/>
          </w:tcPr>
          <w:p w14:paraId="66EB08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旱地</w:t>
            </w:r>
          </w:p>
        </w:tc>
        <w:tc>
          <w:tcPr>
            <w:tcW w:w="1124" w:type="pct"/>
            <w:tcBorders>
              <w:tl2br w:val="nil"/>
              <w:tr2bl w:val="nil"/>
            </w:tcBorders>
            <w:shd w:val="clear" w:color="auto" w:fill="auto"/>
            <w:vAlign w:val="bottom"/>
          </w:tcPr>
          <w:p w14:paraId="5CE608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5.96</w:t>
            </w:r>
          </w:p>
        </w:tc>
        <w:tc>
          <w:tcPr>
            <w:tcW w:w="1007" w:type="pct"/>
            <w:tcBorders>
              <w:tl2br w:val="nil"/>
              <w:tr2bl w:val="nil"/>
            </w:tcBorders>
            <w:shd w:val="clear" w:color="auto" w:fill="auto"/>
            <w:vAlign w:val="bottom"/>
          </w:tcPr>
          <w:p w14:paraId="2272BFF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55.34</w:t>
            </w:r>
          </w:p>
        </w:tc>
      </w:tr>
      <w:tr w14:paraId="67795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7" w:type="pct"/>
            <w:tcBorders>
              <w:tl2br w:val="nil"/>
              <w:tr2bl w:val="nil"/>
            </w:tcBorders>
            <w:shd w:val="clear" w:color="auto" w:fill="auto"/>
            <w:vAlign w:val="center"/>
          </w:tcPr>
          <w:p w14:paraId="6567D5DB">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9</w:t>
            </w:r>
          </w:p>
        </w:tc>
        <w:tc>
          <w:tcPr>
            <w:tcW w:w="2331" w:type="pct"/>
            <w:tcBorders>
              <w:tl2br w:val="nil"/>
              <w:tr2bl w:val="nil"/>
            </w:tcBorders>
            <w:shd w:val="clear" w:color="auto" w:fill="auto"/>
            <w:vAlign w:val="bottom"/>
          </w:tcPr>
          <w:p w14:paraId="0EF751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1124" w:type="pct"/>
            <w:tcBorders>
              <w:tl2br w:val="nil"/>
              <w:tr2bl w:val="nil"/>
            </w:tcBorders>
            <w:shd w:val="clear" w:color="auto" w:fill="auto"/>
            <w:vAlign w:val="bottom"/>
          </w:tcPr>
          <w:p w14:paraId="50EC96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10.77</w:t>
            </w:r>
          </w:p>
        </w:tc>
        <w:tc>
          <w:tcPr>
            <w:tcW w:w="1007" w:type="pct"/>
            <w:tcBorders>
              <w:tl2br w:val="nil"/>
              <w:tr2bl w:val="nil"/>
            </w:tcBorders>
            <w:shd w:val="clear" w:color="auto" w:fill="auto"/>
            <w:vAlign w:val="bottom"/>
          </w:tcPr>
          <w:p w14:paraId="390634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r>
    </w:tbl>
    <w:p w14:paraId="2E5536C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从表中可以看出，本评价区内</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旱地</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占主要地位，面积为</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5.96</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km</w:t>
      </w:r>
      <w:r>
        <w:rPr>
          <w:rFonts w:hint="default" w:ascii="Times New Roman" w:hAnsi="Times New Roman" w:eastAsia="宋体" w:cs="Times New Roman"/>
          <w:color w:val="000000" w:themeColor="text1"/>
          <w:kern w:val="2"/>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，占评价区总体面积的</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55.34</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%；其次为</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其他草地、采矿用地</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占评价区总面积的比例较小。</w:t>
      </w:r>
      <w:bookmarkEnd w:id="75"/>
      <w:bookmarkEnd w:id="76"/>
      <w:bookmarkEnd w:id="77"/>
      <w:bookmarkEnd w:id="78"/>
      <w:bookmarkEnd w:id="79"/>
      <w:bookmarkEnd w:id="80"/>
      <w:bookmarkEnd w:id="81"/>
      <w:bookmarkEnd w:id="82"/>
    </w:p>
    <w:p w14:paraId="056FE254">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.3植被现状调查</w:t>
      </w:r>
    </w:p>
    <w:p w14:paraId="0A7A226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庆市位于松嫩平原，地势低，地带性植被为草甸草原，是我国温带草原的一部分，也是欧亚大陆草原的最东端，以丛生禾草和根茎禾草为其主要成分。由于湖泊、沼泽和盐碱化洼地的大面积分布，非地带性植被面积也较大，并有较多的盐生植物群落。</w:t>
      </w:r>
    </w:p>
    <w:p w14:paraId="6E51101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（1）植物区系特征</w:t>
      </w:r>
    </w:p>
    <w:p w14:paraId="003A844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本区植物区系成分主要包括长白植物区系、蒙古植物区系、华北植物区系和大兴安岭植物区系。以蒙古草原植物区系成分占优势，常见的优势种和伴生种多属蒙古植物区系成分，如羊草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Aneurolepidiumchinense</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、贝加尔针茅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Stipabaicalensis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、大针茅（</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S.grandis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）、线叶菊（</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Filifoliumsibiricum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）、星星草（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Puccinelliatenuifolia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）等。长白植物区系，也称满洲植物区系，在本区分布的种数仅次于蒙古植物区系，如木贼（</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Equisetumhyemale</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）、普通蓼（</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Polygoeummanshuricum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）、野大豆（</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Glycinesoja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）、水车前（</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Otteliaalimoides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）、狼爪瓦松（</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Orostachyscartilaginous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）等。华北植物区系成分所占比例不大，主要有细叶地榆（</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Samguisorbatenuifolia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）、柴胡（</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Bupleurumscorzonerifolium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）、糙隐子草（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C.squarrosa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w:t>
      </w:r>
    </w:p>
    <w:p w14:paraId="2256E69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（2）主要植被类型</w:t>
      </w:r>
    </w:p>
    <w:p w14:paraId="06EF466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评价区域内植被类型以农田为主。评价区属于松嫩平原区，粮食耕作历史悠久，栽培植被是最重要的植被类型，但是目前由于旱涝、盐碱、风沙等因素，区域内的农田多属于中、低产农田。粮食作物主要为玉米</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、水稻</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p>
    <w:p w14:paraId="7BBF6DE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根据卫星解译结果，结合实地调查和专家咨询，评价区植被类型主要有玉米</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、水稻</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，羊草、杂类草草原</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，人工小青杨林</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等，评价区植被面积统计见表4.3-2</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，植被类型图见附图4-</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p>
    <w:p w14:paraId="124DAF2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表4.3-2</w:t>
      </w:r>
      <w:r>
        <w:rPr>
          <w:rFonts w:hint="eastAsia"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评价区各类型植被的面积统计</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87"/>
        <w:gridCol w:w="3175"/>
        <w:gridCol w:w="2726"/>
      </w:tblGrid>
      <w:tr w14:paraId="42BFB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23" w:type="pct"/>
            <w:vMerge w:val="restart"/>
            <w:tcBorders>
              <w:tl2br w:val="nil"/>
              <w:tr2bl w:val="nil"/>
            </w:tcBorders>
            <w:noWrap w:val="0"/>
            <w:vAlign w:val="center"/>
          </w:tcPr>
          <w:p w14:paraId="43FF0AA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类型</w:t>
            </w:r>
          </w:p>
        </w:tc>
        <w:tc>
          <w:tcPr>
            <w:tcW w:w="3176" w:type="pct"/>
            <w:gridSpan w:val="2"/>
            <w:tcBorders>
              <w:tl2br w:val="nil"/>
              <w:tr2bl w:val="nil"/>
            </w:tcBorders>
            <w:noWrap w:val="0"/>
            <w:vAlign w:val="center"/>
          </w:tcPr>
          <w:p w14:paraId="7FD7DF7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评价区</w:t>
            </w:r>
          </w:p>
        </w:tc>
      </w:tr>
      <w:tr w14:paraId="4534C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23" w:type="pct"/>
            <w:vMerge w:val="continue"/>
            <w:tcBorders>
              <w:tl2br w:val="nil"/>
              <w:tr2bl w:val="nil"/>
            </w:tcBorders>
            <w:noWrap w:val="0"/>
            <w:vAlign w:val="center"/>
          </w:tcPr>
          <w:p w14:paraId="6D70A93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p>
        </w:tc>
        <w:tc>
          <w:tcPr>
            <w:tcW w:w="1709" w:type="pct"/>
            <w:tcBorders>
              <w:tl2br w:val="nil"/>
              <w:tr2bl w:val="nil"/>
            </w:tcBorders>
            <w:noWrap w:val="0"/>
            <w:vAlign w:val="center"/>
          </w:tcPr>
          <w:p w14:paraId="1AE2EA5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面积</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km</w:t>
            </w:r>
            <w:r>
              <w:rPr>
                <w:rFonts w:hint="default" w:ascii="Times New Roman" w:hAnsi="Times New Roman" w:eastAsia="宋体" w:cs="Times New Roman"/>
                <w:b/>
                <w:bCs/>
                <w:color w:val="000000" w:themeColor="text1"/>
                <w:kern w:val="0"/>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p>
        </w:tc>
        <w:tc>
          <w:tcPr>
            <w:tcW w:w="1467" w:type="pct"/>
            <w:tcBorders>
              <w:tl2br w:val="nil"/>
              <w:tr2bl w:val="nil"/>
            </w:tcBorders>
            <w:noWrap w:val="0"/>
            <w:vAlign w:val="center"/>
          </w:tcPr>
          <w:p w14:paraId="0DCAD60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比例</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w:t>
            </w:r>
          </w:p>
        </w:tc>
      </w:tr>
      <w:tr w14:paraId="6D7BE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23" w:type="pct"/>
            <w:tcBorders>
              <w:tl2br w:val="nil"/>
              <w:tr2bl w:val="nil"/>
            </w:tcBorders>
            <w:noWrap w:val="0"/>
            <w:vAlign w:val="bottom"/>
          </w:tcPr>
          <w:p w14:paraId="095126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羊草、杂类草</w:t>
            </w:r>
          </w:p>
        </w:tc>
        <w:tc>
          <w:tcPr>
            <w:tcW w:w="1709" w:type="pct"/>
            <w:tcBorders>
              <w:tl2br w:val="nil"/>
              <w:tr2bl w:val="nil"/>
            </w:tcBorders>
            <w:noWrap w:val="0"/>
            <w:vAlign w:val="bottom"/>
          </w:tcPr>
          <w:p w14:paraId="1E98E7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4.01</w:t>
            </w:r>
          </w:p>
        </w:tc>
        <w:tc>
          <w:tcPr>
            <w:tcW w:w="1467" w:type="pct"/>
            <w:tcBorders>
              <w:tl2br w:val="nil"/>
              <w:tr2bl w:val="nil"/>
            </w:tcBorders>
            <w:noWrap w:val="0"/>
            <w:vAlign w:val="bottom"/>
          </w:tcPr>
          <w:p w14:paraId="541445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39.39</w:t>
            </w:r>
          </w:p>
        </w:tc>
      </w:tr>
      <w:tr w14:paraId="7A485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23" w:type="pct"/>
            <w:tcBorders>
              <w:tl2br w:val="nil"/>
              <w:tr2bl w:val="nil"/>
            </w:tcBorders>
            <w:noWrap w:val="0"/>
            <w:vAlign w:val="bottom"/>
          </w:tcPr>
          <w:p w14:paraId="1608C0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人工小青杨林</w:t>
            </w:r>
          </w:p>
        </w:tc>
        <w:tc>
          <w:tcPr>
            <w:tcW w:w="1709" w:type="pct"/>
            <w:tcBorders>
              <w:tl2br w:val="nil"/>
              <w:tr2bl w:val="nil"/>
            </w:tcBorders>
            <w:noWrap w:val="0"/>
            <w:vAlign w:val="bottom"/>
          </w:tcPr>
          <w:p w14:paraId="615D706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0.21</w:t>
            </w:r>
          </w:p>
        </w:tc>
        <w:tc>
          <w:tcPr>
            <w:tcW w:w="1467" w:type="pct"/>
            <w:tcBorders>
              <w:tl2br w:val="nil"/>
              <w:tr2bl w:val="nil"/>
            </w:tcBorders>
            <w:noWrap w:val="0"/>
            <w:vAlign w:val="bottom"/>
          </w:tcPr>
          <w:p w14:paraId="35FB214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2.06</w:t>
            </w:r>
          </w:p>
        </w:tc>
      </w:tr>
      <w:tr w14:paraId="53B0A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23" w:type="pct"/>
            <w:tcBorders>
              <w:tl2br w:val="nil"/>
              <w:tr2bl w:val="nil"/>
            </w:tcBorders>
            <w:noWrap w:val="0"/>
            <w:vAlign w:val="bottom"/>
          </w:tcPr>
          <w:p w14:paraId="1F54BC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玉米</w:t>
            </w:r>
          </w:p>
        </w:tc>
        <w:tc>
          <w:tcPr>
            <w:tcW w:w="1709" w:type="pct"/>
            <w:tcBorders>
              <w:tl2br w:val="nil"/>
              <w:tr2bl w:val="nil"/>
            </w:tcBorders>
            <w:noWrap w:val="0"/>
            <w:vAlign w:val="bottom"/>
          </w:tcPr>
          <w:p w14:paraId="186375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5.96</w:t>
            </w:r>
          </w:p>
        </w:tc>
        <w:tc>
          <w:tcPr>
            <w:tcW w:w="1467" w:type="pct"/>
            <w:tcBorders>
              <w:tl2br w:val="nil"/>
              <w:tr2bl w:val="nil"/>
            </w:tcBorders>
            <w:noWrap w:val="0"/>
            <w:vAlign w:val="bottom"/>
          </w:tcPr>
          <w:p w14:paraId="312D97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58.55</w:t>
            </w:r>
          </w:p>
        </w:tc>
      </w:tr>
      <w:tr w14:paraId="4C982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23" w:type="pct"/>
            <w:tcBorders>
              <w:tl2br w:val="nil"/>
              <w:tr2bl w:val="nil"/>
            </w:tcBorders>
            <w:noWrap w:val="0"/>
            <w:vAlign w:val="bottom"/>
          </w:tcPr>
          <w:p w14:paraId="04F2509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1709" w:type="pct"/>
            <w:tcBorders>
              <w:tl2br w:val="nil"/>
              <w:tr2bl w:val="nil"/>
            </w:tcBorders>
            <w:noWrap w:val="0"/>
            <w:vAlign w:val="bottom"/>
          </w:tcPr>
          <w:p w14:paraId="7E5847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10.18</w:t>
            </w:r>
          </w:p>
        </w:tc>
        <w:tc>
          <w:tcPr>
            <w:tcW w:w="1467" w:type="pct"/>
            <w:tcBorders>
              <w:tl2br w:val="nil"/>
              <w:tr2bl w:val="nil"/>
            </w:tcBorders>
            <w:noWrap w:val="0"/>
            <w:vAlign w:val="bottom"/>
          </w:tcPr>
          <w:p w14:paraId="249A87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r>
    </w:tbl>
    <w:p w14:paraId="5802D9A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2"/>
          <w:highlight w:val="none"/>
          <w14:textFill>
            <w14:solidFill>
              <w14:schemeClr w14:val="tx1"/>
            </w14:solidFill>
          </w14:textFill>
        </w:rPr>
        <w:t>由上表可见，评价区内以</w:t>
      </w:r>
      <w:r>
        <w:rPr>
          <w:rFonts w:hint="eastAsia" w:ascii="Times New Roman" w:hAnsi="Times New Roman" w:eastAsia="宋体" w:cs="Times New Roman"/>
          <w:color w:val="000000" w:themeColor="text1"/>
          <w:kern w:val="2"/>
          <w:sz w:val="24"/>
          <w:szCs w:val="22"/>
          <w:highlight w:val="none"/>
          <w:lang w:val="en-US" w:eastAsia="zh-CN"/>
          <w14:textFill>
            <w14:solidFill>
              <w14:schemeClr w14:val="tx1"/>
            </w14:solidFill>
          </w14:textFill>
        </w:rPr>
        <w:t>玉米</w:t>
      </w:r>
      <w:r>
        <w:rPr>
          <w:rFonts w:hint="default" w:ascii="Times New Roman" w:hAnsi="Times New Roman" w:eastAsia="宋体" w:cs="Times New Roman"/>
          <w:color w:val="000000" w:themeColor="text1"/>
          <w:kern w:val="2"/>
          <w:sz w:val="24"/>
          <w:szCs w:val="22"/>
          <w:highlight w:val="none"/>
          <w:lang w:val="en-US" w:eastAsia="zh-CN"/>
          <w14:textFill>
            <w14:solidFill>
              <w14:schemeClr w14:val="tx1"/>
            </w14:solidFill>
          </w14:textFill>
        </w:rPr>
        <w:t>占优势，为</w:t>
      </w:r>
      <w:r>
        <w:rPr>
          <w:rFonts w:hint="eastAsia" w:ascii="Times New Roman" w:hAnsi="Times New Roman" w:eastAsia="宋体" w:cs="Times New Roman"/>
          <w:color w:val="000000" w:themeColor="text1"/>
          <w:kern w:val="2"/>
          <w:sz w:val="24"/>
          <w:szCs w:val="22"/>
          <w:highlight w:val="none"/>
          <w:lang w:val="en-US" w:eastAsia="zh-CN"/>
          <w14:textFill>
            <w14:solidFill>
              <w14:schemeClr w14:val="tx1"/>
            </w14:solidFill>
          </w14:textFill>
        </w:rPr>
        <w:t>58.55</w:t>
      </w:r>
      <w:r>
        <w:rPr>
          <w:rFonts w:hint="default" w:ascii="Times New Roman" w:hAnsi="Times New Roman" w:eastAsia="宋体" w:cs="Times New Roman"/>
          <w:color w:val="000000" w:themeColor="text1"/>
          <w:kern w:val="2"/>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2"/>
          <w:highlight w:val="none"/>
          <w14:textFill>
            <w14:solidFill>
              <w14:schemeClr w14:val="tx1"/>
            </w14:solidFill>
          </w14:textFill>
        </w:rPr>
        <w:t>。</w:t>
      </w:r>
    </w:p>
    <w:p w14:paraId="42AFB04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A、草甸植被</w:t>
      </w:r>
    </w:p>
    <w:p w14:paraId="08145B3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评价区域内草甸主要包括草甸草原植被和盐生草甸植被。</w:t>
      </w:r>
    </w:p>
    <w:p w14:paraId="5D6B504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草甸草原植被：羊草草甸草原（</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Form.Leymuschinensis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）。羊草草甸草原是欧亚大陆草原区东部一种特有和优势的草原类型，也是本市主要的草甸草原类型。由于羊草具有强烈的根茎繁殖能力，排挤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植物侵入，故种类组成比较单纯，在群落中羊草占绝对优势，是稳定的建群成分。但由于小生境，尤其是土壤类型和土壤盐碱含量的变化，群落组成结构有明显差异，可以区分若干群丛。如羊草-野古草群丛（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Leymuschinensis-Spodipogonsibiticus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）、羊草-箭头唐松草群丛（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Leymuschinensis-Thalictretumsimplex</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）、羊草-拂子茅群丛（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LeymusChinensis-Calamagrostisepigejos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糙隐子草群丛（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LeymusChinensis-Cleistogenessquarrosa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）、羊草-野大麦群丛（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LeymusChinensis-Hordetum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）、羊草-虎尾草群丛（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LeymusChinensis-Chiorisvigata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）、羊草-碱蒿群丛（</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LeymusChinensis-Artemisetum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羊草草甸草原是草原植被中经济价值最高的类型。由于羊草营养价值在整个生长季都很高，适口性强，适于调制干草，是最重要的自然割草场和放牧场。但目前因过度放牧和碱化，草场退化严重。盐生草甸植被：星星草草甸（</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Form.Puccinelliatenuiflora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）。广泛分布在退化草地的碱斑和盐碱化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湖泊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周围，但面积较小，生境较低湿，常有短期积水。此类草甸盖度变化很大，40%-80%。由于生境条件严酷，常以星星草为单优势，甚至无伴生种，可混有少量羊草、野大麦（</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Hordeumbrevisublatum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）、朝鲜碱茅（</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Puccinelliachinampoensis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）、碱地风毛菊（</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Saussurearuncinata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）、碱地肤（</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Kochiasieversianavar.suaedaefolia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）、碱蒿（</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Artemisiaanethifolia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），以及常混有少量一年生的碱蓬（</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Suaedaglauca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）和角碱蓬（</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S.corniculata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）等。马蔺草甸（</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Form.Irisensata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）。主要分布在严重退化草地的碱斑周围。组成以马蔺为优势，伴生种随着小生境土壤的盐分、湿润度的不同而有变化，主要有无脉苔草（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Carexenervis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）、走茎苔草（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C.reptabunda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）、寸草、羊草、赖草及芨芨草（</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Achnatherumsplenden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s），其次间或混有少量的各类杂类草。碱蓬草甸（</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Form.Suaedionglancae</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广泛分布在碱湖周围的碱土和严重退化草地的碱斑上，是草地土壤严重碱化的标志之一，在土壤碱化度达到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况下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才有很好的发育，否则植物稀疏。角碱蓬草甸（</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FromSuaedetumcorniculatae</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）。角碱蓬的生境与碱蓬相似，常与其形成复合分布，也包括原生和次生群落，种类组成较单纯，角碱蓬占绝对优势。</w:t>
      </w:r>
    </w:p>
    <w:p w14:paraId="4E87114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B、经济林</w:t>
      </w:r>
    </w:p>
    <w:p w14:paraId="0D005F0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在评价区内经济林主要为杨树林（</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Form.Populuscanadensis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）。杨树林是评价区人工防护林的主要林种之一，也是评价区内分布最多，最广泛的林木，主要分布在村庄附近、道路两侧及农田周围。杨树林平均树高10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15m，平均胸径15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25cm，平均冠幅2.5m×2.5m。</w:t>
      </w:r>
    </w:p>
    <w:p w14:paraId="528B247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C、农田植被</w:t>
      </w:r>
    </w:p>
    <w:p w14:paraId="3652CC6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评价区属于松嫩平原区，粮食耕作历史悠久，栽培植被是最重要的植被类型，但是目前由于旱涝、盐碱、风沙等因素，区域内的农田多属于中、低产农田。粮食作物主要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玉米为主。</w:t>
      </w:r>
    </w:p>
    <w:p w14:paraId="3D1BC4DB">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.4区域野生动物现状调查</w:t>
      </w:r>
    </w:p>
    <w:p w14:paraId="05F959F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本区域动物区划：古北界—东北亚界—东北区—松辽平原亚区。</w:t>
      </w:r>
    </w:p>
    <w:p w14:paraId="1835B06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（1）陆生哺乳动物</w:t>
      </w:r>
    </w:p>
    <w:p w14:paraId="05D34CB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评价区域为典型农区，其动物的组成与分布具有明显的村栖型特点。主要分布有小家鼠（</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MusmusculusL.</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）、大仓鼠（</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Cricetulustriton</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）、普通田鼠（</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Microtusarvalis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）等啮齿目动物。由于人类活动的干扰，较大型哺乳类动物基本绝迹，但小型哺乳类特别是鼠类仍为常见种。</w:t>
      </w:r>
    </w:p>
    <w:p w14:paraId="0F2E90B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（2）鸟类</w:t>
      </w:r>
    </w:p>
    <w:p w14:paraId="270D824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本区人类生产活动频繁，因此鸟类的种类和分布亦较少。经调查，本区无国家和地方受保护的珍稀濒危野生动物，常见鸟类主要为喜鹊（</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P.picasericeaGould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）、小嘴乌鸦（</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C.coroneorientalisEvers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）、麻雀（</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P.montanusmontanus</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）、家燕（</w:t>
      </w:r>
      <w:r>
        <w:rPr>
          <w:rFonts w:hint="default" w:ascii="Times New Roman" w:hAnsi="Times New Roman" w:eastAsia="宋体" w:cs="Times New Roman"/>
          <w:i/>
          <w:iCs/>
          <w:color w:val="000000" w:themeColor="text1"/>
          <w:sz w:val="24"/>
          <w:szCs w:val="24"/>
          <w:highlight w:val="none"/>
          <w:lang w:val="en-US" w:eastAsia="zh-CN"/>
          <w14:textFill>
            <w14:solidFill>
              <w14:schemeClr w14:val="tx1"/>
            </w14:solidFill>
          </w14:textFill>
        </w:rPr>
        <w:t>H.rusticagutturalisScopoli</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）等村栖型鸟类。</w:t>
      </w:r>
    </w:p>
    <w:p w14:paraId="1C248F6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.5区域生态系统现状评价</w:t>
      </w:r>
    </w:p>
    <w:p w14:paraId="7D90ED94">
      <w:pPr>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根据《绥化市水土保持规划（2015</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2030年）》，绥化市划定了市级水土流失重点预防区和重点治理区，</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本项目</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部分管线位于</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绥化市</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安达</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市境内</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安达</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市不</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属于</w:t>
      </w:r>
      <w:r>
        <w:rPr>
          <w:rFonts w:hint="default" w:ascii="Times New Roman" w:hAnsi="Times New Roman" w:eastAsia="宋体" w:cs="Times New Roman"/>
          <w:snapToGrid/>
          <w:color w:val="000000" w:themeColor="text1"/>
          <w:kern w:val="2"/>
          <w:sz w:val="24"/>
          <w:szCs w:val="24"/>
          <w:highlight w:val="none"/>
          <w:lang w:val="en" w:eastAsia="zh-CN" w:bidi="ar-SA"/>
          <w14:textFill>
            <w14:solidFill>
              <w14:schemeClr w14:val="tx1"/>
            </w14:solidFill>
          </w14:textFill>
        </w:rPr>
        <w:t>市级水土流失重点治理区和重点预防区，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《大庆市水土保持规划（2015</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2030年）》，大庆市划定了市级水土流失重点预防区和重点治理区，</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本项目部分管线位于</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大</w:t>
      </w:r>
      <w:r>
        <w:rPr>
          <w:rFonts w:hint="eastAsia" w:ascii="Times New Roman" w:hAnsi="Times New Roman" w:eastAsia="宋体" w:cs="Times New Roman"/>
          <w:snapToGrid w:val="0"/>
          <w:color w:val="000000" w:themeColor="text1"/>
          <w:sz w:val="24"/>
          <w:szCs w:val="20"/>
          <w:highlight w:val="none"/>
          <w:lang w:eastAsia="zh-CN"/>
          <w14:textFill>
            <w14:solidFill>
              <w14:schemeClr w14:val="tx1"/>
            </w14:solidFill>
          </w14:textFill>
        </w:rPr>
        <w:t>庆市</w:t>
      </w: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大同区祝三乡，属于重点治理区。</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本项目所处水土保持重点治理区示意图见附图1-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7C006363">
      <w:pPr>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区域水土流失类型为风水蚀交错类型。成因包括石油天然气开发引起的水土流失、交通建设引起的水土流失、农业开发引起的水土流失。石油天然气开发主要表现在对土地的占用和破坏，地质地貌的变化等。交通建设主要表现在土地占用和土壤侵蚀；地表景观的破坏和生态功能的扰动加剧水土流失；弃土场处理不当引起的水土流失；道路边坡稳定性引发的水土流失。农业开发主要表现在破坏原生植被，导致生态系统退化；干扰原有的土壤基准条件，引发土壤沙化或土地盐渍化；影响水文水情及生态系统，如抽取地下水导致水位下降，地面沉降；化学肥料的</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过度</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使用对土壤、地下水的污染等。目前我省经济社会发展的重要时期，经济社会发展总体形势对水土保持工作提出了新要求。全省水土流失综合防治逐步进入</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法治化</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轨道，重点地区水土流失治理成效显著，植被保护和生态修复初见成效，退耕还林还草面积得到巩固，黑土区保土蓄水功能持续增强，水土流失面积和强度呈现总体下降趋势。</w:t>
      </w:r>
    </w:p>
    <w:p w14:paraId="5CCEE08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14:paraId="7BE8488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根据黑龙江省防沙治沙工作领导小组《关于印发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关于贯彻落实《沙化土地封禁保护修复制度方案》的实施意见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〉的通知》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，大同区属于沙化土地所在县（区），当重点增加、恢复和保护林草植被，治理土地沙化和草原退化、沙化、碱化。</w:t>
      </w:r>
    </w:p>
    <w:p w14:paraId="288F3AC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根据现场调查，项目占地区域未出现土壤沙化现象，为保护区域生态环境，针对本工程的具体特点，应制定生态环境影响减缓措施和防沙治沙措施。</w:t>
      </w:r>
    </w:p>
    <w:p w14:paraId="1AC57B3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施工期临时占地及施工车辆行驶将对区域地表植被产生破坏。因此施工期须严格落实各项目生态保护措施及生态减缓措施，严格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施工作业占地范围，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尽量减少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施工期对区域生态影响。</w:t>
      </w:r>
    </w:p>
    <w:p w14:paraId="15E110E1">
      <w:pPr>
        <w:keepNext w:val="0"/>
        <w:keepLines w:val="0"/>
        <w:pageBreakBefore w:val="0"/>
        <w:widowControl w:val="0"/>
        <w:kinsoku/>
        <w:wordWrap/>
        <w:topLinePunct w:val="0"/>
        <w:bidi w:val="0"/>
        <w:spacing w:after="0" w:line="360" w:lineRule="auto"/>
        <w:jc w:val="both"/>
        <w:outlineLvl w:val="3"/>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pPr>
      <w:bookmarkStart w:id="83" w:name="_Toc25236"/>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4.3.</w:t>
      </w:r>
      <w:r>
        <w:rPr>
          <w:rFonts w:hint="eastAsia"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.6现有区块生态恢复措施及恢复情况</w:t>
      </w:r>
    </w:p>
    <w:bookmarkEnd w:id="83"/>
    <w:p w14:paraId="590E3EBE">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根据现场调查，现有区块内生态环境主要为草原生态系统、农田生态系统</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、森林生态系统</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0CB89F6F">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区块内已建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井场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占地已采用相应的生态保护和恢复措施，临时施工占地得到了较好的平整、清理，并得到相应的自然恢复，临时占地内草本植被等生长已经基本恢复到油田开发前状态，永久占用面积较小，没有改变项目区的生态系统结构与功能，项目区的生态组分及生物多样性未受影响，生态格局变化不大。</w:t>
      </w:r>
    </w:p>
    <w:p w14:paraId="0FA33AAD">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根据本项目中对区块内</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临时占地</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监测结果可知，</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临时</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占地内监测点位监测因子满足《土壤环境质量建设用地土壤污染风险管控标准》（GB36600-2018）中筛选值二类用地标准，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临时</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占地外监测点位监测因子满足《土壤环境质量农用地土壤污染风险管控标准》（GB15618-2018）中筛选值标准，油田特征污染物石油类的监测值均低于参照标准值，说明区域土壤环境质量整体良好，该区域油田开发对区域土壤影响较小。</w:t>
      </w:r>
    </w:p>
    <w:p w14:paraId="5B3810A7">
      <w:pPr>
        <w:keepNext w:val="0"/>
        <w:keepLines w:val="0"/>
        <w:pageBreakBefore w:val="0"/>
        <w:widowControl w:val="0"/>
        <w:kinsoku/>
        <w:wordWrap/>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区域内已建</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井场永久占地、依托</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的转油站、联合站均进行硬化，厂区地面无污油洒落，绿化良好。</w:t>
      </w:r>
    </w:p>
    <w:p w14:paraId="0680FD6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综上所述，现有区块内生态环境保护措施都基本得到了落实，目前所采取的各项环保措施是有效的，未发现环境问题。</w:t>
      </w:r>
    </w:p>
    <w:p w14:paraId="36B3EB6D">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.7生态环境现状评价结论</w:t>
      </w:r>
    </w:p>
    <w:p w14:paraId="1245C09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本项目评价范围内生态系统类型主要为农田生态系统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、草地生态系统、森林生态系统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。本项目评价范围内土地利用类型以耕地、草地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为主，工程所在区域内主要土壤类型以</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草甸土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为主，工程所在区域人类活动频繁，野生动物较少。本项目区域生态环境总体质量较好。</w:t>
      </w:r>
    </w:p>
    <w:p w14:paraId="1E83D95F">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84" w:name="_Toc1383"/>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区域环境污染源调查</w:t>
      </w:r>
      <w:bookmarkEnd w:id="84"/>
    </w:p>
    <w:p w14:paraId="560F612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本工程为石油开采项目，经现场调查，区域内污染源主要为油田场站及井场，场站主要包括芳3转油站、芳407转油站、宋一联合站，升一联合站等，污染物主要为油田场站及区块内已建油井产生的废气、废水、噪声、固废等污染物。</w:t>
      </w:r>
    </w:p>
    <w:p w14:paraId="5A1639D7">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4.4.1大气污染源调查</w:t>
      </w:r>
    </w:p>
    <w:p w14:paraId="787C0FC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项目所在区域大气污染源主要包括各场站的加热炉烟气、场站及原油集输过程产生的</w:t>
      </w:r>
      <w:r>
        <w:rPr>
          <w:rFonts w:hint="eastAsia"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烃类</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气体。</w:t>
      </w:r>
    </w:p>
    <w:p w14:paraId="3D6D747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根据调查，项目区域原油处理及集输过程中均采用密闭管道等措施控制无组织挥发的非甲烷总烃。现有场站加热装置燃料均为</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清洁燃料天然气，</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同时站内采用数字化仪表监控，根据气温合理控制外输温度，减少天然气用量，减少了烟气排放量</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，各加热装置燃烧废气中主要污染物为颗粒物、SO</w:t>
      </w:r>
      <w:r>
        <w:rPr>
          <w:rFonts w:hint="eastAsia" w:ascii="Times New Roman" w:hAnsi="Times New Roman" w:eastAsia="宋体" w:cs="Times New Roman"/>
          <w:snapToGrid w:val="0"/>
          <w:color w:val="000000" w:themeColor="text1"/>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、NOx，各加热装置排</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放的燃烧废气通过不低于8m高的烟囱排放，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结合本项目年度排污许可执行报告、排污许可证自行监测数据，</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燃烧烟气可以满足《锅炉大气污染物排放标准》（GB13271-2014）标准要求。</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2024年全厂实际排放量:SO</w:t>
      </w:r>
      <w:r>
        <w:rPr>
          <w:rFonts w:hint="default" w:ascii="Times New Roman" w:hAnsi="Times New Roman" w:eastAsia="宋体" w:cs="Times New Roman"/>
          <w:snapToGrid w:val="0"/>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5.485</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t，NOx为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8.967</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t，颗粒物为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2.194</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t</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4C62A190">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4.4.2废水污染源调查</w:t>
      </w:r>
    </w:p>
    <w:p w14:paraId="682D24C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区块产生的水污染物主要为分离产生的含油污水以及涉及场站的工作人员产生的生活污水，</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区块含油污水</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采用密闭管道集输方式</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进入</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升一联</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含油污水处理站</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处理达标后回注油层</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。根据现场调查，区域水污染物排放情况详见表4.4-1。</w:t>
      </w:r>
    </w:p>
    <w:p w14:paraId="7C20FEA4">
      <w:pPr>
        <w:keepNext w:val="0"/>
        <w:keepLines w:val="0"/>
        <w:pageBreakBefore w:val="0"/>
        <w:widowControl w:val="0"/>
        <w:kinsoku/>
        <w:wordWrap/>
        <w:topLinePunct w:val="0"/>
        <w:bidi w:val="0"/>
        <w:adjustRightInd/>
        <w:snapToGrid/>
        <w:spacing w:after="0" w:line="240" w:lineRule="auto"/>
        <w:ind w:left="0" w:leftChars="0" w:firstLine="0" w:firstLineChars="0"/>
        <w:jc w:val="cente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表4.4-1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区域水污染物排放情况</w:t>
      </w:r>
    </w:p>
    <w:tbl>
      <w:tblPr>
        <w:tblStyle w:val="1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398"/>
        <w:gridCol w:w="1532"/>
        <w:gridCol w:w="5648"/>
      </w:tblGrid>
      <w:tr w14:paraId="2686B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9" w:type="pct"/>
            <w:tcBorders>
              <w:tl2br w:val="nil"/>
              <w:tr2bl w:val="nil"/>
            </w:tcBorders>
            <w:vAlign w:val="center"/>
          </w:tcPr>
          <w:p w14:paraId="6543EDF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序号</w:t>
            </w:r>
          </w:p>
        </w:tc>
        <w:tc>
          <w:tcPr>
            <w:tcW w:w="753" w:type="pct"/>
            <w:tcBorders>
              <w:tl2br w:val="nil"/>
              <w:tr2bl w:val="nil"/>
            </w:tcBorders>
            <w:vAlign w:val="center"/>
          </w:tcPr>
          <w:p w14:paraId="43DC9A9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主要污染源</w:t>
            </w:r>
          </w:p>
        </w:tc>
        <w:tc>
          <w:tcPr>
            <w:tcW w:w="825" w:type="pct"/>
            <w:tcBorders>
              <w:tl2br w:val="nil"/>
              <w:tr2bl w:val="nil"/>
            </w:tcBorders>
            <w:vAlign w:val="center"/>
          </w:tcPr>
          <w:p w14:paraId="7B530DCF">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主要污染物</w:t>
            </w:r>
          </w:p>
        </w:tc>
        <w:tc>
          <w:tcPr>
            <w:tcW w:w="3042" w:type="pct"/>
            <w:tcBorders>
              <w:tl2br w:val="nil"/>
              <w:tr2bl w:val="nil"/>
            </w:tcBorders>
            <w:vAlign w:val="center"/>
          </w:tcPr>
          <w:p w14:paraId="45F2F91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治理措施</w:t>
            </w:r>
          </w:p>
        </w:tc>
      </w:tr>
      <w:tr w14:paraId="39C85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14:paraId="1D538C3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753" w:type="pct"/>
            <w:tcBorders>
              <w:tl2br w:val="nil"/>
              <w:tr2bl w:val="nil"/>
            </w:tcBorders>
            <w:vAlign w:val="center"/>
          </w:tcPr>
          <w:p w14:paraId="062C48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含油污水</w:t>
            </w:r>
          </w:p>
        </w:tc>
        <w:tc>
          <w:tcPr>
            <w:tcW w:w="825" w:type="pct"/>
            <w:tcBorders>
              <w:tl2br w:val="nil"/>
              <w:tr2bl w:val="nil"/>
            </w:tcBorders>
            <w:vAlign w:val="center"/>
          </w:tcPr>
          <w:p w14:paraId="67A47E7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SS、石油类</w:t>
            </w:r>
          </w:p>
        </w:tc>
        <w:tc>
          <w:tcPr>
            <w:tcW w:w="3042" w:type="pct"/>
            <w:tcBorders>
              <w:tl2br w:val="nil"/>
              <w:tr2bl w:val="nil"/>
            </w:tcBorders>
            <w:vAlign w:val="center"/>
          </w:tcPr>
          <w:p w14:paraId="4D7FA74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宋一联含油污水处理站、升一联含油污水处理站处理达标后回注现役油层</w:t>
            </w:r>
          </w:p>
        </w:tc>
      </w:tr>
      <w:tr w14:paraId="0185A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vAlign w:val="center"/>
          </w:tcPr>
          <w:p w14:paraId="3313623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753" w:type="pct"/>
            <w:tcBorders>
              <w:tl2br w:val="nil"/>
              <w:tr2bl w:val="nil"/>
            </w:tcBorders>
            <w:vAlign w:val="center"/>
          </w:tcPr>
          <w:p w14:paraId="498F6F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生活污水</w:t>
            </w:r>
          </w:p>
        </w:tc>
        <w:tc>
          <w:tcPr>
            <w:tcW w:w="825" w:type="pct"/>
            <w:tcBorders>
              <w:tl2br w:val="nil"/>
              <w:tr2bl w:val="nil"/>
            </w:tcBorders>
            <w:vAlign w:val="center"/>
          </w:tcPr>
          <w:p w14:paraId="17EC0FD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COD、氨氮</w:t>
            </w:r>
          </w:p>
        </w:tc>
        <w:tc>
          <w:tcPr>
            <w:tcW w:w="3042" w:type="pct"/>
            <w:tcBorders>
              <w:tl2br w:val="nil"/>
              <w:tr2bl w:val="nil"/>
            </w:tcBorders>
            <w:vAlign w:val="center"/>
          </w:tcPr>
          <w:p w14:paraId="330AF77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由罐车定期拉运到区域内高平4号污水站，排入大庆市净源环保科技有限公司处理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达标后排放</w:t>
            </w:r>
          </w:p>
        </w:tc>
      </w:tr>
    </w:tbl>
    <w:p w14:paraId="01D3FED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4.4.3噪声污染源调查</w:t>
      </w:r>
    </w:p>
    <w:p w14:paraId="64027D0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噪声污染源包括区域已建成并投产各井场处的抽油机，芳3转油站、芳407转油站、宋一联合站，升一联合站等各场站、抽油机、机泵、装载机等机械设备。</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各类机械设备噪声源强约70-100dB（A）。</w:t>
      </w:r>
    </w:p>
    <w:p w14:paraId="577CABFD">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4.4.4固体废物污染源分析</w:t>
      </w:r>
    </w:p>
    <w:p w14:paraId="41C29E7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区域内产生的固体废物主要是场站油气处理系统中清淤产生的含油污泥</w:t>
      </w:r>
      <w:r>
        <w:rPr>
          <w:rFonts w:hint="eastAsia"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含油防渗布</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及场站生活垃圾，</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含油</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污泥</w:t>
      </w:r>
      <w:r>
        <w:rPr>
          <w:rStyle w:val="54"/>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经宋芳屯含油污泥处理站减量化处理后，委托大庆市庆兴环保科技有限公司处理</w:t>
      </w:r>
      <w:r>
        <w:rPr>
          <w:rStyle w:val="54"/>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Style w:val="54"/>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处理后污泥含量</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满足《油田含油污泥处置与利用污染控制要求》（DB23/T3104-2022）标准（石油类≤3000mg/kg）后用于铺路和垫井场</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含油防渗布统一暂存在</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第八采油厂三矿危废贮存库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定期委托</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资质单位处理</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生活垃圾委托环卫部门，拉运至大庆城控电力有限公司焚烧处理</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w:t>
      </w:r>
    </w:p>
    <w:p w14:paraId="3C60238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p>
    <w:bookmarkEnd w:id="69"/>
    <w:p w14:paraId="3AFCD9DD">
      <w:pPr>
        <w:keepNext w:val="0"/>
        <w:keepLines w:val="0"/>
        <w:pageBreakBefore w:val="0"/>
        <w:widowControl w:val="0"/>
        <w:kinsoku/>
        <w:wordWrap/>
        <w:overflowPunct w:val="0"/>
        <w:topLinePunct w:val="0"/>
        <w:autoSpaceDE/>
        <w:autoSpaceDN/>
        <w:bidi w:val="0"/>
        <w:spacing w:after="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7CA0425A">
      <w:pPr>
        <w:keepNext w:val="0"/>
        <w:keepLines w:val="0"/>
        <w:pageBreakBefore w:val="0"/>
        <w:widowControl w:val="0"/>
        <w:tabs>
          <w:tab w:val="center" w:pos="4394"/>
          <w:tab w:val="left" w:pos="5484"/>
        </w:tabs>
        <w:kinsoku/>
        <w:wordWrap/>
        <w:overflowPunct/>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85" w:name="_Toc24815"/>
      <w:bookmarkStart w:id="86" w:name="_Toc845"/>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五、</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环境影响预测与评价</w:t>
      </w:r>
      <w:bookmarkEnd w:id="85"/>
      <w:bookmarkEnd w:id="86"/>
    </w:p>
    <w:p w14:paraId="7E66F165">
      <w:pPr>
        <w:keepNext w:val="0"/>
        <w:keepLines w:val="0"/>
        <w:pageBreakBefore w:val="0"/>
        <w:widowControl w:val="0"/>
        <w:kinsoku/>
        <w:wordWrap/>
        <w:overflowPunct w:val="0"/>
        <w:topLinePunct w:val="0"/>
        <w:autoSpaceDE/>
        <w:autoSpaceDN/>
        <w:bidi w:val="0"/>
        <w:adjustRightInd w:val="0"/>
        <w:snapToGrid w:val="0"/>
        <w:spacing w:after="0" w:line="360" w:lineRule="auto"/>
        <w:jc w:val="both"/>
        <w:textAlignment w:val="auto"/>
        <w:outlineLvl w:val="1"/>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87" w:name="_Toc21886"/>
      <w:bookmarkStart w:id="88" w:name="_Toc12469"/>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5.1大气环境影响预测与评价</w:t>
      </w:r>
      <w:bookmarkEnd w:id="87"/>
      <w:bookmarkEnd w:id="88"/>
    </w:p>
    <w:p w14:paraId="02A1AD32">
      <w:pPr>
        <w:keepNext w:val="0"/>
        <w:keepLines w:val="0"/>
        <w:pageBreakBefore w:val="0"/>
        <w:widowControl w:val="0"/>
        <w:kinsoku/>
        <w:wordWrap/>
        <w:overflowPunct w:val="0"/>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5.1.1施工期大气环境影响分析</w:t>
      </w:r>
    </w:p>
    <w:p w14:paraId="4E2253D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施工期废气主要为施工时管沟开挖、土方堆填、车辆运输、恢复原有地面等过程中产生的粉尘、二次扬尘，管道焊接过程产生的焊接烟尘，以及施工设备和运输车辆尾气</w:t>
      </w:r>
    </w:p>
    <w:p w14:paraId="6E698B91">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地面工程施工扬尘</w:t>
      </w:r>
    </w:p>
    <w:p w14:paraId="7E1A72B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本项目地面工程施工扬尘主要来自平整土地、开挖土方、材料运输、装卸等过程产生的扬尘</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根据表3.6-1，</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一般情况下，施工场地在自然风作用下产生的扬尘所影响的范围在100m以内。施工场地100m外的扬尘浓度值约为0.39mg/m</w:t>
      </w:r>
      <w:r>
        <w:rPr>
          <w:rFonts w:hint="default" w:ascii="Times New Roman" w:hAnsi="Times New Roman" w:eastAsia="宋体" w:cs="Times New Roman"/>
          <w:color w:val="000000" w:themeColor="text1"/>
          <w:kern w:val="0"/>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0CCB34A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本次施工管道距离</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最</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近的村屯</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是盛广和屯</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（芳3转油站外输油管线南侧</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根据本工程特点，在施工过程中应采取以下措施：</w:t>
      </w:r>
    </w:p>
    <w:p w14:paraId="30776FE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①定时适量洒水，并在大风天加大洒水量及洒水次数，使作业面保持一定的湿度</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69BA70C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②运输车辆途经村屯附近时应低速行驶或限速行驶，减少扬尘产生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04F8065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③管道施工场地剥离的表土堆放时要遮盖苫布，防止大风天气产生扬尘</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5BDBFFF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④施工过程产生的残土及时清运，不能及时清运的应当采取封闭、遮盖等措施；运输建筑材料车辆应采取封闭措施，必须装载规范；运输车辆驶出工地前须除泥降尘，严禁泥土尘沙带出工地</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0995990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⑤项目管道在施工结束后将临时占地及时恢复原有地表形态</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17D64A6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只要采取上述的相关措施，施工时产生的</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场界颗粒物浓度</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能够满足《大气污染物综合排放标准》（GB16297-1996）要求，加上施工期产生的废气都是暂时性的，并且这种影响随着施工期的结束而消失。</w:t>
      </w:r>
    </w:p>
    <w:p w14:paraId="558E6D4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焊接烟尘</w:t>
      </w:r>
    </w:p>
    <w:p w14:paraId="083633A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接口处进行焊接时，在高温电弧作用下，焊丝端部及其母材被熔化，溶液表面剧烈喷射由药皮焊芯产生的高温高压蒸汽并向四周扩散。当蒸汽进入周围空气中时，被冷却并氧化，部分结成固体微粒，形成由气体和固体微粒组成的焊接烟尘。焊接烟尘中的主要成分是金属氧化物。施工焊接烟尘的最大产生量为0.0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t。本工程较为分散，焊接烟尘非集中排放，经空气稀释、扩散后对周围大气环境影响较小。</w:t>
      </w:r>
    </w:p>
    <w:p w14:paraId="0C0B719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（3）运输车辆排放的尾气</w:t>
      </w:r>
    </w:p>
    <w:p w14:paraId="61ECC6B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本项目运输车辆排放的尾气会对大气环境造成一定污染，排放主要污染物为NOx、CO、SO</w:t>
      </w:r>
      <w:r>
        <w:rPr>
          <w:rFonts w:hint="default" w:ascii="Times New Roman" w:hAnsi="Times New Roman" w:eastAsia="宋体" w:cs="Times New Roman"/>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、TSP等，均属于无组织排放，施工所处地区宽阔，地形简单，污染物在大气中可快速扩散，由于车辆排放的尾气为流动的线源，影响范围较大，但其污染不集中且扩散能力相对较快，因此对</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环境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空气的影响较小。</w:t>
      </w:r>
    </w:p>
    <w:p w14:paraId="2FEFF1F6">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综上所述，项目施工期产生的废气主要为施工扬尘、少量车辆尾气和焊接烟尘，通过采取有效地抑尘、规划行车路线及管理养护措施，施工时产生的场界</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kern w:val="0"/>
          <w:sz w:val="24"/>
          <w:highlight w:val="none"/>
          <w14:textFill>
            <w14:solidFill>
              <w14:schemeClr w14:val="tx1"/>
            </w14:solidFill>
          </w14:textFill>
        </w:rPr>
        <w:t>能够满足《大气污染物综合排放标准》（GB16297-1996）要求，对区域空气环境及</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环境保护</w:t>
      </w:r>
      <w:r>
        <w:rPr>
          <w:rFonts w:hint="default" w:ascii="Times New Roman" w:hAnsi="Times New Roman" w:eastAsia="宋体" w:cs="Times New Roman"/>
          <w:color w:val="000000" w:themeColor="text1"/>
          <w:kern w:val="0"/>
          <w:sz w:val="24"/>
          <w:highlight w:val="none"/>
          <w14:textFill>
            <w14:solidFill>
              <w14:schemeClr w14:val="tx1"/>
            </w14:solidFill>
          </w14:textFill>
        </w:rPr>
        <w:t>目标的影响较小</w:t>
      </w:r>
      <w:r>
        <w:rPr>
          <w:rFonts w:hint="default" w:ascii="Times New Roman" w:hAnsi="Times New Roman" w:eastAsia="宋体" w:cs="Times New Roman"/>
          <w:snapToGrid w:val="0"/>
          <w:color w:val="000000" w:themeColor="text1"/>
          <w:kern w:val="0"/>
          <w:sz w:val="24"/>
          <w:szCs w:val="20"/>
          <w:highlight w:val="none"/>
          <w14:textFill>
            <w14:solidFill>
              <w14:schemeClr w14:val="tx1"/>
            </w14:solidFill>
          </w14:textFill>
        </w:rPr>
        <w:t>。</w:t>
      </w:r>
    </w:p>
    <w:p w14:paraId="3A440C22">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5.1.2运营期大气环境影响分析</w:t>
      </w:r>
    </w:p>
    <w:p w14:paraId="6EA06EBB">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运营期新建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输油</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管道正常运行时，无污染物产生</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。因此项目建设对环境空气质量影响很小，</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大气环境影响评价自查表见附表1</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w:t>
      </w:r>
    </w:p>
    <w:p w14:paraId="3B6B1113">
      <w:pPr>
        <w:keepNext w:val="0"/>
        <w:keepLines w:val="0"/>
        <w:pageBreakBefore w:val="0"/>
        <w:widowControl w:val="0"/>
        <w:kinsoku/>
        <w:wordWrap/>
        <w:overflowPunct w:val="0"/>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5.1.3退役期大气环境影响分析</w:t>
      </w:r>
    </w:p>
    <w:p w14:paraId="643F89E8">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cs="Times New Roman" w:eastAsiaTheme="minorEastAsia"/>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本项目退役期为</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新建</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输油</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退役，采取清管后两端封堵直埋的方式，不进行</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开挖，退役期对环境空气影响较小。</w:t>
      </w:r>
    </w:p>
    <w:p w14:paraId="11E34BDB">
      <w:pPr>
        <w:keepNext w:val="0"/>
        <w:keepLines w:val="0"/>
        <w:pageBreakBefore w:val="0"/>
        <w:widowControl w:val="0"/>
        <w:kinsoku/>
        <w:wordWrap/>
        <w:overflowPunct/>
        <w:topLinePunct w:val="0"/>
        <w:autoSpaceDE/>
        <w:autoSpaceDN/>
        <w:bidi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89" w:name="_Toc17636"/>
      <w:bookmarkStart w:id="90" w:name="_Toc83703875"/>
      <w:bookmarkStart w:id="91" w:name="_Toc83703766"/>
      <w:bookmarkStart w:id="92" w:name="_Toc83803948"/>
      <w:r>
        <w:rPr>
          <w:rFonts w:hint="default" w:ascii="Times New Roman" w:hAnsi="Times New Roman" w:eastAsia="宋体" w:cs="Times New Roman"/>
          <w:b/>
          <w:color w:val="000000" w:themeColor="text1"/>
          <w:sz w:val="28"/>
          <w:szCs w:val="28"/>
          <w:highlight w:val="none"/>
          <w14:textFill>
            <w14:solidFill>
              <w14:schemeClr w14:val="tx1"/>
            </w14:solidFill>
          </w14:textFill>
        </w:rPr>
        <w:t>5.2</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地表</w:t>
      </w:r>
      <w:r>
        <w:rPr>
          <w:rFonts w:hint="default" w:ascii="Times New Roman" w:hAnsi="Times New Roman" w:eastAsia="宋体" w:cs="Times New Roman"/>
          <w:b/>
          <w:color w:val="000000" w:themeColor="text1"/>
          <w:sz w:val="28"/>
          <w:szCs w:val="28"/>
          <w:highlight w:val="none"/>
          <w14:textFill>
            <w14:solidFill>
              <w14:schemeClr w14:val="tx1"/>
            </w14:solidFill>
          </w14:textFill>
        </w:rPr>
        <w:t>水环境影响评价</w:t>
      </w:r>
      <w:bookmarkEnd w:id="89"/>
      <w:bookmarkEnd w:id="90"/>
      <w:bookmarkEnd w:id="91"/>
      <w:bookmarkEnd w:id="92"/>
    </w:p>
    <w:p w14:paraId="2E15A8B0">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8"/>
          <w:highlight w:val="none"/>
          <w14:textFill>
            <w14:solidFill>
              <w14:schemeClr w14:val="tx1"/>
            </w14:solidFill>
          </w14:textFill>
        </w:rPr>
        <w:t>.</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施工期</w:t>
      </w:r>
    </w:p>
    <w:p w14:paraId="481B07B6">
      <w:pPr>
        <w:keepNext w:val="0"/>
        <w:keepLines w:val="0"/>
        <w:pageBreakBefore w:val="0"/>
        <w:widowControl w:val="0"/>
        <w:kinsoku/>
        <w:wordWrap/>
        <w:overflowPunct/>
        <w:topLinePunct w:val="0"/>
        <w:autoSpaceDE/>
        <w:autoSpaceDN/>
        <w:bidi w:val="0"/>
        <w:spacing w:after="0" w:line="360" w:lineRule="auto"/>
        <w:ind w:firstLine="44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施工期废水包括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管道清洗废水、</w:t>
      </w:r>
      <w:r>
        <w:rPr>
          <w:rFonts w:hint="default" w:ascii="Times New Roman" w:hAnsi="Times New Roman" w:eastAsia="宋体" w:cs="Times New Roman"/>
          <w:color w:val="000000" w:themeColor="text1"/>
          <w:sz w:val="24"/>
          <w:szCs w:val="24"/>
          <w:highlight w:val="none"/>
          <w14:textFill>
            <w14:solidFill>
              <w14:schemeClr w14:val="tx1"/>
            </w14:solidFill>
          </w14:textFill>
        </w:rPr>
        <w:t>管道试压废水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处理依托可行性分析</w:t>
      </w:r>
    </w:p>
    <w:p w14:paraId="34AB22EC">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废旧管道清管废水，新建管道试压产生的试压废水，均通过罐车拉运至</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处理</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3307945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主要采用“横向流除油→两级过滤”主处理工艺流程，出水水质满足《大庆油田地面工程建设设计规定》（Q/SYDQ0639-2015）限值“含油量≤10mg/L、悬浮固体含量≤5mg/L、粒径中值≤2μm”，同时满足《碎屑岩油藏注水水质指标技术要求及分析方法》（SY/T5329-2022）相应标准限值，回注地下开采油层</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设计能力为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12000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/d，目前实际处理量为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6182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/d，负荷率为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51.5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%，该站正常平稳运行。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废弃管道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清洗废水以及新建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试压废水均依托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进行处理，废弃管道清洗废水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335.4t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，新建管道试压废水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112.1t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，新增本项目施工期废水后，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处理量为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6629.5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/d，负荷率为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55.2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%，剩余处理能力满足本项目需求，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本项目依托可行。</w:t>
      </w:r>
    </w:p>
    <w:p w14:paraId="50626C61">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施工人员生活污水</w:t>
      </w:r>
    </w:p>
    <w:p w14:paraId="2BB88249">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施工期生活污水</w:t>
      </w:r>
      <w:r>
        <w:rPr>
          <w:rFonts w:hint="eastAsia" w:cs="Times New Roman"/>
          <w:color w:val="000000" w:themeColor="text1"/>
          <w:highlight w:val="none"/>
          <w:lang w:val="en-US" w:eastAsia="zh-CN"/>
          <w14:textFill>
            <w14:solidFill>
              <w14:schemeClr w14:val="tx1"/>
            </w14:solidFill>
          </w14:textFill>
        </w:rPr>
        <w:t>排入附近芳407-6集油阀组间、升1-2集油阀组间、升1-6集油阀组间等已建防渗旱厕</w:t>
      </w:r>
      <w:r>
        <w:rPr>
          <w:rFonts w:hint="default" w:ascii="Times New Roman" w:hAnsi="Times New Roman" w:cs="Times New Roman"/>
          <w:color w:val="000000" w:themeColor="text1"/>
          <w:highlight w:val="none"/>
          <w:lang w:val="en-US" w:eastAsia="zh-CN"/>
          <w14:textFill>
            <w14:solidFill>
              <w14:schemeClr w14:val="tx1"/>
            </w14:solidFill>
          </w14:textFill>
        </w:rPr>
        <w:t>，本项目施工现场距离周边已建集油阀组间、配水间距离约为0-1km，施工人员步行或乘施工车辆进入附近集油阀组间防渗旱厕，</w:t>
      </w:r>
      <w:r>
        <w:rPr>
          <w:rFonts w:hint="eastAsia" w:cs="Times New Roman"/>
          <w:color w:val="000000" w:themeColor="text1"/>
          <w:highlight w:val="none"/>
          <w:lang w:val="en-US" w:eastAsia="zh-CN"/>
          <w14:textFill>
            <w14:solidFill>
              <w14:schemeClr w14:val="tx1"/>
            </w14:solidFill>
          </w14:textFill>
        </w:rPr>
        <w:t>用罐车抽排至高平4号污水站，排入大庆市净源环保科技有限公司处理达标后排放。</w:t>
      </w:r>
    </w:p>
    <w:p w14:paraId="56FCF3BA">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运营期</w:t>
      </w:r>
    </w:p>
    <w:p w14:paraId="2DFA089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本项目为油田内部集输</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改造工程，工程运行期正常工况下无废水产生，对周边地表水环境影响较小。</w:t>
      </w:r>
    </w:p>
    <w:p w14:paraId="5DCE2A7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在运行期对集输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用外防腐管道，以延长埋地管道使用寿命。定期进行检测，防止腐蚀穿孔引起、含水原油泄漏污染环境，同时加强巡检巡视，及时发现问题及时处理事故，对泄漏含水原油及时回收处理。可有效的避免石油或含油污水的泄漏对周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环境的</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影响</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672215F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本项目事故状态下可能对地表水体造成污染的污染途径主要为集输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泄漏事故，</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距离项目</w:t>
      </w:r>
      <w:r>
        <w:rPr>
          <w:rFonts w:hint="eastAsia" w:eastAsia="宋体" w:cs="Times New Roman"/>
          <w:color w:val="000000" w:themeColor="text1"/>
          <w:sz w:val="24"/>
          <w:highlight w:val="none"/>
          <w:lang w:val="en-US" w:eastAsia="zh-CN"/>
          <w14:textFill>
            <w14:solidFill>
              <w14:schemeClr w14:val="tx1"/>
            </w14:solidFill>
          </w14:textFill>
        </w:rPr>
        <w:t>管线</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最近的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地表水体为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宋芳屯排水沟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芳3转油站外输油管道定向钻穿越</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与宋芳屯排水沟采取定向钻穿越，定向钻施工区域设围堰，建设高度30cm，宽度40cm，材料为粘土夯筑，能够有效防止污水外流。通过上述分析，本项目产生的废水均不外排，不会对宋芳屯排水沟地表水体产生不良影响。</w:t>
      </w:r>
    </w:p>
    <w:p w14:paraId="4880F038">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5.2.3退役期</w:t>
      </w:r>
    </w:p>
    <w:p w14:paraId="3FE0010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退役期废水主要为废弃管道清管废水及生活污水。</w:t>
      </w:r>
    </w:p>
    <w:p w14:paraId="587FEFD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若本次投产的</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管道全部废弃</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，则清洗废水产生量为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335.4t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由罐车</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拉运至</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，出水满足《大庆油田地面工程建设设计规定》（Q/SYDQ0639-2015）、《碎屑岩油藏注水水质指标技术要求及分析方法》（SY/T5329-2022）标准后回注地下开采油层，不外排。</w:t>
      </w:r>
    </w:p>
    <w:p w14:paraId="2AEB5B8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项目退役期施工时间较短，施工人员产生的生活污水量较少，</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用罐车抽排至高平4号污水站，排入大庆市净源环保科技有限公司处理达标后排放。</w:t>
      </w:r>
    </w:p>
    <w:p w14:paraId="1152FD34">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5.2.</w:t>
      </w:r>
      <w:r>
        <w:rPr>
          <w:rFonts w:hint="eastAsia"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地表水环境影响结论</w:t>
      </w:r>
    </w:p>
    <w:p w14:paraId="15955FAE">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snapToGrid w:val="0"/>
          <w:color w:val="000000" w:themeColor="text1"/>
          <w:kern w:val="0"/>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highlight w:val="none"/>
          <w14:textFill>
            <w14:solidFill>
              <w14:schemeClr w14:val="tx1"/>
            </w14:solidFill>
          </w14:textFill>
        </w:rPr>
        <w:t>本项目的开发建设在施工期、</w:t>
      </w:r>
      <w:r>
        <w:rPr>
          <w:rFonts w:hint="default" w:ascii="Times New Roman" w:hAnsi="Times New Roman" w:cs="Times New Roman"/>
          <w:snapToGrid w:val="0"/>
          <w:color w:val="000000" w:themeColor="text1"/>
          <w:kern w:val="0"/>
          <w:highlight w:val="none"/>
          <w:lang w:eastAsia="zh-CN"/>
          <w14:textFill>
            <w14:solidFill>
              <w14:schemeClr w14:val="tx1"/>
            </w14:solidFill>
          </w14:textFill>
        </w:rPr>
        <w:t>运营期、退役期</w:t>
      </w:r>
      <w:r>
        <w:rPr>
          <w:rFonts w:hint="default" w:ascii="Times New Roman" w:hAnsi="Times New Roman" w:cs="Times New Roman"/>
          <w:snapToGrid w:val="0"/>
          <w:color w:val="000000" w:themeColor="text1"/>
          <w:kern w:val="0"/>
          <w:highlight w:val="none"/>
          <w14:textFill>
            <w14:solidFill>
              <w14:schemeClr w14:val="tx1"/>
            </w14:solidFill>
          </w14:textFill>
        </w:rPr>
        <w:t>情况下，由于采取了较为完善的环境保护措施，对地表水环境产生影响的可能性较小。为进一步降低风险条件对地表水的影响，</w:t>
      </w:r>
      <w:r>
        <w:rPr>
          <w:rFonts w:hint="default" w:ascii="Times New Roman" w:hAnsi="Times New Roman" w:cs="Times New Roman"/>
          <w:snapToGrid w:val="0"/>
          <w:color w:val="000000" w:themeColor="text1"/>
          <w:kern w:val="0"/>
          <w:highlight w:val="none"/>
          <w:lang w:eastAsia="zh-CN"/>
          <w14:textFill>
            <w14:solidFill>
              <w14:schemeClr w14:val="tx1"/>
            </w14:solidFill>
          </w14:textFill>
        </w:rPr>
        <w:t>运营期应</w:t>
      </w:r>
      <w:r>
        <w:rPr>
          <w:rFonts w:hint="default" w:ascii="Times New Roman" w:hAnsi="Times New Roman" w:cs="Times New Roman"/>
          <w:snapToGrid w:val="0"/>
          <w:color w:val="000000" w:themeColor="text1"/>
          <w:kern w:val="0"/>
          <w:highlight w:val="none"/>
          <w14:textFill>
            <w14:solidFill>
              <w14:schemeClr w14:val="tx1"/>
            </w14:solidFill>
          </w14:textFill>
        </w:rPr>
        <w:t>加强检测、巡检巡视，及时发现问题及时处理，尽量避免事故的发生，降低事故发生后对环境的影响程度和范围</w:t>
      </w:r>
      <w:r>
        <w:rPr>
          <w:rFonts w:hint="default" w:ascii="Times New Roman" w:hAnsi="Times New Roman" w:cs="Times New Roman"/>
          <w:snapToGrid w:val="0"/>
          <w:color w:val="000000" w:themeColor="text1"/>
          <w:kern w:val="0"/>
          <w:highlight w:val="none"/>
          <w:lang w:eastAsia="zh-CN"/>
          <w14:textFill>
            <w14:solidFill>
              <w14:schemeClr w14:val="tx1"/>
            </w14:solidFill>
          </w14:textFill>
        </w:rPr>
        <w:t>。</w:t>
      </w:r>
    </w:p>
    <w:p w14:paraId="7DBC71F2">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t>施工期、退役期废弃管道清管废水、新建管道试压废水由罐车拉运至</w:t>
      </w:r>
      <w:r>
        <w:rPr>
          <w:rFonts w:hint="eastAsia" w:cs="Times New Roman"/>
          <w:snapToGrid w:val="0"/>
          <w:color w:val="000000" w:themeColor="text1"/>
          <w:kern w:val="0"/>
          <w:highlight w:val="none"/>
          <w:lang w:val="en-US" w:eastAsia="zh-CN"/>
          <w14:textFill>
            <w14:solidFill>
              <w14:schemeClr w14:val="tx1"/>
            </w14:solidFill>
          </w14:textFill>
        </w:rPr>
        <w:t>宋一联含油污水处理站</w:t>
      </w:r>
      <w:r>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t>进行处理，达标后回注地下开采油层，不外排。</w:t>
      </w:r>
    </w:p>
    <w:p w14:paraId="601FBC94">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t>施工期生活污水排入</w:t>
      </w:r>
      <w:r>
        <w:rPr>
          <w:rFonts w:hint="eastAsia" w:cs="Times New Roman"/>
          <w:snapToGrid w:val="0"/>
          <w:color w:val="000000" w:themeColor="text1"/>
          <w:kern w:val="0"/>
          <w:highlight w:val="none"/>
          <w:lang w:val="en-US" w:eastAsia="zh-CN"/>
          <w14:textFill>
            <w14:solidFill>
              <w14:schemeClr w14:val="tx1"/>
            </w14:solidFill>
          </w14:textFill>
        </w:rPr>
        <w:t>附近芳407-6集油阀组间、升1-2集油阀组间、升1-6集油阀组间等已建防渗旱厕</w:t>
      </w:r>
      <w:r>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t>，本项目施工现场距离周边已建集油阀组间、配水间距离约为0-1km，施工人员步行或乘施工车辆进入附近集油阀组间防渗旱厕，</w:t>
      </w:r>
      <w:r>
        <w:rPr>
          <w:rFonts w:hint="eastAsia" w:cs="Times New Roman"/>
          <w:snapToGrid w:val="0"/>
          <w:color w:val="000000" w:themeColor="text1"/>
          <w:kern w:val="0"/>
          <w:highlight w:val="none"/>
          <w:lang w:val="en-US" w:eastAsia="zh-CN"/>
          <w14:textFill>
            <w14:solidFill>
              <w14:schemeClr w14:val="tx1"/>
            </w14:solidFill>
          </w14:textFill>
        </w:rPr>
        <w:t>用罐车抽排至高平4号污水站，排入大庆市净源环保科技有限公司处理达标后排放</w:t>
      </w:r>
      <w:r>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t>。因此，本项目对评价范围内的地表水体</w:t>
      </w:r>
      <w:r>
        <w:rPr>
          <w:rFonts w:hint="eastAsia" w:cs="Times New Roman"/>
          <w:snapToGrid w:val="0"/>
          <w:color w:val="000000" w:themeColor="text1"/>
          <w:kern w:val="0"/>
          <w:highlight w:val="none"/>
          <w:lang w:val="en-US" w:eastAsia="zh-CN"/>
          <w14:textFill>
            <w14:solidFill>
              <w14:schemeClr w14:val="tx1"/>
            </w14:solidFill>
          </w14:textFill>
        </w:rPr>
        <w:t>宋芳屯排水沟</w:t>
      </w:r>
      <w:r>
        <w:rPr>
          <w:rFonts w:hint="default" w:ascii="Times New Roman" w:hAnsi="Times New Roman" w:cs="Times New Roman"/>
          <w:snapToGrid w:val="0"/>
          <w:color w:val="000000" w:themeColor="text1"/>
          <w:kern w:val="0"/>
          <w:highlight w:val="none"/>
          <w:lang w:val="en-US" w:eastAsia="zh-CN"/>
          <w14:textFill>
            <w14:solidFill>
              <w14:schemeClr w14:val="tx1"/>
            </w14:solidFill>
          </w14:textFill>
        </w:rPr>
        <w:t>影响较小。</w:t>
      </w:r>
    </w:p>
    <w:p w14:paraId="5F7CD6ED">
      <w:pPr>
        <w:keepNext w:val="0"/>
        <w:keepLines w:val="0"/>
        <w:pageBreakBefore w:val="0"/>
        <w:widowControl w:val="0"/>
        <w:kinsoku/>
        <w:wordWrap/>
        <w:overflowPunct/>
        <w:topLinePunct w:val="0"/>
        <w:autoSpaceDE/>
        <w:autoSpaceDN/>
        <w:bidi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93" w:name="_Toc83703767"/>
      <w:bookmarkStart w:id="94" w:name="_Toc83803949"/>
      <w:bookmarkStart w:id="95" w:name="_Toc83703876"/>
      <w:bookmarkStart w:id="96" w:name="_Toc15892"/>
      <w:r>
        <w:rPr>
          <w:rFonts w:hint="default" w:ascii="Times New Roman" w:hAnsi="Times New Roman" w:eastAsia="宋体" w:cs="Times New Roman"/>
          <w:b/>
          <w:color w:val="000000" w:themeColor="text1"/>
          <w:sz w:val="28"/>
          <w:szCs w:val="28"/>
          <w:highlight w:val="none"/>
          <w14:textFill>
            <w14:solidFill>
              <w14:schemeClr w14:val="tx1"/>
            </w14:solidFill>
          </w14:textFill>
        </w:rPr>
        <w:t>5.3地下水环境影响预测与评价</w:t>
      </w:r>
      <w:bookmarkEnd w:id="93"/>
      <w:bookmarkEnd w:id="94"/>
      <w:bookmarkEnd w:id="95"/>
      <w:bookmarkEnd w:id="96"/>
    </w:p>
    <w:p w14:paraId="51D3BD19">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5.3.1正常</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状况</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地下水环境影响分析</w:t>
      </w:r>
    </w:p>
    <w:p w14:paraId="366B35F9">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5.3.1.1施工期</w:t>
      </w:r>
    </w:p>
    <w:p w14:paraId="0672F49B">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废旧管道清管废水，新建管道试压产生的试压废水，均通过罐车拉运</w:t>
      </w:r>
      <w:r>
        <w:rPr>
          <w:rFonts w:hint="eastAsia" w:cs="Times New Roman"/>
          <w:color w:val="000000" w:themeColor="text1"/>
          <w:highlight w:val="none"/>
          <w:lang w:val="en-US" w:eastAsia="zh-CN"/>
          <w14:textFill>
            <w14:solidFill>
              <w14:schemeClr w14:val="tx1"/>
            </w14:solidFill>
          </w14:textFill>
        </w:rPr>
        <w:t>宋一联含油污水处理站</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处理；废水全程密闭运输，不会</w:t>
      </w:r>
      <w:r>
        <w:rPr>
          <w:rFonts w:hint="eastAsia" w:cs="Times New Roman"/>
          <w:color w:val="000000" w:themeColor="text1"/>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对地下水环境造成影响，达标处理后回注地下油层。</w:t>
      </w:r>
    </w:p>
    <w:p w14:paraId="3D137B2C">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施工期生活污水</w:t>
      </w:r>
      <w:r>
        <w:rPr>
          <w:rFonts w:hint="eastAsia" w:cs="Times New Roman"/>
          <w:color w:val="000000" w:themeColor="text1"/>
          <w:highlight w:val="none"/>
          <w:lang w:val="en-US" w:eastAsia="zh-CN"/>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用罐车抽排至高平4号污水站，排入大庆市净源环保科技有限公司处理达标后排放。</w:t>
      </w:r>
    </w:p>
    <w:p w14:paraId="63FA1FC7">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项目施工期正常情况下不会对地下水产生影响。</w:t>
      </w:r>
    </w:p>
    <w:p w14:paraId="3E2B09D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5.3.1.2运营期</w:t>
      </w:r>
    </w:p>
    <w:p w14:paraId="76C312F4">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本项目运营期采用密闭工艺输送含水油，正常运营期无废水污染物排放，运行期正常工况下对地下水产生影响的可能较小。</w:t>
      </w:r>
    </w:p>
    <w:p w14:paraId="01160C5A">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5.3.</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2非</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正常</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状况</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地下水环境影响分析</w:t>
      </w:r>
    </w:p>
    <w:p w14:paraId="7FDBC251">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5.3.2.1污染途径</w:t>
      </w:r>
    </w:p>
    <w:p w14:paraId="0E90B35C">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因管道及设备腐蚀穿孔引起的原油泄漏事故多发生在油田投产若干年后，事故发生时会有大量原油、含油污水溢出，对环境造成污染。但发生管道泄漏时因管道的压力变化较易发现，及时采取必要的处理措施后，使造成的污染可控制在局部地区，不会造成大面积的区域性污染。人为破坏等因素也可造成管道破裂，使大量原油漏出，造成环境污染。若原油直接进入地层包气带，则因渗透作用会对浅层地下水产生影响。</w:t>
      </w:r>
    </w:p>
    <w:p w14:paraId="2571172B">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5.3.2.2预测情景模式</w:t>
      </w:r>
    </w:p>
    <w:p w14:paraId="61241F8D">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本工程预测情景模式见表5.3-1</w:t>
      </w:r>
      <w:r>
        <w:rPr>
          <w:rFonts w:hint="default" w:ascii="Times New Roman" w:hAnsi="Times New Roman" w:cs="Times New Roman"/>
          <w:color w:val="000000" w:themeColor="text1"/>
          <w:highlight w:val="none"/>
          <w:lang w:eastAsia="zh-CN"/>
          <w14:textFill>
            <w14:solidFill>
              <w14:schemeClr w14:val="tx1"/>
            </w14:solidFill>
          </w14:textFill>
        </w:rPr>
        <w:t>。</w:t>
      </w:r>
    </w:p>
    <w:p w14:paraId="664057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Style w:val="41"/>
          <w:rFonts w:hint="default" w:ascii="Times New Roman" w:hAnsi="Times New Roman" w:cs="Times New Roman"/>
          <w:color w:val="000000" w:themeColor="text1"/>
          <w:highlight w:val="none"/>
          <w:lang w:val="en-US" w:eastAsia="zh-CN"/>
          <w14:textFill>
            <w14:solidFill>
              <w14:schemeClr w14:val="tx1"/>
            </w14:solidFill>
          </w14:textFill>
        </w:rPr>
      </w:pPr>
      <w:r>
        <w:rPr>
          <w:rStyle w:val="41"/>
          <w:rFonts w:hint="default" w:ascii="Times New Roman" w:hAnsi="Times New Roman" w:cs="Times New Roman"/>
          <w:color w:val="000000" w:themeColor="text1"/>
          <w:highlight w:val="none"/>
          <w:lang w:val="en-US" w:eastAsia="zh-CN"/>
          <w14:textFill>
            <w14:solidFill>
              <w14:schemeClr w14:val="tx1"/>
            </w14:solidFill>
          </w14:textFill>
        </w:rPr>
        <w:t>表5.3-1</w:t>
      </w:r>
      <w:r>
        <w:rPr>
          <w:rStyle w:val="41"/>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Style w:val="41"/>
          <w:rFonts w:hint="default" w:ascii="Times New Roman" w:hAnsi="Times New Roman" w:cs="Times New Roman"/>
          <w:color w:val="000000" w:themeColor="text1"/>
          <w:highlight w:val="none"/>
          <w:lang w:val="en-US" w:eastAsia="zh-CN"/>
          <w14:textFill>
            <w14:solidFill>
              <w14:schemeClr w14:val="tx1"/>
            </w14:solidFill>
          </w14:textFill>
        </w:rPr>
        <w:t>地下水预测情景模式表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4352"/>
        <w:gridCol w:w="1369"/>
        <w:gridCol w:w="1369"/>
        <w:gridCol w:w="1371"/>
      </w:tblGrid>
      <w:tr w14:paraId="5AE2A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42" w:type="pct"/>
            <w:vMerge w:val="restart"/>
            <w:vAlign w:val="center"/>
          </w:tcPr>
          <w:p w14:paraId="65FFE10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t>序号</w:t>
            </w:r>
          </w:p>
        </w:tc>
        <w:tc>
          <w:tcPr>
            <w:tcW w:w="2343" w:type="pct"/>
            <w:vMerge w:val="restart"/>
            <w:vAlign w:val="center"/>
          </w:tcPr>
          <w:p w14:paraId="3823AB0C">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t>泄漏类型</w:t>
            </w:r>
          </w:p>
        </w:tc>
        <w:tc>
          <w:tcPr>
            <w:tcW w:w="737" w:type="pct"/>
            <w:vMerge w:val="restart"/>
            <w:vAlign w:val="center"/>
          </w:tcPr>
          <w:p w14:paraId="1386D61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t>影响层位</w:t>
            </w:r>
          </w:p>
        </w:tc>
        <w:tc>
          <w:tcPr>
            <w:tcW w:w="1475" w:type="pct"/>
            <w:gridSpan w:val="2"/>
            <w:tcBorders>
              <w:bottom w:val="single" w:color="000000" w:sz="2" w:space="0"/>
            </w:tcBorders>
            <w:vAlign w:val="center"/>
          </w:tcPr>
          <w:p w14:paraId="6BCA5D0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t>场景选择</w:t>
            </w:r>
          </w:p>
        </w:tc>
      </w:tr>
      <w:tr w14:paraId="782AF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42" w:type="pct"/>
            <w:vMerge w:val="continue"/>
            <w:vAlign w:val="center"/>
          </w:tcPr>
          <w:p w14:paraId="4C925B28">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tc>
        <w:tc>
          <w:tcPr>
            <w:tcW w:w="2343" w:type="pct"/>
            <w:vMerge w:val="continue"/>
            <w:vAlign w:val="center"/>
          </w:tcPr>
          <w:p w14:paraId="470E2F56">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p>
        </w:tc>
        <w:tc>
          <w:tcPr>
            <w:tcW w:w="737" w:type="pct"/>
            <w:vMerge w:val="continue"/>
            <w:vAlign w:val="center"/>
          </w:tcPr>
          <w:p w14:paraId="73FCC704">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p>
        </w:tc>
        <w:tc>
          <w:tcPr>
            <w:tcW w:w="737" w:type="pct"/>
            <w:tcBorders>
              <w:top w:val="single" w:color="000000" w:sz="2" w:space="0"/>
              <w:right w:val="single" w:color="000000" w:sz="2" w:space="0"/>
            </w:tcBorders>
            <w:vAlign w:val="center"/>
          </w:tcPr>
          <w:p w14:paraId="343FB27E">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t>持续泄漏</w:t>
            </w:r>
          </w:p>
        </w:tc>
        <w:tc>
          <w:tcPr>
            <w:tcW w:w="738" w:type="pct"/>
            <w:tcBorders>
              <w:top w:val="single" w:color="000000" w:sz="2" w:space="0"/>
              <w:left w:val="single" w:color="000000" w:sz="2" w:space="0"/>
            </w:tcBorders>
            <w:vAlign w:val="center"/>
          </w:tcPr>
          <w:p w14:paraId="5AE4D191">
            <w:pPr>
              <w:keepNext w:val="0"/>
              <w:keepLines w:val="0"/>
              <w:pageBreakBefore w:val="0"/>
              <w:widowControl w:val="0"/>
              <w:kinsoku/>
              <w:wordWrap/>
              <w:topLinePunct w:val="0"/>
              <w:bidi w:val="0"/>
              <w:spacing w:after="0"/>
              <w:jc w:val="cente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eastAsia="zh-CN"/>
                <w14:textFill>
                  <w14:solidFill>
                    <w14:schemeClr w14:val="tx1"/>
                  </w14:solidFill>
                </w14:textFill>
              </w:rPr>
              <w:t>瞬时泄漏</w:t>
            </w:r>
          </w:p>
        </w:tc>
      </w:tr>
      <w:tr w14:paraId="3B859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14:paraId="0B2F0798">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p>
        </w:tc>
        <w:tc>
          <w:tcPr>
            <w:tcW w:w="2343" w:type="pct"/>
            <w:vAlign w:val="center"/>
          </w:tcPr>
          <w:p w14:paraId="498E554E">
            <w:pPr>
              <w:keepNext w:val="0"/>
              <w:keepLines w:val="0"/>
              <w:pageBreakBefore w:val="0"/>
              <w:widowControl w:val="0"/>
              <w:kinsoku/>
              <w:wordWrap/>
              <w:topLinePunct w:val="0"/>
              <w:bidi w:val="0"/>
              <w:spacing w:after="0"/>
              <w:jc w:val="cente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集油管道</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腐蚀造成的含油物质渗漏</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泄漏孔径为管径的10%</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737" w:type="pct"/>
            <w:vAlign w:val="center"/>
          </w:tcPr>
          <w:p w14:paraId="17378307">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潜水</w:t>
            </w:r>
          </w:p>
        </w:tc>
        <w:tc>
          <w:tcPr>
            <w:tcW w:w="737" w:type="pct"/>
            <w:tcBorders>
              <w:right w:val="single" w:color="000000" w:sz="2" w:space="0"/>
            </w:tcBorders>
            <w:vAlign w:val="center"/>
          </w:tcPr>
          <w:p w14:paraId="2D3AF9AF">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738" w:type="pct"/>
            <w:tcBorders>
              <w:left w:val="single" w:color="000000" w:sz="2" w:space="0"/>
            </w:tcBorders>
            <w:vAlign w:val="center"/>
          </w:tcPr>
          <w:p w14:paraId="0BE0A502">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r>
      <w:tr w14:paraId="0D913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42" w:type="pct"/>
            <w:vAlign w:val="center"/>
          </w:tcPr>
          <w:p w14:paraId="520B61BE">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p>
        </w:tc>
        <w:tc>
          <w:tcPr>
            <w:tcW w:w="2343" w:type="pct"/>
            <w:vAlign w:val="center"/>
          </w:tcPr>
          <w:p w14:paraId="6472BAA4">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集油管道</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腐蚀造成的含油物质渗漏</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全管径泄漏</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737" w:type="pct"/>
            <w:vAlign w:val="center"/>
          </w:tcPr>
          <w:p w14:paraId="47AC9840">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潜水</w:t>
            </w:r>
          </w:p>
        </w:tc>
        <w:tc>
          <w:tcPr>
            <w:tcW w:w="737" w:type="pct"/>
            <w:tcBorders>
              <w:right w:val="single" w:color="000000" w:sz="2" w:space="0"/>
            </w:tcBorders>
            <w:vAlign w:val="center"/>
          </w:tcPr>
          <w:p w14:paraId="5E1EBB1D">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738" w:type="pct"/>
            <w:tcBorders>
              <w:left w:val="single" w:color="000000" w:sz="2" w:space="0"/>
            </w:tcBorders>
            <w:vAlign w:val="center"/>
          </w:tcPr>
          <w:p w14:paraId="0C181E7C">
            <w:pPr>
              <w:keepNext w:val="0"/>
              <w:keepLines w:val="0"/>
              <w:pageBreakBefore w:val="0"/>
              <w:widowControl w:val="0"/>
              <w:kinsoku/>
              <w:wordWrap/>
              <w:topLinePunct w:val="0"/>
              <w:bidi w:val="0"/>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r>
    </w:tbl>
    <w:p w14:paraId="2CC6833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5.3.2.3管道泄漏对地下水环境影响预测与评价</w:t>
      </w:r>
    </w:p>
    <w:p w14:paraId="0B3F347C">
      <w:pPr>
        <w:keepNext w:val="0"/>
        <w:keepLines w:val="0"/>
        <w:pageBreakBefore w:val="0"/>
        <w:widowControl w:val="0"/>
        <w:kinsoku/>
        <w:wordWrap/>
        <w:topLinePunct w:val="0"/>
        <w:bidi w:val="0"/>
        <w:adjustRightInd/>
        <w:snapToGrid/>
        <w:spacing w:after="0" w:line="360" w:lineRule="auto"/>
        <w:ind w:firstLine="480" w:firstLineChars="200"/>
        <w:jc w:val="both"/>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根据《建设项目环境风险评价技术导则》</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HJ169-2018</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附录规定本评价集输油管道泄漏按“泄漏孔径为管径的10%”和“全管径泄漏”两种情况进行预测</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p>
    <w:p w14:paraId="1D471B0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（1）预测情形一：</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泄漏孔径为管径的10%</w:t>
      </w:r>
    </w:p>
    <w:p w14:paraId="69C456C6">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预测源强</w:t>
      </w:r>
    </w:p>
    <w:p w14:paraId="3D7C978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本工程原油集输管道发生破裂时，主要影响区域潜水层位</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，液体泄漏量按照</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《建设项目环境风险评价技术导则》</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HJ169-2018</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）推荐的</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伯努利方程计算。</w:t>
      </w:r>
    </w:p>
    <w:p w14:paraId="6807EA88">
      <w:pPr>
        <w:keepNext w:val="0"/>
        <w:keepLines w:val="0"/>
        <w:pageBreakBefore w:val="0"/>
        <w:widowControl w:val="0"/>
        <w:kinsoku/>
        <w:wordWrap/>
        <w:overflowPunct/>
        <w:topLinePunct w:val="0"/>
        <w:autoSpaceDE/>
        <w:autoSpaceDN/>
        <w:bidi w:val="0"/>
        <w:adjustRightInd w:val="0"/>
        <w:snapToGrid w:val="0"/>
        <w:spacing w:after="0" w:line="240" w:lineRule="auto"/>
        <w:ind w:firstLine="560" w:firstLineChars="200"/>
        <w:jc w:val="center"/>
        <w:textAlignment w:val="auto"/>
        <w:rPr>
          <w:rFonts w:hint="default" w:ascii="Times New Roman" w:hAnsi="Times New Roman" w:eastAsia="宋体" w:cs="Times New Roman"/>
          <w:color w:val="000000" w:themeColor="text1"/>
          <w:sz w:val="28"/>
          <w:szCs w:val="24"/>
          <w:highlight w:val="none"/>
          <w14:textFill>
            <w14:solidFill>
              <w14:schemeClr w14:val="tx1"/>
            </w14:solidFill>
          </w14:textFill>
        </w:rPr>
      </w:pPr>
      <w:r>
        <w:rPr>
          <w:rFonts w:hint="default" w:ascii="Times New Roman" w:hAnsi="Times New Roman" w:eastAsia="宋体" w:cs="Times New Roman"/>
          <w:color w:val="000000" w:themeColor="text1"/>
          <w:position w:val="-30"/>
          <w:sz w:val="28"/>
          <w:szCs w:val="24"/>
          <w:highlight w:val="none"/>
          <w14:textFill>
            <w14:solidFill>
              <w14:schemeClr w14:val="tx1"/>
            </w14:solidFill>
          </w14:textFill>
        </w:rPr>
        <w:object>
          <v:shape id="_x0000_i1026" o:spt="75" type="#_x0000_t75" style="height:36.8pt;width:107pt;" o:ole="t" filled="f" o:preferrelative="t" stroked="f" coordsize="21600,21600">
            <v:path/>
            <v:fill on="f" focussize="0,0"/>
            <v:stroke on="f"/>
            <v:imagedata r:id="rId37" o:title=""/>
            <o:lock v:ext="edit" aspectratio="t"/>
            <w10:wrap type="none"/>
            <w10:anchorlock/>
          </v:shape>
          <o:OLEObject Type="Embed" ProgID="Equation.3" ShapeID="_x0000_i1026" DrawAspect="Content" ObjectID="_1468075728" r:id="rId36">
            <o:LockedField>false</o:LockedField>
          </o:OLEObject>
        </w:object>
      </w:r>
    </w:p>
    <w:p w14:paraId="6929187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式中：Q——液体泄漏速度，kg/s；</w:t>
      </w:r>
    </w:p>
    <w:p w14:paraId="6FA23A5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d</w:t>
      </w:r>
      <w:r>
        <w:rPr>
          <w:rFonts w:hint="default" w:ascii="Times New Roman" w:hAnsi="Times New Roman" w:eastAsia="宋体" w:cs="Times New Roman"/>
          <w:color w:val="000000" w:themeColor="text1"/>
          <w:sz w:val="24"/>
          <w:szCs w:val="24"/>
          <w:highlight w:val="none"/>
          <w14:textFill>
            <w14:solidFill>
              <w14:schemeClr w14:val="tx1"/>
            </w14:solidFill>
          </w14:textFill>
        </w:rPr>
        <w:t>——液体泄漏系数，取值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0.65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AC3909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A——泄漏口面积，㎡，泄漏孔径为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10%管径，则裂口直径为11.4mm</w:t>
      </w:r>
      <w:r>
        <w:rPr>
          <w:rFonts w:hint="default" w:ascii="Times New Roman" w:hAnsi="Times New Roman" w:eastAsia="宋体" w:cs="Times New Roman"/>
          <w:color w:val="000000" w:themeColor="text1"/>
          <w:sz w:val="24"/>
          <w:szCs w:val="24"/>
          <w:highlight w:val="none"/>
          <w14:textFill>
            <w14:solidFill>
              <w14:schemeClr w14:val="tx1"/>
            </w14:solidFill>
          </w14:textFill>
        </w:rPr>
        <w:t>（裂口形状圆形）；</w:t>
      </w:r>
    </w:p>
    <w:p w14:paraId="2D12AC3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ρ——液体的密度，取值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871</w:t>
      </w:r>
      <w:r>
        <w:rPr>
          <w:rFonts w:hint="default" w:ascii="Times New Roman" w:hAnsi="Times New Roman" w:eastAsia="宋体" w:cs="Times New Roman"/>
          <w:color w:val="000000" w:themeColor="text1"/>
          <w:sz w:val="24"/>
          <w:szCs w:val="24"/>
          <w:highlight w:val="none"/>
          <w14:textFill>
            <w14:solidFill>
              <w14:schemeClr w14:val="tx1"/>
            </w14:solidFill>
          </w14:textFill>
        </w:rPr>
        <w:t>kg/m³；</w:t>
      </w:r>
    </w:p>
    <w:p w14:paraId="60A9F3F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P——容器内介质压力，</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Pa；</w:t>
      </w:r>
    </w:p>
    <w:p w14:paraId="0824803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——环境压力，1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Pa；</w:t>
      </w:r>
    </w:p>
    <w:p w14:paraId="29E3E4D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产液综合含水率为</w:t>
      </w: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70.2</w:t>
      </w: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%，泄漏液体中石油类浓度约为</w:t>
      </w: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1000</w:t>
      </w: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mg/L，经伯努利方程计算可知，石油类泄漏源强为0.</w:t>
      </w: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g/s，持续泄漏源强为</w:t>
      </w:r>
      <w:r>
        <w:rPr>
          <w:rFonts w:hint="eastAsia"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51840</w:t>
      </w:r>
      <w:r>
        <w:rPr>
          <w:rFonts w:hint="default" w:ascii="Times New Roman" w:hAnsi="Times New Roman" w:eastAsia="宋体" w:cs="Times New Roman"/>
          <w:snapToGrid w:val="0"/>
          <w:color w:val="000000" w:themeColor="text1"/>
          <w:sz w:val="24"/>
          <w:szCs w:val="28"/>
          <w:highlight w:val="none"/>
          <w:lang w:val="en-US" w:eastAsia="zh-CN" w:bidi="ar-SA"/>
          <w14:textFill>
            <w14:solidFill>
              <w14:schemeClr w14:val="tx1"/>
            </w14:solidFill>
          </w14:textFill>
        </w:rPr>
        <w:t>g/d。</w:t>
      </w:r>
    </w:p>
    <w:p w14:paraId="022BAFC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预测因子</w:t>
      </w:r>
    </w:p>
    <w:p w14:paraId="02D63D4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项目集输管道发生泄漏，导致原油泄漏，污染物有石油类、挥发酚等。根据</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《环境影响评价技术导则</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地下水环境》（HJ610-2016）</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中情景设置预测因子相关要求，对每一类别中的各项因子采取标准指数法进行排序，分别取标准指数最大的因子作为预测因子。根据</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《环境影响评价技术导则陆地石油天然气开发建设项目》（HJ349-2023）</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，在项目集输管道发生泄漏情景下，原油泄漏的主要污染因子为石油类，本次评价最终选取石油类作为预测</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特</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征因子。</w:t>
      </w:r>
    </w:p>
    <w:p w14:paraId="739C84B1">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③</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预测模型</w:t>
      </w:r>
    </w:p>
    <w:p w14:paraId="08B1C9D1">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根据《环境影响评价技术导则 地下水环境》（HJ610-2016）中9.7节预测方法，采用推荐的地下水溶质运移解析法中的一维稳定流动二维弥散点源模型连续注入示踪剂—平面连续点源进行预测。具体如下：</w:t>
      </w:r>
    </w:p>
    <w:p w14:paraId="60A977EB">
      <w:pPr>
        <w:pStyle w:val="6"/>
        <w:spacing w:after="0" w:line="36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3573145" cy="1249045"/>
            <wp:effectExtent l="0" t="0" r="8255" b="825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8"/>
                    <a:stretch>
                      <a:fillRect/>
                    </a:stretch>
                  </pic:blipFill>
                  <pic:spPr>
                    <a:xfrm>
                      <a:off x="0" y="0"/>
                      <a:ext cx="3573145" cy="1249045"/>
                    </a:xfrm>
                    <a:prstGeom prst="rect">
                      <a:avLst/>
                    </a:prstGeom>
                    <a:noFill/>
                    <a:ln>
                      <a:noFill/>
                    </a:ln>
                  </pic:spPr>
                </pic:pic>
              </a:graphicData>
            </a:graphic>
          </wp:inline>
        </w:drawing>
      </w:r>
    </w:p>
    <w:p w14:paraId="5291EFF3">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式中：</w:t>
      </w:r>
    </w:p>
    <w:p w14:paraId="6C60441D">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x，y—计算点处的位置坐标；</w:t>
      </w:r>
    </w:p>
    <w:p w14:paraId="324EE258">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t—时间，d；</w:t>
      </w:r>
    </w:p>
    <w:p w14:paraId="78F28551">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C（x，y，t）—t时刻点x，y处的浓度，g/L；</w:t>
      </w:r>
    </w:p>
    <w:p w14:paraId="5C0BBD25">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M—含水层的厚度，m；</w:t>
      </w:r>
    </w:p>
    <w:p w14:paraId="61C8AD5B">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 t —单位时间注入的质量，kg/d；</w:t>
      </w:r>
    </w:p>
    <w:p w14:paraId="3474E347">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u—水流速度，m/d；</w:t>
      </w:r>
    </w:p>
    <w:p w14:paraId="3A6D630B">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n—有效孔隙度；</w:t>
      </w:r>
    </w:p>
    <w:p w14:paraId="576C02EB">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w:t>
      </w:r>
      <w:r>
        <w:rPr>
          <w:rFonts w:hint="default" w:ascii="Times New Roman" w:hAnsi="Times New Roman" w:eastAsia="宋体" w:cs="Times New Roman"/>
          <w:snapToGrid w:val="0"/>
          <w:color w:val="000000" w:themeColor="text1"/>
          <w:sz w:val="24"/>
          <w:szCs w:val="20"/>
          <w:highlight w:val="none"/>
          <w:vertAlign w:val="subscript"/>
          <w:lang w:val="en-US" w:eastAsia="zh-CN" w:bidi="ar-SA"/>
          <w14:textFill>
            <w14:solidFill>
              <w14:schemeClr w14:val="tx1"/>
            </w14:solidFill>
          </w14:textFill>
        </w:rPr>
        <w:t>L</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—纵向弥散系数，m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w:t>
      </w:r>
    </w:p>
    <w:p w14:paraId="55D6CA2F">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w:t>
      </w:r>
      <w:r>
        <w:rPr>
          <w:rFonts w:hint="default" w:ascii="Times New Roman" w:hAnsi="Times New Roman" w:eastAsia="宋体" w:cs="Times New Roman"/>
          <w:snapToGrid w:val="0"/>
          <w:color w:val="000000" w:themeColor="text1"/>
          <w:sz w:val="24"/>
          <w:szCs w:val="20"/>
          <w:highlight w:val="none"/>
          <w:vertAlign w:val="subscript"/>
          <w:lang w:val="en-US" w:eastAsia="zh-CN" w:bidi="ar-SA"/>
          <w14:textFill>
            <w14:solidFill>
              <w14:schemeClr w14:val="tx1"/>
            </w14:solidFill>
          </w14:textFill>
        </w:rPr>
        <w:t>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—横向y方向的弥散系数，m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w:t>
      </w:r>
    </w:p>
    <w:p w14:paraId="022888B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④</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参数选取</w:t>
      </w:r>
    </w:p>
    <w:p w14:paraId="57E87E2A">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根据《大庆市水文地质勘察报告》（石油管理局），该地区的水文地质条件，评价区内潜水含水层的渗透系数为5m/d，水力坡度为0.0007，区域地下水纵向弥散系数0.2m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/d，横向弥散系数0.02m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/d，潜水地下水流速度0.0035m/d，潜水含水层厚度</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m，有效孔隙度为0.2，化学反应常数为0。</w:t>
      </w:r>
    </w:p>
    <w:p w14:paraId="16374E2C">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⑤</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预测时段</w:t>
      </w:r>
    </w:p>
    <w:p w14:paraId="28C24DC0">
      <w:pPr>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地下水环境影响预测时段应选取可能产生地下水污染的关键时段，至少包括污染发生后100d、1000d，服务年限或能反映特征因子迁移规律的其他重要的时间节点（本项目选择预测</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3650</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d）。</w:t>
      </w:r>
    </w:p>
    <w:p w14:paraId="0EE1E7F8">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⑥</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预测结果</w:t>
      </w:r>
    </w:p>
    <w:p w14:paraId="52A3727C">
      <w:pPr>
        <w:widowControl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管线泄漏</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预测情景（</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泄漏孔径为管径的10%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）分别</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泄漏100d、1000d、</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3650</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d对地下水的影响预测结果见表5.3-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泄漏孔径为管径的10%预测图见图5.3-1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~图5.3-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7C9DBB4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2" w:firstLineChars="200"/>
        <w:jc w:val="center"/>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表5.3-</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 xml:space="preserve">  集油管线破损泄漏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（泄漏孔径为管径的10%）</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预测结果表</w:t>
      </w:r>
    </w:p>
    <w:tbl>
      <w:tblPr>
        <w:tblStyle w:val="1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881"/>
        <w:gridCol w:w="1070"/>
        <w:gridCol w:w="1289"/>
        <w:gridCol w:w="1358"/>
        <w:gridCol w:w="1716"/>
        <w:gridCol w:w="1360"/>
      </w:tblGrid>
      <w:tr w14:paraId="30973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 w:type="pct"/>
            <w:tcBorders>
              <w:tl2br w:val="nil"/>
              <w:tr2bl w:val="nil"/>
            </w:tcBorders>
            <w:vAlign w:val="center"/>
          </w:tcPr>
          <w:p w14:paraId="7910B45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预测</w:t>
            </w:r>
          </w:p>
        </w:tc>
        <w:tc>
          <w:tcPr>
            <w:tcW w:w="474" w:type="pct"/>
            <w:tcBorders>
              <w:tl2br w:val="nil"/>
              <w:tr2bl w:val="nil"/>
            </w:tcBorders>
            <w:vAlign w:val="center"/>
          </w:tcPr>
          <w:p w14:paraId="358E7D7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污染物</w:t>
            </w:r>
          </w:p>
        </w:tc>
        <w:tc>
          <w:tcPr>
            <w:tcW w:w="576" w:type="pct"/>
            <w:tcBorders>
              <w:tl2br w:val="nil"/>
              <w:tr2bl w:val="nil"/>
            </w:tcBorders>
            <w:vAlign w:val="center"/>
          </w:tcPr>
          <w:p w14:paraId="0CF18F6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预测时间</w:t>
            </w:r>
          </w:p>
        </w:tc>
        <w:tc>
          <w:tcPr>
            <w:tcW w:w="694" w:type="pct"/>
            <w:tcBorders>
              <w:tl2br w:val="nil"/>
              <w:tr2bl w:val="nil"/>
            </w:tcBorders>
            <w:vAlign w:val="center"/>
          </w:tcPr>
          <w:p w14:paraId="3118C0B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超标距离m</w:t>
            </w:r>
          </w:p>
        </w:tc>
        <w:tc>
          <w:tcPr>
            <w:tcW w:w="731" w:type="pct"/>
            <w:tcBorders>
              <w:tl2br w:val="nil"/>
              <w:tr2bl w:val="nil"/>
            </w:tcBorders>
            <w:vAlign w:val="center"/>
          </w:tcPr>
          <w:p w14:paraId="02D1B97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超标面积m</w:t>
            </w:r>
            <w:r>
              <w:rPr>
                <w:rFonts w:hint="default" w:ascii="Times New Roman" w:hAnsi="Times New Roman" w:eastAsia="宋体" w:cs="Times New Roman"/>
                <w:b w:val="0"/>
                <w:bCs/>
                <w:snapToGrid w:val="0"/>
                <w:color w:val="000000" w:themeColor="text1"/>
                <w:kern w:val="2"/>
                <w:sz w:val="21"/>
                <w:szCs w:val="21"/>
                <w:highlight w:val="none"/>
                <w:vertAlign w:val="superscript"/>
                <w:lang w:val="en-US" w:eastAsia="zh-CN" w:bidi="ar-SA"/>
                <w14:textFill>
                  <w14:solidFill>
                    <w14:schemeClr w14:val="tx1"/>
                  </w14:solidFill>
                </w14:textFill>
              </w:rPr>
              <w:t>2</w:t>
            </w:r>
          </w:p>
        </w:tc>
        <w:tc>
          <w:tcPr>
            <w:tcW w:w="924" w:type="pct"/>
            <w:tcBorders>
              <w:tl2br w:val="nil"/>
              <w:tr2bl w:val="nil"/>
            </w:tcBorders>
            <w:vAlign w:val="center"/>
          </w:tcPr>
          <w:p w14:paraId="02E4A44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最大迁移距离</w:t>
            </w: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m</w:t>
            </w:r>
          </w:p>
        </w:tc>
        <w:tc>
          <w:tcPr>
            <w:tcW w:w="732" w:type="pct"/>
            <w:tcBorders>
              <w:tl2br w:val="nil"/>
              <w:tr2bl w:val="nil"/>
            </w:tcBorders>
            <w:vAlign w:val="center"/>
          </w:tcPr>
          <w:p w14:paraId="3741857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影响面积m</w:t>
            </w:r>
            <w:r>
              <w:rPr>
                <w:rFonts w:hint="default" w:ascii="Times New Roman" w:hAnsi="Times New Roman" w:eastAsia="宋体" w:cs="Times New Roman"/>
                <w:b w:val="0"/>
                <w:bCs/>
                <w:snapToGrid w:val="0"/>
                <w:color w:val="000000" w:themeColor="text1"/>
                <w:kern w:val="2"/>
                <w:sz w:val="21"/>
                <w:szCs w:val="21"/>
                <w:highlight w:val="none"/>
                <w:vertAlign w:val="superscript"/>
                <w:lang w:val="en-US" w:eastAsia="zh-CN" w:bidi="ar-SA"/>
                <w14:textFill>
                  <w14:solidFill>
                    <w14:schemeClr w14:val="tx1"/>
                  </w14:solidFill>
                </w14:textFill>
              </w:rPr>
              <w:t>2</w:t>
            </w:r>
          </w:p>
        </w:tc>
      </w:tr>
      <w:tr w14:paraId="78540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65" w:type="pct"/>
            <w:vMerge w:val="restart"/>
            <w:tcBorders>
              <w:tl2br w:val="nil"/>
              <w:tr2bl w:val="nil"/>
            </w:tcBorders>
            <w:vAlign w:val="center"/>
          </w:tcPr>
          <w:p w14:paraId="6933343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泄漏孔径为管径的10%</w:t>
            </w:r>
          </w:p>
        </w:tc>
        <w:tc>
          <w:tcPr>
            <w:tcW w:w="474" w:type="pct"/>
            <w:vMerge w:val="restart"/>
            <w:tcBorders>
              <w:tl2br w:val="nil"/>
              <w:tr2bl w:val="nil"/>
            </w:tcBorders>
            <w:vAlign w:val="center"/>
          </w:tcPr>
          <w:p w14:paraId="4650485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石油类</w:t>
            </w:r>
          </w:p>
        </w:tc>
        <w:tc>
          <w:tcPr>
            <w:tcW w:w="576" w:type="pct"/>
            <w:tcBorders>
              <w:tl2br w:val="nil"/>
              <w:tr2bl w:val="nil"/>
            </w:tcBorders>
            <w:vAlign w:val="center"/>
          </w:tcPr>
          <w:p w14:paraId="4A7BCCB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100d</w:t>
            </w:r>
          </w:p>
        </w:tc>
        <w:tc>
          <w:tcPr>
            <w:tcW w:w="694" w:type="pct"/>
            <w:tcBorders>
              <w:tl2br w:val="nil"/>
              <w:tr2bl w:val="nil"/>
            </w:tcBorders>
            <w:vAlign w:val="center"/>
          </w:tcPr>
          <w:p w14:paraId="77F1278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32</w:t>
            </w:r>
          </w:p>
        </w:tc>
        <w:tc>
          <w:tcPr>
            <w:tcW w:w="731" w:type="pct"/>
            <w:tcBorders>
              <w:tl2br w:val="nil"/>
              <w:tr2bl w:val="nil"/>
            </w:tcBorders>
            <w:vAlign w:val="center"/>
          </w:tcPr>
          <w:p w14:paraId="25A5007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945</w:t>
            </w:r>
          </w:p>
        </w:tc>
        <w:tc>
          <w:tcPr>
            <w:tcW w:w="924" w:type="pct"/>
            <w:tcBorders>
              <w:tl2br w:val="nil"/>
              <w:tr2bl w:val="nil"/>
            </w:tcBorders>
            <w:vAlign w:val="center"/>
          </w:tcPr>
          <w:p w14:paraId="028906A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34</w:t>
            </w:r>
          </w:p>
        </w:tc>
        <w:tc>
          <w:tcPr>
            <w:tcW w:w="732" w:type="pct"/>
            <w:tcBorders>
              <w:tl2br w:val="nil"/>
              <w:tr2bl w:val="nil"/>
            </w:tcBorders>
            <w:vAlign w:val="center"/>
          </w:tcPr>
          <w:p w14:paraId="3A19316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1080</w:t>
            </w:r>
          </w:p>
        </w:tc>
      </w:tr>
      <w:tr w14:paraId="50674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 w:type="pct"/>
            <w:vMerge w:val="continue"/>
            <w:tcBorders>
              <w:tl2br w:val="nil"/>
              <w:tr2bl w:val="nil"/>
            </w:tcBorders>
            <w:vAlign w:val="center"/>
          </w:tcPr>
          <w:p w14:paraId="3A395A2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p>
        </w:tc>
        <w:tc>
          <w:tcPr>
            <w:tcW w:w="474" w:type="pct"/>
            <w:vMerge w:val="continue"/>
            <w:tcBorders>
              <w:tl2br w:val="nil"/>
              <w:tr2bl w:val="nil"/>
            </w:tcBorders>
            <w:vAlign w:val="center"/>
          </w:tcPr>
          <w:p w14:paraId="7AB07590">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pPr>
          </w:p>
        </w:tc>
        <w:tc>
          <w:tcPr>
            <w:tcW w:w="576" w:type="pct"/>
            <w:tcBorders>
              <w:tl2br w:val="nil"/>
              <w:tr2bl w:val="nil"/>
            </w:tcBorders>
            <w:vAlign w:val="center"/>
          </w:tcPr>
          <w:p w14:paraId="292E53F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1000d</w:t>
            </w:r>
          </w:p>
        </w:tc>
        <w:tc>
          <w:tcPr>
            <w:tcW w:w="694" w:type="pct"/>
            <w:tcBorders>
              <w:tl2br w:val="nil"/>
              <w:tr2bl w:val="nil"/>
            </w:tcBorders>
            <w:vAlign w:val="center"/>
          </w:tcPr>
          <w:p w14:paraId="4CB888F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101</w:t>
            </w:r>
          </w:p>
        </w:tc>
        <w:tc>
          <w:tcPr>
            <w:tcW w:w="731" w:type="pct"/>
            <w:tcBorders>
              <w:tl2br w:val="nil"/>
              <w:tr2bl w:val="nil"/>
            </w:tcBorders>
            <w:vAlign w:val="center"/>
          </w:tcPr>
          <w:p w14:paraId="24699C0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9216</w:t>
            </w:r>
          </w:p>
        </w:tc>
        <w:tc>
          <w:tcPr>
            <w:tcW w:w="924" w:type="pct"/>
            <w:tcBorders>
              <w:tl2br w:val="nil"/>
              <w:tr2bl w:val="nil"/>
            </w:tcBorders>
            <w:vAlign w:val="center"/>
          </w:tcPr>
          <w:p w14:paraId="54840D0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107</w:t>
            </w:r>
          </w:p>
        </w:tc>
        <w:tc>
          <w:tcPr>
            <w:tcW w:w="732" w:type="pct"/>
            <w:tcBorders>
              <w:tl2br w:val="nil"/>
              <w:tr2bl w:val="nil"/>
            </w:tcBorders>
            <w:vAlign w:val="center"/>
          </w:tcPr>
          <w:p w14:paraId="0F58B3D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10560</w:t>
            </w:r>
          </w:p>
        </w:tc>
      </w:tr>
      <w:tr w14:paraId="0045B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 w:type="pct"/>
            <w:vMerge w:val="continue"/>
            <w:tcBorders>
              <w:tl2br w:val="nil"/>
              <w:tr2bl w:val="nil"/>
            </w:tcBorders>
            <w:vAlign w:val="center"/>
          </w:tcPr>
          <w:p w14:paraId="7CD75C3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p>
        </w:tc>
        <w:tc>
          <w:tcPr>
            <w:tcW w:w="474" w:type="pct"/>
            <w:vMerge w:val="continue"/>
            <w:tcBorders>
              <w:tl2br w:val="nil"/>
              <w:tr2bl w:val="nil"/>
            </w:tcBorders>
            <w:vAlign w:val="center"/>
          </w:tcPr>
          <w:p w14:paraId="12A5EA3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pPr>
          </w:p>
        </w:tc>
        <w:tc>
          <w:tcPr>
            <w:tcW w:w="576" w:type="pct"/>
            <w:tcBorders>
              <w:tl2br w:val="nil"/>
              <w:tr2bl w:val="nil"/>
            </w:tcBorders>
            <w:vAlign w:val="center"/>
          </w:tcPr>
          <w:p w14:paraId="41E09B8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3650d</w:t>
            </w:r>
          </w:p>
        </w:tc>
        <w:tc>
          <w:tcPr>
            <w:tcW w:w="694" w:type="pct"/>
            <w:tcBorders>
              <w:tl2br w:val="nil"/>
              <w:tr2bl w:val="nil"/>
            </w:tcBorders>
            <w:vAlign w:val="center"/>
          </w:tcPr>
          <w:p w14:paraId="5FD864F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199</w:t>
            </w:r>
          </w:p>
        </w:tc>
        <w:tc>
          <w:tcPr>
            <w:tcW w:w="731" w:type="pct"/>
            <w:tcBorders>
              <w:tl2br w:val="nil"/>
              <w:tr2bl w:val="nil"/>
            </w:tcBorders>
            <w:vAlign w:val="center"/>
          </w:tcPr>
          <w:p w14:paraId="5FEA6BB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34200</w:t>
            </w:r>
          </w:p>
        </w:tc>
        <w:tc>
          <w:tcPr>
            <w:tcW w:w="924" w:type="pct"/>
            <w:tcBorders>
              <w:tl2br w:val="nil"/>
              <w:tr2bl w:val="nil"/>
            </w:tcBorders>
            <w:vAlign w:val="center"/>
          </w:tcPr>
          <w:p w14:paraId="60E29AC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210</w:t>
            </w:r>
          </w:p>
        </w:tc>
        <w:tc>
          <w:tcPr>
            <w:tcW w:w="732" w:type="pct"/>
            <w:tcBorders>
              <w:tl2br w:val="nil"/>
              <w:tr2bl w:val="nil"/>
            </w:tcBorders>
            <w:vAlign w:val="center"/>
          </w:tcPr>
          <w:p w14:paraId="65A7D8F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vertAlign w:val="baseline"/>
                <w:lang w:val="en-US" w:eastAsia="zh-CN" w:bidi="ar-SA"/>
                <w14:textFill>
                  <w14:solidFill>
                    <w14:schemeClr w14:val="tx1"/>
                  </w14:solidFill>
                </w14:textFill>
              </w:rPr>
              <w:t>39600</w:t>
            </w:r>
          </w:p>
        </w:tc>
      </w:tr>
    </w:tbl>
    <w:p w14:paraId="22C8292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0" w:firstLineChars="200"/>
        <w:jc w:val="center"/>
        <w:textAlignment w:val="auto"/>
        <w:rPr>
          <w:rFonts w:hint="eastAsia" w:ascii="Times New Roman" w:hAnsi="Times New Roman" w:eastAsia="微软雅黑"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2440940</wp:posOffset>
                </wp:positionH>
                <wp:positionV relativeFrom="paragraph">
                  <wp:posOffset>2243455</wp:posOffset>
                </wp:positionV>
                <wp:extent cx="810895" cy="448945"/>
                <wp:effectExtent l="0" t="49530" r="0" b="0"/>
                <wp:wrapNone/>
                <wp:docPr id="117" name="组合 117"/>
                <wp:cNvGraphicFramePr/>
                <a:graphic xmlns:a="http://schemas.openxmlformats.org/drawingml/2006/main">
                  <a:graphicData uri="http://schemas.microsoft.com/office/word/2010/wordprocessingGroup">
                    <wpg:wgp>
                      <wpg:cNvGrpSpPr/>
                      <wpg:grpSpPr>
                        <a:xfrm>
                          <a:off x="0" y="0"/>
                          <a:ext cx="810895" cy="448945"/>
                          <a:chOff x="8763" y="4333737"/>
                          <a:chExt cx="1277" cy="707"/>
                        </a:xfrm>
                      </wpg:grpSpPr>
                      <wps:wsp>
                        <wps:cNvPr id="21" name="右箭头 34"/>
                        <wps:cNvSpPr/>
                        <wps:spPr>
                          <a:xfrm rot="780000" flipH="1">
                            <a:off x="9006" y="4333737"/>
                            <a:ext cx="750" cy="222"/>
                          </a:xfrm>
                          <a:prstGeom prst="rightArrow">
                            <a:avLst>
                              <a:gd name="adj1" fmla="val 23756"/>
                              <a:gd name="adj2" fmla="val 50000"/>
                            </a:avLst>
                          </a:prstGeom>
                          <a:solidFill>
                            <a:srgbClr val="5B9BD5"/>
                          </a:solidFill>
                          <a:ln w="12700" cap="flat" cmpd="sng" algn="ctr">
                            <a:solidFill>
                              <a:srgbClr val="5B9BD5">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 name="文本框 35"/>
                        <wps:cNvSpPr txBox="1"/>
                        <wps:spPr>
                          <a:xfrm>
                            <a:off x="8763" y="4333958"/>
                            <a:ext cx="1277" cy="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24ECF">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2.2pt;margin-top:176.65pt;height:35.35pt;width:63.85pt;z-index:251666432;mso-width-relative:page;mso-height-relative:page;" coordorigin="8763,4333737" coordsize="1277,707" o:gfxdata="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nByhOdsAAAALAQAADwAAAAAAAAABACAAAAAiAAAAZHJzL2Rvd25yZXYueG1sUEsB&#10;AhQAFAAAAAgAh07iQHl5q+y6AwAAagkAAA4AAAAAAAAAAQAgAAAAKgEAAGRycy9lMm9Eb2MueG1s&#10;UEsFBgAAAAAGAAYAWQEAAFYHAAAAAA==&#10;">
                <o:lock v:ext="edit" aspectratio="f"/>
                <v:shape id="右箭头 34" o:spid="_x0000_s1026" o:spt="13" type="#_x0000_t13" style="position:absolute;left:9006;top:4333737;flip:x;height:222;width:750;rotation:-851968f;v-text-anchor:middle;" fillcolor="#5B9BD5" filled="t" stroked="t" coordsize="21600,21600" o:gfxdata="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aBsvQAA&#10;ANsAAAAPAAAAAAAAAAEAIAAAACIAAABkcnMvZG93bnJldi54bWxQSwECFAAUAAAACACHTuJAMy8F&#10;njsAAAA5AAAAEAAAAAAAAAABACAAAAAMAQAAZHJzL3NoYXBleG1sLnhtbFBLBQYAAAAABgAGAFsB&#10;AAC2AwAAAAA=&#10;" adj="18404,8234">
                  <v:fill on="t" focussize="0,0"/>
                  <v:stroke weight="1pt" color="#2E75B6 [2404]" miterlimit="8" joinstyle="miter"/>
                  <v:imagedata o:title=""/>
                  <o:lock v:ext="edit" aspectratio="f"/>
                </v:shape>
                <v:shape id="文本框 35" o:spid="_x0000_s1026" o:spt="202" type="#_x0000_t202" style="position:absolute;left:8763;top:4333958;height:486;width:1277;"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C824ECF">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v:textbox>
                </v:shape>
              </v:group>
            </w:pict>
          </mc:Fallback>
        </mc:AlternateContent>
      </w:r>
      <w:r>
        <w:rPr>
          <w:rFonts w:hint="eastAsia" w:ascii="Times New Roman" w:hAnsi="Times New Roman" w:eastAsia="微软雅黑" w:cs="Times New Roman"/>
          <w:snapToGrid w:val="0"/>
          <w:color w:val="000000" w:themeColor="text1"/>
          <w:sz w:val="24"/>
          <w:szCs w:val="20"/>
          <w:highlight w:val="none"/>
          <w:lang w:val="en-US" w:eastAsia="zh-CN" w:bidi="ar-SA"/>
          <w14:textFill>
            <w14:solidFill>
              <w14:schemeClr w14:val="tx1"/>
            </w14:solidFill>
          </w14:textFill>
        </w:rPr>
        <w:drawing>
          <wp:inline distT="0" distB="0" distL="114300" distR="114300">
            <wp:extent cx="4287520" cy="3728085"/>
            <wp:effectExtent l="0" t="0" r="17780" b="5715"/>
            <wp:docPr id="5" name="图片 5" descr="402a2705cb920c78ad6f8a24a8655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2a2705cb920c78ad6f8a24a8655c36"/>
                    <pic:cNvPicPr>
                      <a:picLocks noChangeAspect="1"/>
                    </pic:cNvPicPr>
                  </pic:nvPicPr>
                  <pic:blipFill>
                    <a:blip r:embed="rId39"/>
                    <a:stretch>
                      <a:fillRect/>
                    </a:stretch>
                  </pic:blipFill>
                  <pic:spPr>
                    <a:xfrm>
                      <a:off x="0" y="0"/>
                      <a:ext cx="4287520" cy="3728085"/>
                    </a:xfrm>
                    <a:prstGeom prst="rect">
                      <a:avLst/>
                    </a:prstGeom>
                  </pic:spPr>
                </pic:pic>
              </a:graphicData>
            </a:graphic>
          </wp:inline>
        </w:drawing>
      </w:r>
    </w:p>
    <w:p w14:paraId="114B26B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图5.3-</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 xml:space="preserve">  管线泄漏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（泄漏孔径为管径的10%）</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100d石油类对潜水的影响预测结果图</w:t>
      </w:r>
    </w:p>
    <w:p w14:paraId="4F83941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0" w:firstLineChars="200"/>
        <w:jc w:val="center"/>
        <w:textAlignment w:val="auto"/>
        <w:rPr>
          <w:rFonts w:hint="eastAsia" w:ascii="Times New Roman" w:hAnsi="Times New Roman" w:eastAsia="微软雅黑"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2424430</wp:posOffset>
                </wp:positionH>
                <wp:positionV relativeFrom="paragraph">
                  <wp:posOffset>2192020</wp:posOffset>
                </wp:positionV>
                <wp:extent cx="810895" cy="480695"/>
                <wp:effectExtent l="0" t="49530" r="0" b="0"/>
                <wp:wrapNone/>
                <wp:docPr id="120" name="组合 120"/>
                <wp:cNvGraphicFramePr/>
                <a:graphic xmlns:a="http://schemas.openxmlformats.org/drawingml/2006/main">
                  <a:graphicData uri="http://schemas.microsoft.com/office/word/2010/wordprocessingGroup">
                    <wpg:wgp>
                      <wpg:cNvGrpSpPr/>
                      <wpg:grpSpPr>
                        <a:xfrm>
                          <a:off x="0" y="0"/>
                          <a:ext cx="810895" cy="480695"/>
                          <a:chOff x="8647" y="4334026"/>
                          <a:chExt cx="1277" cy="757"/>
                        </a:xfrm>
                      </wpg:grpSpPr>
                      <wps:wsp>
                        <wps:cNvPr id="121" name="右箭头 34"/>
                        <wps:cNvSpPr/>
                        <wps:spPr>
                          <a:xfrm rot="780000" flipH="1">
                            <a:off x="8864" y="4334026"/>
                            <a:ext cx="750" cy="222"/>
                          </a:xfrm>
                          <a:prstGeom prst="rightArrow">
                            <a:avLst>
                              <a:gd name="adj1" fmla="val 23756"/>
                              <a:gd name="adj2" fmla="val 50000"/>
                            </a:avLst>
                          </a:prstGeom>
                          <a:solidFill>
                            <a:srgbClr val="5B9BD5"/>
                          </a:solidFill>
                          <a:ln w="12700" cap="flat" cmpd="sng" algn="ctr">
                            <a:solidFill>
                              <a:srgbClr val="5B9BD5">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35"/>
                        <wps:cNvSpPr txBox="1"/>
                        <wps:spPr>
                          <a:xfrm>
                            <a:off x="8647" y="4334297"/>
                            <a:ext cx="1277" cy="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EB9DE">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0.9pt;margin-top:172.6pt;height:37.85pt;width:63.85pt;z-index:251667456;mso-width-relative:page;mso-height-relative:page;" coordorigin="8647,4334026" coordsize="1277,757" o:gfxdata="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HVX0LbbAAAACwEAAA8AAAAAAAAAAQAgAAAAIgAAAGRycy9kb3ducmV2LnhtbFBLAQIUABQA&#10;AAAIAIdO4kBqyZPdtQMAAGoJAAAOAAAAAAAAAAEAIAAAACoBAABkcnMvZTJvRG9jLnhtbFBLBQYA&#10;AAAABgAGAFkBAABRBwAAAAA=&#10;">
                <o:lock v:ext="edit" aspectratio="f"/>
                <v:shape id="右箭头 34" o:spid="_x0000_s1026" o:spt="13" type="#_x0000_t13" style="position:absolute;left:8864;top:4334026;flip:x;height:222;width:750;rotation:-851968f;v-text-anchor:middle;" fillcolor="#5B9BD5" filled="t" stroked="t" coordsize="21600,21600" o:gfxdata="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zs4rsAAADc&#10;AAAADwAAAAAAAAABACAAAAAiAAAAZHJzL2Rvd25yZXYueG1sUEsBAhQAFAAAAAgAh07iQDMvBZ47&#10;AAAAOQAAABAAAAAAAAAAAQAgAAAACgEAAGRycy9zaGFwZXhtbC54bWxQSwUGAAAAAAYABgBbAQAA&#10;tAMAAAAA&#10;" adj="18404,8234">
                  <v:fill on="t" focussize="0,0"/>
                  <v:stroke weight="1pt" color="#2E75B6 [2404]" miterlimit="8" joinstyle="miter"/>
                  <v:imagedata o:title=""/>
                  <o:lock v:ext="edit" aspectratio="f"/>
                </v:shape>
                <v:shape id="文本框 35" o:spid="_x0000_s1026" o:spt="202" type="#_x0000_t202" style="position:absolute;left:8647;top:4334297;height:486;width:1277;"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3DEB9DE">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v:textbox>
                </v:shape>
              </v:group>
            </w:pict>
          </mc:Fallback>
        </mc:AlternateContent>
      </w:r>
      <w:r>
        <w:rPr>
          <w:rFonts w:hint="default" w:ascii="Times New Roman" w:hAnsi="Times New Roman" w:cs="Times New Roman"/>
          <w:color w:val="000000" w:themeColor="text1"/>
          <w:sz w:val="24"/>
          <w:highlight w:val="none"/>
          <w14:textFill>
            <w14:solidFill>
              <w14:schemeClr w14:val="tx1"/>
            </w14:solidFill>
          </w14:textFill>
        </w:rPr>
        <w:drawing>
          <wp:inline distT="0" distB="0" distL="114300" distR="114300">
            <wp:extent cx="4342765" cy="3646170"/>
            <wp:effectExtent l="0" t="0" r="635" b="11430"/>
            <wp:docPr id="6" name="图片 6" descr="2a1a492261dac8b66da400aa301b4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a1a492261dac8b66da400aa301b42a3"/>
                    <pic:cNvPicPr>
                      <a:picLocks noChangeAspect="1"/>
                    </pic:cNvPicPr>
                  </pic:nvPicPr>
                  <pic:blipFill>
                    <a:blip r:embed="rId40"/>
                    <a:stretch>
                      <a:fillRect/>
                    </a:stretch>
                  </pic:blipFill>
                  <pic:spPr>
                    <a:xfrm>
                      <a:off x="0" y="0"/>
                      <a:ext cx="4342765" cy="3646170"/>
                    </a:xfrm>
                    <a:prstGeom prst="rect">
                      <a:avLst/>
                    </a:prstGeom>
                  </pic:spPr>
                </pic:pic>
              </a:graphicData>
            </a:graphic>
          </wp:inline>
        </w:drawing>
      </w:r>
    </w:p>
    <w:p w14:paraId="384B9E5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图5.3-</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 xml:space="preserve">  管线泄漏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（泄漏孔径为管径的10%）</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1000d石油类对潜水的影响预测结果图</w:t>
      </w:r>
    </w:p>
    <w:p w14:paraId="6C07CA2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0" w:firstLineChars="200"/>
        <w:jc w:val="center"/>
        <w:textAlignment w:val="auto"/>
        <w:rPr>
          <w:rFonts w:hint="eastAsia" w:ascii="Times New Roman" w:hAnsi="Times New Roman" w:eastAsia="微软雅黑"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2536190</wp:posOffset>
                </wp:positionH>
                <wp:positionV relativeFrom="paragraph">
                  <wp:posOffset>1945640</wp:posOffset>
                </wp:positionV>
                <wp:extent cx="810895" cy="401320"/>
                <wp:effectExtent l="0" t="41910" r="0" b="0"/>
                <wp:wrapNone/>
                <wp:docPr id="124" name="组合 124"/>
                <wp:cNvGraphicFramePr/>
                <a:graphic xmlns:a="http://schemas.openxmlformats.org/drawingml/2006/main">
                  <a:graphicData uri="http://schemas.microsoft.com/office/word/2010/wordprocessingGroup">
                    <wpg:wgp>
                      <wpg:cNvGrpSpPr/>
                      <wpg:grpSpPr>
                        <a:xfrm>
                          <a:off x="0" y="0"/>
                          <a:ext cx="810895" cy="401320"/>
                          <a:chOff x="8973" y="4333677"/>
                          <a:chExt cx="1277" cy="632"/>
                        </a:xfrm>
                      </wpg:grpSpPr>
                      <wps:wsp>
                        <wps:cNvPr id="49" name="右箭头 34"/>
                        <wps:cNvSpPr/>
                        <wps:spPr>
                          <a:xfrm rot="600000" flipH="1">
                            <a:off x="9096" y="4333677"/>
                            <a:ext cx="750" cy="222"/>
                          </a:xfrm>
                          <a:prstGeom prst="rightArrow">
                            <a:avLst>
                              <a:gd name="adj1" fmla="val 23756"/>
                              <a:gd name="adj2" fmla="val 50000"/>
                            </a:avLst>
                          </a:prstGeom>
                          <a:solidFill>
                            <a:srgbClr val="5B9BD5"/>
                          </a:solidFill>
                          <a:ln w="12700" cap="flat" cmpd="sng" algn="ctr">
                            <a:solidFill>
                              <a:srgbClr val="5B9BD5">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文本框 35"/>
                        <wps:cNvSpPr txBox="1"/>
                        <wps:spPr>
                          <a:xfrm>
                            <a:off x="8973" y="4333823"/>
                            <a:ext cx="1277" cy="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BF21F">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9.7pt;margin-top:153.2pt;height:31.6pt;width:63.85pt;z-index:251668480;mso-width-relative:page;mso-height-relative:page;" coordorigin="8973,4333677" coordsize="1277,632" o:gfxdata="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IZGWP2wAAAAsBAAAPAAAAAAAAAAEAIAAAACIAAABkcnMvZG93bnJldi54bWxQSwEC&#10;FAAUAAAACACHTuJAq0Uh6bkDAABqCQAADgAAAAAAAAABACAAAAAqAQAAZHJzL2Uyb0RvYy54bWxQ&#10;SwUGAAAAAAYABgBZAQAAVQcAAAAA&#10;">
                <o:lock v:ext="edit" aspectratio="f"/>
                <v:shape id="右箭头 34" o:spid="_x0000_s1026" o:spt="13" type="#_x0000_t13" style="position:absolute;left:9096;top:4333677;flip:x;height:222;width:750;rotation:-655360f;v-text-anchor:middle;" fillcolor="#5B9BD5" filled="t" stroked="t" coordsize="21600,21600" o:gfxdata="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tUG7sAAADb&#10;AAAADwAAAAAAAAABACAAAAAiAAAAZHJzL2Rvd25yZXYueG1sUEsBAhQAFAAAAAgAh07iQDMvBZ47&#10;AAAAOQAAABAAAAAAAAAAAQAgAAAACgEAAGRycy9zaGFwZXhtbC54bWxQSwUGAAAAAAYABgBbAQAA&#10;tAMAAAAA&#10;" adj="18404,8234">
                  <v:fill on="t" focussize="0,0"/>
                  <v:stroke weight="1pt" color="#2E75B6 [2404]" miterlimit="8" joinstyle="miter"/>
                  <v:imagedata o:title=""/>
                  <o:lock v:ext="edit" aspectratio="f"/>
                </v:shape>
                <v:shape id="文本框 35" o:spid="_x0000_s1026" o:spt="202" type="#_x0000_t202" style="position:absolute;left:8973;top:4333823;height:486;width:1277;"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07BF21F">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v:textbox>
                </v:shape>
              </v:group>
            </w:pict>
          </mc:Fallback>
        </mc:AlternateContent>
      </w:r>
      <w:r>
        <w:rPr>
          <w:rFonts w:hint="default" w:ascii="Times New Roman" w:hAnsi="Times New Roman" w:cs="Times New Roman"/>
          <w:color w:val="000000" w:themeColor="text1"/>
          <w:sz w:val="24"/>
          <w:highlight w:val="none"/>
          <w14:textFill>
            <w14:solidFill>
              <w14:schemeClr w14:val="tx1"/>
            </w14:solidFill>
          </w14:textFill>
        </w:rPr>
        <w:drawing>
          <wp:inline distT="0" distB="0" distL="114300" distR="114300">
            <wp:extent cx="4084320" cy="3497580"/>
            <wp:effectExtent l="0" t="0" r="11430" b="7620"/>
            <wp:docPr id="8" name="图片 8" descr="934f1a7387183d2a33641c2e27a22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4f1a7387183d2a33641c2e27a22f8d"/>
                    <pic:cNvPicPr>
                      <a:picLocks noChangeAspect="1"/>
                    </pic:cNvPicPr>
                  </pic:nvPicPr>
                  <pic:blipFill>
                    <a:blip r:embed="rId41"/>
                    <a:stretch>
                      <a:fillRect/>
                    </a:stretch>
                  </pic:blipFill>
                  <pic:spPr>
                    <a:xfrm>
                      <a:off x="0" y="0"/>
                      <a:ext cx="4084320" cy="3497580"/>
                    </a:xfrm>
                    <a:prstGeom prst="rect">
                      <a:avLst/>
                    </a:prstGeom>
                  </pic:spPr>
                </pic:pic>
              </a:graphicData>
            </a:graphic>
          </wp:inline>
        </w:drawing>
      </w:r>
    </w:p>
    <w:p w14:paraId="3A0B102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图5.3-</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 xml:space="preserve">  管线泄漏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（泄漏孔径为管径的10%）3650d</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石油类对潜水的影响预测结果图</w:t>
      </w:r>
    </w:p>
    <w:p w14:paraId="1230A33F">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由预测结果可知，随着时间增加，污染范围有所增加，管线破损（泄漏孔径为管径的10%）泄漏100d后，预测超标距离最远为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m，超标范围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945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内石油类浓度不满足</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《地表水环境质量标准》（GB3838-2002）中</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II</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类标准（≤0.05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mg/L）</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要求，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最大迁移距离</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最远为下游</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34</w:t>
      </w:r>
      <w:r>
        <w:rPr>
          <w:rFonts w:hint="default" w:ascii="Times New Roman" w:hAnsi="Times New Roman" w:eastAsia="宋体" w:cs="Times New Roman"/>
          <w:b w:val="0"/>
          <w:bCs/>
          <w:snapToGrid w:val="0"/>
          <w:color w:val="000000" w:themeColor="text1"/>
          <w:kern w:val="2"/>
          <w:sz w:val="24"/>
          <w:szCs w:val="24"/>
          <w:highlight w:val="none"/>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，影响范围为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1080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5608C0E9">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管线破损（泄漏孔径为管径的10%）泄漏1000d后，预测超标距离最远</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m，超标范围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9216</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内石油类浓度不满足</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《地表水环境质量标准》（GB3838-2002）中</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II</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类标准（≤0.05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mg/L）</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要求，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最大迁移距离</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最远为下游</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107</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m，影响范围为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10560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5C567371">
      <w:pPr>
        <w:widowControl w:val="0"/>
        <w:adjustRightInd/>
        <w:snapToGrid/>
        <w:spacing w:after="0" w:line="360" w:lineRule="auto"/>
        <w:ind w:firstLine="480" w:firstLineChars="200"/>
        <w:jc w:val="both"/>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管线破损（泄漏孔径为管径的10%）泄漏</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3650d</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后，预测超标距离最远为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199</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m，超标范围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23424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内石油类浓度不满足</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《地表水环境质量标准》（GB3838-2002）中</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II</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类标准（≤0.05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mg/L）</w:t>
      </w:r>
      <w:r>
        <w:rPr>
          <w:rFonts w:hint="default" w:ascii="Times New Roman" w:hAnsi="Times New Roman" w:eastAsia="宋体" w:cs="Times New Roman"/>
          <w:color w:val="000000" w:themeColor="text1"/>
          <w:spacing w:val="-4"/>
          <w:kern w:val="2"/>
          <w:sz w:val="24"/>
          <w:szCs w:val="24"/>
          <w:highlight w:val="none"/>
          <w:lang w:val="en-US" w:eastAsia="zh-CN" w:bidi="ar-SA"/>
          <w14:textFill>
            <w14:solidFill>
              <w14:schemeClr w14:val="tx1"/>
            </w14:solidFill>
          </w14:textFill>
        </w:rPr>
        <w:t>要求，</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最大迁移距离</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最远为下游</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210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m，影响范围为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24960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17BB221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现场调查，本项目保护目标最近村屯为盛广和屯，盛广和屯饮用水由国强村水源井提供，国强村距离本项目为1030m。大于管道泄漏3650d后的超标距离199m，且本项目水源井为承压水井，管线泄漏首先污染的是区域潜水层，项目区域潜水和承压水之间有隔水顶板，本项目管线泄漏对该水源井影响较小。</w:t>
      </w:r>
    </w:p>
    <w:p w14:paraId="45390B3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（2）预测情形二：全管径泄漏</w:t>
      </w:r>
    </w:p>
    <w:p w14:paraId="5CBEB19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①预测源强</w:t>
      </w:r>
    </w:p>
    <w:p w14:paraId="3F2AF88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工程原油集输管道发生破裂时，主要影响区域潜水层位，由于集输管道设有实时监控系统，按照《陆地石油天然气开发建设项目技术导则》（HJ349-2023）中“9.2.2油类管道泄漏源强，根据截断阀室分布、管线尺寸、截断启动时间等合理确定”和“11.5.2油气管道泄漏事故应按照管道截面100%断估算泄漏量，考虑截断阀启动前后的泄漏量”，同时按照《建设项目环境风险评价技术导则》（HJ169-2018）中“8.2.2.1未设置紧急隔离系统的单元，泄漏时间可设定为30min”，因此本次泄漏预测泄漏时间取30min，泄漏源强以本工程最长集输管道（</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，位于</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盛广和屯北</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侧</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85</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m，Φ114×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12400</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全部断裂来进行计算，则该管道最大外输油量为</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7.9t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h</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，则30min泄漏量为</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3.95</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原油平均密度</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0.8718t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，计算得该管道全部断裂时原油泄漏量为0.05</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×3.14×</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12400</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8718</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3.95</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335</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类比同类项目可知，泄漏液体中石油类浓度约为</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1000</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mg/L</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则泄漏量为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335000</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g。</w:t>
      </w:r>
    </w:p>
    <w:p w14:paraId="130FD3CA">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highlight w:val="none"/>
          <w:lang w:eastAsia="zh-CN"/>
          <w14:textFill>
            <w14:solidFill>
              <w14:schemeClr w14:val="tx1"/>
            </w14:solidFill>
          </w14:textFill>
        </w:rPr>
        <w:t>预测因子</w:t>
      </w:r>
    </w:p>
    <w:p w14:paraId="59A5EB93">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项目集输管道发生泄漏，导致原油泄漏，污染物有石油类、挥发酚等。根据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《环境影响评价技术导则</w:t>
      </w:r>
      <w:r>
        <w:rPr>
          <w:rFonts w:hint="eastAsia"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地下水环境》（HJ610-2016）</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中情景设置预测因子相关要求，对每一类别中的各项因子采取标准指数法进行排序，分别取标准指数最大的因子作为预测因子。根据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环境影响评价技术导则陆地石油天然气开发建设项目》（HJ349-20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23</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，在项目集输管道发生泄漏情景下，原油泄漏的主要污染因子为石油类，本次评价最终选取石油类作为</w:t>
      </w:r>
      <w:r>
        <w:rPr>
          <w:rFonts w:hint="eastAsia" w:cs="Times New Roman"/>
          <w:snapToGrid/>
          <w:color w:val="000000" w:themeColor="text1"/>
          <w:kern w:val="2"/>
          <w:sz w:val="24"/>
          <w:szCs w:val="24"/>
          <w:highlight w:val="none"/>
          <w:lang w:val="en-US" w:eastAsia="zh-CN" w:bidi="ar-SA"/>
          <w14:textFill>
            <w14:solidFill>
              <w14:schemeClr w14:val="tx1"/>
            </w14:solidFill>
          </w14:textFill>
        </w:rPr>
        <w:t>预测特征</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因子。</w:t>
      </w:r>
    </w:p>
    <w:p w14:paraId="3AEB8500">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③预测模型</w:t>
      </w:r>
    </w:p>
    <w:p w14:paraId="15049B08">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根据《环境影响评价技术导则地下水环境》（HJ610-2016）中9.7节预测方法，将地下水泄漏时间概化为瞬时注入，再利用二维水动力弥散方程计算最大影响范围。二维水动力瞬时注入弥散方程如下：</w:t>
      </w:r>
    </w:p>
    <w:p w14:paraId="055104F5">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3228975" cy="781050"/>
            <wp:effectExtent l="0" t="0" r="9525" b="0"/>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42"/>
                    <a:stretch>
                      <a:fillRect/>
                    </a:stretch>
                  </pic:blipFill>
                  <pic:spPr>
                    <a:xfrm>
                      <a:off x="0" y="0"/>
                      <a:ext cx="3228975" cy="781050"/>
                    </a:xfrm>
                    <a:prstGeom prst="rect">
                      <a:avLst/>
                    </a:prstGeom>
                    <a:noFill/>
                    <a:ln>
                      <a:noFill/>
                    </a:ln>
                  </pic:spPr>
                </pic:pic>
              </a:graphicData>
            </a:graphic>
          </wp:inline>
        </w:drawing>
      </w:r>
    </w:p>
    <w:p w14:paraId="2D7B71C0">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式中：</w:t>
      </w:r>
    </w:p>
    <w:p w14:paraId="64D1B7E0">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y—计算点处的位置坐标；</w:t>
      </w:r>
    </w:p>
    <w:p w14:paraId="6A67F9FD">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t—时间，d；</w:t>
      </w:r>
    </w:p>
    <w:p w14:paraId="418690F3">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x</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y</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t</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—t时刻点x</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y处的浓度，g/L；</w:t>
      </w:r>
    </w:p>
    <w:p w14:paraId="77F2E9C4">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M—含水层的厚度，m；</w:t>
      </w:r>
    </w:p>
    <w:p w14:paraId="08085C93">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14:textFill>
            <w14:solidFill>
              <w14:schemeClr w14:val="tx1"/>
            </w14:solidFill>
          </w14:textFill>
        </w:rPr>
        <w:t>—单位时间注入的质量，kg/d；</w:t>
      </w:r>
    </w:p>
    <w:p w14:paraId="65ED0CFC">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u—水流速度，m/d；</w:t>
      </w:r>
    </w:p>
    <w:p w14:paraId="38F81BDF">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n—有效孔隙度；</w:t>
      </w:r>
    </w:p>
    <w:p w14:paraId="79453690">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D</w:t>
      </w:r>
      <w:r>
        <w:rPr>
          <w:rFonts w:hint="default" w:ascii="Times New Roman" w:hAnsi="Times New Roman" w:eastAsia="宋体" w:cs="Times New Roman"/>
          <w:color w:val="000000" w:themeColor="text1"/>
          <w:highlight w:val="none"/>
          <w:vertAlign w:val="subscript"/>
          <w14:textFill>
            <w14:solidFill>
              <w14:schemeClr w14:val="tx1"/>
            </w14:solidFill>
          </w14:textFill>
        </w:rPr>
        <w:t>L</w:t>
      </w:r>
      <w:r>
        <w:rPr>
          <w:rFonts w:hint="default" w:ascii="Times New Roman" w:hAnsi="Times New Roman" w:eastAsia="宋体" w:cs="Times New Roman"/>
          <w:color w:val="000000" w:themeColor="text1"/>
          <w:highlight w:val="none"/>
          <w14:textFill>
            <w14:solidFill>
              <w14:schemeClr w14:val="tx1"/>
            </w14:solidFill>
          </w14:textFill>
        </w:rPr>
        <w:t>—纵向弥散系数，m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/d；</w:t>
      </w:r>
    </w:p>
    <w:p w14:paraId="0160A6B2">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D</w:t>
      </w:r>
      <w:r>
        <w:rPr>
          <w:rFonts w:hint="default" w:ascii="Times New Roman" w:hAnsi="Times New Roman" w:eastAsia="宋体" w:cs="Times New Roman"/>
          <w:color w:val="000000" w:themeColor="text1"/>
          <w:highlight w:val="none"/>
          <w:vertAlign w:val="subscript"/>
          <w14:textFill>
            <w14:solidFill>
              <w14:schemeClr w14:val="tx1"/>
            </w14:solidFill>
          </w14:textFill>
        </w:rPr>
        <w:t>T</w:t>
      </w:r>
      <w:r>
        <w:rPr>
          <w:rFonts w:hint="default" w:ascii="Times New Roman" w:hAnsi="Times New Roman" w:eastAsia="宋体" w:cs="Times New Roman"/>
          <w:color w:val="000000" w:themeColor="text1"/>
          <w:highlight w:val="none"/>
          <w14:textFill>
            <w14:solidFill>
              <w14:schemeClr w14:val="tx1"/>
            </w14:solidFill>
          </w14:textFill>
        </w:rPr>
        <w:t>—横向y方向的弥散系数，m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/d。</w:t>
      </w:r>
    </w:p>
    <w:p w14:paraId="5208B75A">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highlight w:val="none"/>
          <w:lang w:eastAsia="zh-CN"/>
          <w14:textFill>
            <w14:solidFill>
              <w14:schemeClr w14:val="tx1"/>
            </w14:solidFill>
          </w14:textFill>
        </w:rPr>
        <w:t>参数选取</w:t>
      </w:r>
    </w:p>
    <w:p w14:paraId="0440142A">
      <w:pPr>
        <w:pStyle w:val="3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根据《大庆市水文地质勘察报告》（石油管理局）</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该地区的水文地质条件，评价区内</w:t>
      </w:r>
      <w:r>
        <w:rPr>
          <w:rFonts w:hint="default" w:ascii="Times New Roman" w:hAnsi="Times New Roman" w:eastAsia="宋体" w:cs="Times New Roman"/>
          <w:color w:val="000000" w:themeColor="text1"/>
          <w:highlight w:val="none"/>
          <w:lang w:eastAsia="zh-CN"/>
          <w14:textFill>
            <w14:solidFill>
              <w14:schemeClr w14:val="tx1"/>
            </w14:solidFill>
          </w14:textFill>
        </w:rPr>
        <w:t>潜水</w:t>
      </w:r>
      <w:r>
        <w:rPr>
          <w:rFonts w:hint="default" w:ascii="Times New Roman" w:hAnsi="Times New Roman" w:eastAsia="宋体" w:cs="Times New Roman"/>
          <w:color w:val="000000" w:themeColor="text1"/>
          <w:highlight w:val="none"/>
          <w14:textFill>
            <w14:solidFill>
              <w14:schemeClr w14:val="tx1"/>
            </w14:solidFill>
          </w14:textFill>
        </w:rPr>
        <w:t>含水层的渗透系数为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14:textFill>
            <w14:solidFill>
              <w14:schemeClr w14:val="tx1"/>
            </w14:solidFill>
          </w14:textFill>
        </w:rPr>
        <w:t>m/d，水力坡度为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0.0007</w:t>
      </w:r>
      <w:r>
        <w:rPr>
          <w:rFonts w:hint="default" w:ascii="Times New Roman" w:hAnsi="Times New Roman" w:eastAsia="宋体" w:cs="Times New Roman"/>
          <w:color w:val="000000" w:themeColor="text1"/>
          <w:highlight w:val="none"/>
          <w14:textFill>
            <w14:solidFill>
              <w14:schemeClr w14:val="tx1"/>
            </w14:solidFill>
          </w14:textFill>
        </w:rPr>
        <w:t>，区域地下水纵向弥散系数0.2m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/d，横向弥散系数0.02m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/d，</w:t>
      </w:r>
      <w:r>
        <w:rPr>
          <w:rFonts w:hint="default" w:ascii="Times New Roman" w:hAnsi="Times New Roman" w:eastAsia="宋体" w:cs="Times New Roman"/>
          <w:color w:val="000000" w:themeColor="text1"/>
          <w:highlight w:val="none"/>
          <w:lang w:val="en-US" w:eastAsia="zh-CN"/>
          <w14:textFill>
            <w14:solidFill>
              <w14:schemeClr w14:val="tx1"/>
            </w14:solidFill>
          </w14:textFill>
        </w:rPr>
        <w:t>潜水</w:t>
      </w:r>
      <w:r>
        <w:rPr>
          <w:rFonts w:hint="default" w:ascii="Times New Roman" w:hAnsi="Times New Roman" w:eastAsia="宋体" w:cs="Times New Roman"/>
          <w:color w:val="000000" w:themeColor="text1"/>
          <w:highlight w:val="none"/>
          <w14:textFill>
            <w14:solidFill>
              <w14:schemeClr w14:val="tx1"/>
            </w14:solidFill>
          </w14:textFill>
        </w:rPr>
        <w:t>地下水流速度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0.0035</w:t>
      </w:r>
      <w:r>
        <w:rPr>
          <w:rFonts w:hint="default" w:ascii="Times New Roman" w:hAnsi="Times New Roman" w:eastAsia="宋体" w:cs="Times New Roman"/>
          <w:color w:val="000000" w:themeColor="text1"/>
          <w:highlight w:val="none"/>
          <w14:textFill>
            <w14:solidFill>
              <w14:schemeClr w14:val="tx1"/>
            </w14:solidFill>
          </w14:textFill>
        </w:rPr>
        <w:t>m/d，</w:t>
      </w:r>
      <w:r>
        <w:rPr>
          <w:rFonts w:hint="default" w:ascii="Times New Roman" w:hAnsi="Times New Roman" w:eastAsia="宋体" w:cs="Times New Roman"/>
          <w:color w:val="000000" w:themeColor="text1"/>
          <w:highlight w:val="none"/>
          <w:lang w:eastAsia="zh-CN"/>
          <w14:textFill>
            <w14:solidFill>
              <w14:schemeClr w14:val="tx1"/>
            </w14:solidFill>
          </w14:textFill>
        </w:rPr>
        <w:t>潜水</w:t>
      </w:r>
      <w:r>
        <w:rPr>
          <w:rFonts w:hint="default" w:ascii="Times New Roman" w:hAnsi="Times New Roman" w:eastAsia="宋体" w:cs="Times New Roman"/>
          <w:color w:val="000000" w:themeColor="text1"/>
          <w:highlight w:val="none"/>
          <w14:textFill>
            <w14:solidFill>
              <w14:schemeClr w14:val="tx1"/>
            </w14:solidFill>
          </w14:textFill>
        </w:rPr>
        <w:t>含水层厚度</w:t>
      </w:r>
      <w:r>
        <w:rPr>
          <w:rFonts w:hint="eastAsia" w:cs="Times New Roman"/>
          <w:color w:val="000000" w:themeColor="text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highlight w:val="none"/>
          <w14:textFill>
            <w14:solidFill>
              <w14:schemeClr w14:val="tx1"/>
            </w14:solidFill>
          </w14:textFill>
        </w:rPr>
        <w:t>m，有效孔隙度为0</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，化学反应常数为0</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4B7782C2">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highlight w:val="none"/>
          <w:lang w:eastAsia="zh-CN"/>
          <w14:textFill>
            <w14:solidFill>
              <w14:schemeClr w14:val="tx1"/>
            </w14:solidFill>
          </w14:textFill>
        </w:rPr>
        <w:t>预测结果</w:t>
      </w:r>
    </w:p>
    <w:p w14:paraId="4854B112">
      <w:pPr>
        <w:pStyle w:val="3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管道泄漏</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100d、1000d、3650d对地下水的影响预测结果见表5.3-3，预测图见图5.3-4~图5.3-6。</w:t>
      </w:r>
    </w:p>
    <w:p w14:paraId="5C316392">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482" w:firstLineChars="200"/>
        <w:jc w:val="center"/>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表5.3-3</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集油管道破损泄漏（全管径泄漏）预测结果表</w:t>
      </w:r>
    </w:p>
    <w:tbl>
      <w:tblPr>
        <w:tblStyle w:val="19"/>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298"/>
        <w:gridCol w:w="1564"/>
        <w:gridCol w:w="1648"/>
        <w:gridCol w:w="2084"/>
        <w:gridCol w:w="1648"/>
      </w:tblGrid>
      <w:tr w14:paraId="7E6CF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60" w:type="pct"/>
            <w:tcBorders>
              <w:tl2br w:val="nil"/>
              <w:tr2bl w:val="nil"/>
            </w:tcBorders>
            <w:vAlign w:val="center"/>
          </w:tcPr>
          <w:p w14:paraId="01E199C7">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vertAlign w:val="baseline"/>
                <w:lang w:val="en-US" w:eastAsia="zh-CN" w:bidi="ar-SA"/>
                <w14:textFill>
                  <w14:solidFill>
                    <w14:schemeClr w14:val="tx1"/>
                  </w14:solidFill>
                </w14:textFill>
              </w:rPr>
              <w:t>污染物</w:t>
            </w:r>
          </w:p>
        </w:tc>
        <w:tc>
          <w:tcPr>
            <w:tcW w:w="699" w:type="pct"/>
            <w:tcBorders>
              <w:tl2br w:val="nil"/>
              <w:tr2bl w:val="nil"/>
            </w:tcBorders>
            <w:vAlign w:val="center"/>
          </w:tcPr>
          <w:p w14:paraId="0449BE7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vertAlign w:val="baseline"/>
                <w:lang w:val="en-US" w:eastAsia="zh-CN" w:bidi="ar-SA"/>
                <w14:textFill>
                  <w14:solidFill>
                    <w14:schemeClr w14:val="tx1"/>
                  </w14:solidFill>
                </w14:textFill>
              </w:rPr>
              <w:t>预测时间</w:t>
            </w:r>
          </w:p>
        </w:tc>
        <w:tc>
          <w:tcPr>
            <w:tcW w:w="842" w:type="pct"/>
            <w:tcBorders>
              <w:tl2br w:val="nil"/>
              <w:tr2bl w:val="nil"/>
            </w:tcBorders>
            <w:vAlign w:val="center"/>
          </w:tcPr>
          <w:p w14:paraId="683F58B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vertAlign w:val="baseline"/>
                <w:lang w:val="en-US" w:eastAsia="zh-CN" w:bidi="ar-SA"/>
                <w14:textFill>
                  <w14:solidFill>
                    <w14:schemeClr w14:val="tx1"/>
                  </w14:solidFill>
                </w14:textFill>
              </w:rPr>
              <w:t>超标距离m</w:t>
            </w:r>
          </w:p>
        </w:tc>
        <w:tc>
          <w:tcPr>
            <w:tcW w:w="887" w:type="pct"/>
            <w:tcBorders>
              <w:tl2br w:val="nil"/>
              <w:tr2bl w:val="nil"/>
            </w:tcBorders>
            <w:vAlign w:val="center"/>
          </w:tcPr>
          <w:p w14:paraId="7C60360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vertAlign w:val="baseline"/>
                <w:lang w:val="en-US" w:eastAsia="zh-CN" w:bidi="ar-SA"/>
                <w14:textFill>
                  <w14:solidFill>
                    <w14:schemeClr w14:val="tx1"/>
                  </w14:solidFill>
                </w14:textFill>
              </w:rPr>
              <w:t>超标面积m</w:t>
            </w:r>
            <w:r>
              <w:rPr>
                <w:rFonts w:hint="default" w:ascii="Times New Roman" w:hAnsi="Times New Roman" w:eastAsia="宋体" w:cs="Times New Roman"/>
                <w:b/>
                <w:bCs w:val="0"/>
                <w:snapToGrid w:val="0"/>
                <w:color w:val="000000" w:themeColor="text1"/>
                <w:kern w:val="2"/>
                <w:sz w:val="21"/>
                <w:szCs w:val="21"/>
                <w:highlight w:val="none"/>
                <w:vertAlign w:val="superscript"/>
                <w:lang w:val="en-US" w:eastAsia="zh-CN" w:bidi="ar-SA"/>
                <w14:textFill>
                  <w14:solidFill>
                    <w14:schemeClr w14:val="tx1"/>
                  </w14:solidFill>
                </w14:textFill>
              </w:rPr>
              <w:t>2</w:t>
            </w:r>
          </w:p>
        </w:tc>
        <w:tc>
          <w:tcPr>
            <w:tcW w:w="1122" w:type="pct"/>
            <w:tcBorders>
              <w:tl2br w:val="nil"/>
              <w:tr2bl w:val="nil"/>
            </w:tcBorders>
            <w:vAlign w:val="center"/>
          </w:tcPr>
          <w:p w14:paraId="108CC12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vertAlign w:val="baseline"/>
                <w:lang w:val="en-US" w:eastAsia="zh-CN" w:bidi="ar-SA"/>
                <w14:textFill>
                  <w14:solidFill>
                    <w14:schemeClr w14:val="tx1"/>
                  </w14:solidFill>
                </w14:textFill>
              </w:rPr>
              <w:t>最远影响距离m</w:t>
            </w:r>
          </w:p>
        </w:tc>
        <w:tc>
          <w:tcPr>
            <w:tcW w:w="887" w:type="pct"/>
            <w:tcBorders>
              <w:tl2br w:val="nil"/>
              <w:tr2bl w:val="nil"/>
            </w:tcBorders>
            <w:vAlign w:val="center"/>
          </w:tcPr>
          <w:p w14:paraId="0ED8F64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1"/>
                <w:szCs w:val="21"/>
                <w:highlight w:val="none"/>
                <w:vertAlign w:val="baseline"/>
                <w:lang w:val="en-US" w:eastAsia="zh-CN" w:bidi="ar-SA"/>
                <w14:textFill>
                  <w14:solidFill>
                    <w14:schemeClr w14:val="tx1"/>
                  </w14:solidFill>
                </w14:textFill>
              </w:rPr>
              <w:t>影响面积m</w:t>
            </w:r>
            <w:r>
              <w:rPr>
                <w:rFonts w:hint="default" w:ascii="Times New Roman" w:hAnsi="Times New Roman" w:eastAsia="宋体" w:cs="Times New Roman"/>
                <w:b/>
                <w:bCs w:val="0"/>
                <w:snapToGrid w:val="0"/>
                <w:color w:val="000000" w:themeColor="text1"/>
                <w:kern w:val="2"/>
                <w:sz w:val="21"/>
                <w:szCs w:val="21"/>
                <w:highlight w:val="none"/>
                <w:vertAlign w:val="superscript"/>
                <w:lang w:val="en-US" w:eastAsia="zh-CN" w:bidi="ar-SA"/>
                <w14:textFill>
                  <w14:solidFill>
                    <w14:schemeClr w14:val="tx1"/>
                  </w14:solidFill>
                </w14:textFill>
              </w:rPr>
              <w:t>2</w:t>
            </w:r>
          </w:p>
        </w:tc>
      </w:tr>
      <w:tr w14:paraId="1E556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60" w:type="pct"/>
            <w:vMerge w:val="restart"/>
            <w:tcBorders>
              <w:tl2br w:val="nil"/>
              <w:tr2bl w:val="nil"/>
            </w:tcBorders>
            <w:vAlign w:val="center"/>
          </w:tcPr>
          <w:p w14:paraId="021EE2B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石油类</w:t>
            </w:r>
          </w:p>
        </w:tc>
        <w:tc>
          <w:tcPr>
            <w:tcW w:w="699" w:type="pct"/>
            <w:tcBorders>
              <w:tl2br w:val="nil"/>
              <w:tr2bl w:val="nil"/>
            </w:tcBorders>
            <w:vAlign w:val="center"/>
          </w:tcPr>
          <w:p w14:paraId="5FCDDBC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100d</w:t>
            </w:r>
          </w:p>
        </w:tc>
        <w:tc>
          <w:tcPr>
            <w:tcW w:w="1564" w:type="dxa"/>
            <w:tcBorders>
              <w:tl2br w:val="nil"/>
              <w:tr2bl w:val="nil"/>
            </w:tcBorders>
            <w:vAlign w:val="center"/>
          </w:tcPr>
          <w:p w14:paraId="7FBE076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31.35</w:t>
            </w:r>
          </w:p>
        </w:tc>
        <w:tc>
          <w:tcPr>
            <w:tcW w:w="1648" w:type="dxa"/>
            <w:tcBorders>
              <w:tl2br w:val="nil"/>
              <w:tr2bl w:val="nil"/>
            </w:tcBorders>
            <w:vAlign w:val="center"/>
          </w:tcPr>
          <w:p w14:paraId="050F4A7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918</w:t>
            </w:r>
          </w:p>
        </w:tc>
        <w:tc>
          <w:tcPr>
            <w:tcW w:w="2084" w:type="dxa"/>
            <w:tcBorders>
              <w:tl2br w:val="nil"/>
              <w:tr2bl w:val="nil"/>
            </w:tcBorders>
            <w:vAlign w:val="center"/>
          </w:tcPr>
          <w:p w14:paraId="60795A7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33.35</w:t>
            </w:r>
          </w:p>
        </w:tc>
        <w:tc>
          <w:tcPr>
            <w:tcW w:w="1648" w:type="dxa"/>
            <w:tcBorders>
              <w:tl2br w:val="nil"/>
              <w:tr2bl w:val="nil"/>
            </w:tcBorders>
            <w:vAlign w:val="center"/>
          </w:tcPr>
          <w:p w14:paraId="02AD7DE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1080</w:t>
            </w:r>
          </w:p>
        </w:tc>
      </w:tr>
      <w:tr w14:paraId="45A86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0" w:type="pct"/>
            <w:vMerge w:val="continue"/>
            <w:tcBorders>
              <w:tl2br w:val="nil"/>
              <w:tr2bl w:val="nil"/>
            </w:tcBorders>
            <w:vAlign w:val="center"/>
          </w:tcPr>
          <w:p w14:paraId="07AB718C">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p>
        </w:tc>
        <w:tc>
          <w:tcPr>
            <w:tcW w:w="699" w:type="pct"/>
            <w:tcBorders>
              <w:tl2br w:val="nil"/>
              <w:tr2bl w:val="nil"/>
            </w:tcBorders>
            <w:vAlign w:val="center"/>
          </w:tcPr>
          <w:p w14:paraId="2C0E0B8D">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1000d</w:t>
            </w:r>
          </w:p>
        </w:tc>
        <w:tc>
          <w:tcPr>
            <w:tcW w:w="1564" w:type="dxa"/>
            <w:tcBorders>
              <w:tl2br w:val="nil"/>
              <w:tr2bl w:val="nil"/>
            </w:tcBorders>
            <w:vAlign w:val="center"/>
          </w:tcPr>
          <w:p w14:paraId="1016202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90.5</w:t>
            </w:r>
          </w:p>
        </w:tc>
        <w:tc>
          <w:tcPr>
            <w:tcW w:w="1648" w:type="dxa"/>
            <w:tcBorders>
              <w:tl2br w:val="nil"/>
              <w:tr2bl w:val="nil"/>
            </w:tcBorders>
            <w:vAlign w:val="center"/>
          </w:tcPr>
          <w:p w14:paraId="21183ED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7616</w:t>
            </w:r>
          </w:p>
        </w:tc>
        <w:tc>
          <w:tcPr>
            <w:tcW w:w="2084" w:type="dxa"/>
            <w:tcBorders>
              <w:tl2br w:val="nil"/>
              <w:tr2bl w:val="nil"/>
            </w:tcBorders>
            <w:vAlign w:val="center"/>
          </w:tcPr>
          <w:p w14:paraId="2B590125">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97.5</w:t>
            </w:r>
          </w:p>
        </w:tc>
        <w:tc>
          <w:tcPr>
            <w:tcW w:w="1648" w:type="dxa"/>
            <w:tcBorders>
              <w:tl2br w:val="nil"/>
              <w:tr2bl w:val="nil"/>
            </w:tcBorders>
            <w:vAlign w:val="center"/>
          </w:tcPr>
          <w:p w14:paraId="1FBECC54">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8704</w:t>
            </w:r>
          </w:p>
        </w:tc>
      </w:tr>
      <w:tr w14:paraId="4EF1A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0" w:type="pct"/>
            <w:vMerge w:val="continue"/>
            <w:tcBorders>
              <w:tl2br w:val="nil"/>
              <w:tr2bl w:val="nil"/>
            </w:tcBorders>
            <w:vAlign w:val="center"/>
          </w:tcPr>
          <w:p w14:paraId="68B6B159">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p>
        </w:tc>
        <w:tc>
          <w:tcPr>
            <w:tcW w:w="699" w:type="pct"/>
            <w:tcBorders>
              <w:tl2br w:val="nil"/>
              <w:tr2bl w:val="nil"/>
            </w:tcBorders>
            <w:vAlign w:val="center"/>
          </w:tcPr>
          <w:p w14:paraId="61D2794B">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1"/>
                <w:highlight w:val="none"/>
                <w:vertAlign w:val="baseline"/>
                <w:lang w:val="en-US" w:eastAsia="zh-CN" w:bidi="ar-SA"/>
                <w14:textFill>
                  <w14:solidFill>
                    <w14:schemeClr w14:val="tx1"/>
                  </w14:solidFill>
                </w14:textFill>
              </w:rPr>
              <w:t>3650d</w:t>
            </w:r>
          </w:p>
        </w:tc>
        <w:tc>
          <w:tcPr>
            <w:tcW w:w="842" w:type="pct"/>
            <w:tcBorders>
              <w:tl2br w:val="nil"/>
              <w:tr2bl w:val="nil"/>
            </w:tcBorders>
            <w:vAlign w:val="center"/>
          </w:tcPr>
          <w:p w14:paraId="12DB7D18">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166.77</w:t>
            </w:r>
          </w:p>
        </w:tc>
        <w:tc>
          <w:tcPr>
            <w:tcW w:w="887" w:type="pct"/>
            <w:tcBorders>
              <w:tl2br w:val="nil"/>
              <w:tr2bl w:val="nil"/>
            </w:tcBorders>
            <w:vAlign w:val="center"/>
          </w:tcPr>
          <w:p w14:paraId="68115481">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25200</w:t>
            </w:r>
          </w:p>
        </w:tc>
        <w:tc>
          <w:tcPr>
            <w:tcW w:w="1122" w:type="pct"/>
            <w:tcBorders>
              <w:tl2br w:val="nil"/>
              <w:tr2bl w:val="nil"/>
            </w:tcBorders>
            <w:vAlign w:val="center"/>
          </w:tcPr>
          <w:p w14:paraId="022CC36A">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181.77</w:t>
            </w:r>
          </w:p>
        </w:tc>
        <w:tc>
          <w:tcPr>
            <w:tcW w:w="887" w:type="pct"/>
            <w:tcBorders>
              <w:tl2br w:val="nil"/>
              <w:tr2bl w:val="nil"/>
            </w:tcBorders>
            <w:vAlign w:val="center"/>
          </w:tcPr>
          <w:p w14:paraId="6E413E3E">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1"/>
                <w:szCs w:val="21"/>
                <w:highlight w:val="none"/>
                <w:vertAlign w:val="baseline"/>
                <w:lang w:val="en-US" w:eastAsia="zh-CN" w:bidi="ar-SA"/>
                <w14:textFill>
                  <w14:solidFill>
                    <w14:schemeClr w14:val="tx1"/>
                  </w14:solidFill>
                </w14:textFill>
              </w:rPr>
              <w:t>28800</w:t>
            </w:r>
          </w:p>
        </w:tc>
      </w:tr>
    </w:tbl>
    <w:p w14:paraId="7D270C2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Style w:val="41"/>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2298065</wp:posOffset>
                </wp:positionH>
                <wp:positionV relativeFrom="paragraph">
                  <wp:posOffset>2008505</wp:posOffset>
                </wp:positionV>
                <wp:extent cx="810895" cy="410845"/>
                <wp:effectExtent l="0" t="46990" r="0" b="0"/>
                <wp:wrapNone/>
                <wp:docPr id="127" name="组合 127"/>
                <wp:cNvGraphicFramePr/>
                <a:graphic xmlns:a="http://schemas.openxmlformats.org/drawingml/2006/main">
                  <a:graphicData uri="http://schemas.microsoft.com/office/word/2010/wordprocessingGroup">
                    <wpg:wgp>
                      <wpg:cNvGrpSpPr/>
                      <wpg:grpSpPr>
                        <a:xfrm>
                          <a:off x="0" y="0"/>
                          <a:ext cx="810895" cy="410845"/>
                          <a:chOff x="8538" y="4334007"/>
                          <a:chExt cx="1277" cy="647"/>
                        </a:xfrm>
                      </wpg:grpSpPr>
                      <wps:wsp>
                        <wps:cNvPr id="128" name="右箭头 34"/>
                        <wps:cNvSpPr/>
                        <wps:spPr>
                          <a:xfrm rot="720000" flipH="1">
                            <a:off x="8706" y="4334007"/>
                            <a:ext cx="750" cy="222"/>
                          </a:xfrm>
                          <a:prstGeom prst="rightArrow">
                            <a:avLst>
                              <a:gd name="adj1" fmla="val 23756"/>
                              <a:gd name="adj2" fmla="val 50000"/>
                            </a:avLst>
                          </a:prstGeom>
                          <a:solidFill>
                            <a:srgbClr val="5B9BD5"/>
                          </a:solidFill>
                          <a:ln w="12700" cap="flat" cmpd="sng" algn="ctr">
                            <a:solidFill>
                              <a:srgbClr val="5B9BD5">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文本框 35"/>
                        <wps:cNvSpPr txBox="1"/>
                        <wps:spPr>
                          <a:xfrm>
                            <a:off x="8538" y="4334168"/>
                            <a:ext cx="1277" cy="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2D355">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0.95pt;margin-top:158.15pt;height:32.35pt;width:63.85pt;z-index:251669504;mso-width-relative:page;mso-height-relative:page;" coordorigin="8538,4334007" coordsize="1277,647" o:gfxdata="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">
                <o:lock v:ext="edit" aspectratio="f"/>
                <v:shape id="右箭头 34" o:spid="_x0000_s1026" o:spt="13" type="#_x0000_t13" style="position:absolute;left:8706;top:4334007;flip:x;height:222;width:750;rotation:-786432f;v-text-anchor:middle;" fillcolor="#5B9BD5" filled="t" stroked="t" coordsize="21600,21600" o:gfxdata="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a2bb4A&#10;AADcAAAADwAAAAAAAAABACAAAAAiAAAAZHJzL2Rvd25yZXYueG1sUEsBAhQAFAAAAAgAh07iQDMv&#10;BZ47AAAAOQAAABAAAAAAAAAAAQAgAAAADQEAAGRycy9zaGFwZXhtbC54bWxQSwUGAAAAAAYABgBb&#10;AQAAtwMAAAAA&#10;" adj="18404,8234">
                  <v:fill on="t" focussize="0,0"/>
                  <v:stroke weight="1pt" color="#2E75B6 [2404]" miterlimit="8" joinstyle="miter"/>
                  <v:imagedata o:title=""/>
                  <o:lock v:ext="edit" aspectratio="f"/>
                </v:shape>
                <v:shape id="文本框 35" o:spid="_x0000_s1026" o:spt="202" type="#_x0000_t202" style="position:absolute;left:8538;top:4334168;height:486;width:1277;" filled="f" stroked="f" coordsize="21600,21600" o:gfxdata="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X4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F62D355">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v:textbox>
                </v:shape>
              </v:group>
            </w:pict>
          </mc:Fallback>
        </mc:AlternateContent>
      </w:r>
      <w:r>
        <w:rPr>
          <w:rStyle w:val="41"/>
          <w:rFonts w:hint="eastAsia" w:ascii="Times New Roman" w:hAnsi="Times New Roman" w:eastAsia="宋体" w:cs="Times New Roman"/>
          <w:color w:val="000000" w:themeColor="text1"/>
          <w:highlight w:val="none"/>
          <w:lang w:val="en-US" w:eastAsia="zh-CN"/>
          <w14:textFill>
            <w14:solidFill>
              <w14:schemeClr w14:val="tx1"/>
            </w14:solidFill>
          </w14:textFill>
        </w:rPr>
        <w:drawing>
          <wp:inline distT="0" distB="0" distL="114300" distR="114300">
            <wp:extent cx="4046220" cy="3406140"/>
            <wp:effectExtent l="0" t="0" r="11430" b="3810"/>
            <wp:docPr id="16" name="图片 16" descr="a4af4ff10c59ba89119c4fcb1c8f7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4af4ff10c59ba89119c4fcb1c8f75bd"/>
                    <pic:cNvPicPr>
                      <a:picLocks noChangeAspect="1"/>
                    </pic:cNvPicPr>
                  </pic:nvPicPr>
                  <pic:blipFill>
                    <a:blip r:embed="rId43"/>
                    <a:stretch>
                      <a:fillRect/>
                    </a:stretch>
                  </pic:blipFill>
                  <pic:spPr>
                    <a:xfrm>
                      <a:off x="0" y="0"/>
                      <a:ext cx="4046220" cy="3406140"/>
                    </a:xfrm>
                    <a:prstGeom prst="rect">
                      <a:avLst/>
                    </a:prstGeom>
                  </pic:spPr>
                </pic:pic>
              </a:graphicData>
            </a:graphic>
          </wp:inline>
        </w:drawing>
      </w:r>
    </w:p>
    <w:p w14:paraId="4B2AAE66">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Style w:val="41"/>
          <w:rFonts w:hint="default" w:ascii="Times New Roman" w:hAnsi="Times New Roman" w:cs="Times New Roman"/>
          <w:color w:val="000000" w:themeColor="text1"/>
          <w:highlight w:val="none"/>
          <w:lang w:val="en-US" w:eastAsia="zh-CN"/>
          <w14:textFill>
            <w14:solidFill>
              <w14:schemeClr w14:val="tx1"/>
            </w14:solidFill>
          </w14:textFill>
        </w:rPr>
        <w:t>图5.3-</w:t>
      </w:r>
      <w:r>
        <w:rPr>
          <w:rStyle w:val="41"/>
          <w:rFonts w:hint="eastAsia" w:cs="Times New Roman"/>
          <w:color w:val="000000" w:themeColor="text1"/>
          <w:highlight w:val="none"/>
          <w:lang w:val="en-US" w:eastAsia="zh-CN"/>
          <w14:textFill>
            <w14:solidFill>
              <w14:schemeClr w14:val="tx1"/>
            </w14:solidFill>
          </w14:textFill>
        </w:rPr>
        <w:t>4管道</w:t>
      </w:r>
      <w:r>
        <w:rPr>
          <w:rStyle w:val="41"/>
          <w:rFonts w:hint="default" w:ascii="Times New Roman" w:hAnsi="Times New Roman" w:cs="Times New Roman"/>
          <w:color w:val="000000" w:themeColor="text1"/>
          <w:highlight w:val="none"/>
          <w:lang w:val="en-US" w:eastAsia="zh-CN"/>
          <w14:textFill>
            <w14:solidFill>
              <w14:schemeClr w14:val="tx1"/>
            </w14:solidFill>
          </w14:textFill>
        </w:rPr>
        <w:t>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（全管径泄漏）</w:t>
      </w:r>
      <w:r>
        <w:rPr>
          <w:rStyle w:val="41"/>
          <w:rFonts w:hint="default" w:ascii="Times New Roman" w:hAnsi="Times New Roman" w:cs="Times New Roman"/>
          <w:color w:val="000000" w:themeColor="text1"/>
          <w:highlight w:val="none"/>
          <w:lang w:val="en-US" w:eastAsia="zh-CN"/>
          <w14:textFill>
            <w14:solidFill>
              <w14:schemeClr w14:val="tx1"/>
            </w14:solidFill>
          </w14:textFill>
        </w:rPr>
        <w:t>100d石油类对潜水的影响预测结果图</w:t>
      </w:r>
    </w:p>
    <w:p w14:paraId="208B647F">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Style w:val="41"/>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2388870</wp:posOffset>
                </wp:positionH>
                <wp:positionV relativeFrom="paragraph">
                  <wp:posOffset>2232025</wp:posOffset>
                </wp:positionV>
                <wp:extent cx="810895" cy="467995"/>
                <wp:effectExtent l="0" t="46990" r="0" b="0"/>
                <wp:wrapNone/>
                <wp:docPr id="130" name="组合 130"/>
                <wp:cNvGraphicFramePr/>
                <a:graphic xmlns:a="http://schemas.openxmlformats.org/drawingml/2006/main">
                  <a:graphicData uri="http://schemas.microsoft.com/office/word/2010/wordprocessingGroup">
                    <wpg:wgp>
                      <wpg:cNvGrpSpPr/>
                      <wpg:grpSpPr>
                        <a:xfrm>
                          <a:off x="0" y="0"/>
                          <a:ext cx="810895" cy="467995"/>
                          <a:chOff x="8868" y="4333857"/>
                          <a:chExt cx="1277" cy="737"/>
                        </a:xfrm>
                      </wpg:grpSpPr>
                      <wps:wsp>
                        <wps:cNvPr id="131" name="右箭头 34"/>
                        <wps:cNvSpPr/>
                        <wps:spPr>
                          <a:xfrm rot="720000" flipH="1">
                            <a:off x="8976" y="4333857"/>
                            <a:ext cx="750" cy="222"/>
                          </a:xfrm>
                          <a:prstGeom prst="rightArrow">
                            <a:avLst>
                              <a:gd name="adj1" fmla="val 23756"/>
                              <a:gd name="adj2" fmla="val 50000"/>
                            </a:avLst>
                          </a:prstGeom>
                          <a:solidFill>
                            <a:srgbClr val="5B9BD5"/>
                          </a:solidFill>
                          <a:ln w="12700" cap="flat" cmpd="sng" algn="ctr">
                            <a:solidFill>
                              <a:srgbClr val="5B9BD5">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文本框 35"/>
                        <wps:cNvSpPr txBox="1"/>
                        <wps:spPr>
                          <a:xfrm>
                            <a:off x="8868" y="4334108"/>
                            <a:ext cx="1277" cy="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6CD2C">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8.1pt;margin-top:175.75pt;height:36.85pt;width:63.85pt;z-index:251670528;mso-width-relative:page;mso-height-relative:page;" coordorigin="8868,4333857" coordsize="1277,737" o:gfxdata="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38WB3AAAAAsBAAAPAAAAAAAAAAEAIAAAACIAAABkcnMvZG93bnJldi54bWxQSwECFAAU&#10;AAAACACHTuJA2m9QhbUDAABrCQAADgAAAAAAAAABACAAAAArAQAAZHJzL2Uyb0RvYy54bWxQSwUG&#10;AAAAAAYABgBZAQAAUgcAAAAA&#10;">
                <o:lock v:ext="edit" aspectratio="f"/>
                <v:shape id="右箭头 34" o:spid="_x0000_s1026" o:spt="13" type="#_x0000_t13" style="position:absolute;left:8976;top:4333857;flip:x;height:222;width:750;rotation:-786432f;v-text-anchor:middle;" fillcolor="#5B9BD5" filled="t" stroked="t" coordsize="21600,21600" o:gfxdata="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pYktugAAANwA&#10;AAAPAAAAAAAAAAEAIAAAACIAAABkcnMvZG93bnJldi54bWxQSwECFAAUAAAACACHTuJAMy8FnjsA&#10;AAA5AAAAEAAAAAAAAAABACAAAAAJAQAAZHJzL3NoYXBleG1sLnhtbFBLBQYAAAAABgAGAFsBAACz&#10;AwAAAAA=&#10;" adj="18404,8234">
                  <v:fill on="t" focussize="0,0"/>
                  <v:stroke weight="1pt" color="#2E75B6 [2404]" miterlimit="8" joinstyle="miter"/>
                  <v:imagedata o:title=""/>
                  <o:lock v:ext="edit" aspectratio="f"/>
                </v:shape>
                <v:shape id="文本框 35" o:spid="_x0000_s1026" o:spt="202" type="#_x0000_t202" style="position:absolute;left:8868;top:4334108;height:486;width:1277;"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4A6CD2C">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v:textbox>
                </v:shape>
              </v:group>
            </w:pict>
          </mc:Fallback>
        </mc:AlternateContent>
      </w:r>
      <w:r>
        <w:rPr>
          <w:rStyle w:val="41"/>
          <w:rFonts w:hint="eastAsia" w:ascii="Times New Roman" w:hAnsi="Times New Roman" w:eastAsia="宋体" w:cs="Times New Roman"/>
          <w:color w:val="000000" w:themeColor="text1"/>
          <w:highlight w:val="none"/>
          <w:lang w:val="en-US" w:eastAsia="zh-CN"/>
          <w14:textFill>
            <w14:solidFill>
              <w14:schemeClr w14:val="tx1"/>
            </w14:solidFill>
          </w14:textFill>
        </w:rPr>
        <w:drawing>
          <wp:inline distT="0" distB="0" distL="114300" distR="114300">
            <wp:extent cx="4227195" cy="3637280"/>
            <wp:effectExtent l="0" t="0" r="1905" b="1270"/>
            <wp:docPr id="18" name="图片 18" descr="5ff8ee797cc69fb7ac75ed388b3e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f8ee797cc69fb7ac75ed388b3e9147"/>
                    <pic:cNvPicPr>
                      <a:picLocks noChangeAspect="1"/>
                    </pic:cNvPicPr>
                  </pic:nvPicPr>
                  <pic:blipFill>
                    <a:blip r:embed="rId44"/>
                    <a:stretch>
                      <a:fillRect/>
                    </a:stretch>
                  </pic:blipFill>
                  <pic:spPr>
                    <a:xfrm>
                      <a:off x="0" y="0"/>
                      <a:ext cx="4227195" cy="3637280"/>
                    </a:xfrm>
                    <a:prstGeom prst="rect">
                      <a:avLst/>
                    </a:prstGeom>
                  </pic:spPr>
                </pic:pic>
              </a:graphicData>
            </a:graphic>
          </wp:inline>
        </w:drawing>
      </w:r>
    </w:p>
    <w:p w14:paraId="7EF7896A">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Style w:val="41"/>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图5.3-</w:t>
      </w:r>
      <w:r>
        <w:rPr>
          <w:rFonts w:hint="eastAsia" w:cs="Times New Roman"/>
          <w:b/>
          <w:color w:val="000000" w:themeColor="text1"/>
          <w:kern w:val="2"/>
          <w:sz w:val="24"/>
          <w:szCs w:val="24"/>
          <w:highlight w:val="none"/>
          <w:lang w:val="en-US" w:eastAsia="zh-CN"/>
          <w14:textFill>
            <w14:solidFill>
              <w14:schemeClr w14:val="tx1"/>
            </w14:solidFill>
          </w14:textFill>
        </w:rPr>
        <w:t>5管道</w:t>
      </w: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（全管径泄漏）</w:t>
      </w:r>
      <w:r>
        <w:rPr>
          <w:rFonts w:hint="default"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1000d石油类对潜水的影响预测结果图</w:t>
      </w:r>
    </w:p>
    <w:p w14:paraId="0AC457E1">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eastAsia="宋体"/>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g">
            <w:drawing>
              <wp:anchor distT="0" distB="0" distL="114300" distR="114300" simplePos="0" relativeHeight="251671552" behindDoc="0" locked="0" layoutInCell="1" allowOverlap="1">
                <wp:simplePos x="0" y="0"/>
                <wp:positionH relativeFrom="column">
                  <wp:posOffset>2488565</wp:posOffset>
                </wp:positionH>
                <wp:positionV relativeFrom="paragraph">
                  <wp:posOffset>2094230</wp:posOffset>
                </wp:positionV>
                <wp:extent cx="810895" cy="401320"/>
                <wp:effectExtent l="0" t="46990" r="0" b="0"/>
                <wp:wrapNone/>
                <wp:docPr id="133" name="组合 133"/>
                <wp:cNvGraphicFramePr/>
                <a:graphic xmlns:a="http://schemas.openxmlformats.org/drawingml/2006/main">
                  <a:graphicData uri="http://schemas.microsoft.com/office/word/2010/wordprocessingGroup">
                    <wpg:wgp>
                      <wpg:cNvGrpSpPr/>
                      <wpg:grpSpPr>
                        <a:xfrm>
                          <a:off x="0" y="0"/>
                          <a:ext cx="810895" cy="401320"/>
                          <a:chOff x="8838" y="4333752"/>
                          <a:chExt cx="1277" cy="632"/>
                        </a:xfrm>
                      </wpg:grpSpPr>
                      <wps:wsp>
                        <wps:cNvPr id="134" name="右箭头 34"/>
                        <wps:cNvSpPr/>
                        <wps:spPr>
                          <a:xfrm rot="720000" flipH="1">
                            <a:off x="9051" y="4333752"/>
                            <a:ext cx="750" cy="222"/>
                          </a:xfrm>
                          <a:prstGeom prst="rightArrow">
                            <a:avLst>
                              <a:gd name="adj1" fmla="val 23756"/>
                              <a:gd name="adj2" fmla="val 50000"/>
                            </a:avLst>
                          </a:prstGeom>
                          <a:solidFill>
                            <a:srgbClr val="5B9BD5"/>
                          </a:solidFill>
                          <a:ln w="12700" cap="flat" cmpd="sng" algn="ctr">
                            <a:solidFill>
                              <a:srgbClr val="5B9BD5">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5" name="文本框 35"/>
                        <wps:cNvSpPr txBox="1"/>
                        <wps:spPr>
                          <a:xfrm>
                            <a:off x="8838" y="4333898"/>
                            <a:ext cx="1277" cy="4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BDBD5">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5.95pt;margin-top:164.9pt;height:31.6pt;width:63.85pt;z-index:251671552;mso-width-relative:page;mso-height-relative:page;" coordorigin="8838,4333752" coordsize="1277,632" o:gfxdata="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vBxoFtoAAAALAQAADwAAAAAAAAABACAAAAAiAAAAZHJzL2Rvd25yZXYueG1sUEsBAhQA&#10;FAAAAAgAh07iQFEGVOO4AwAAawkAAA4AAAAAAAAAAQAgAAAAKQEAAGRycy9lMm9Eb2MueG1sUEsF&#10;BgAAAAAGAAYAWQEAAFMHAAAAAA==&#10;">
                <o:lock v:ext="edit" aspectratio="f"/>
                <v:shape id="右箭头 34" o:spid="_x0000_s1026" o:spt="13" type="#_x0000_t13" style="position:absolute;left:9051;top:4333752;flip:x;height:222;width:750;rotation:-786432f;v-text-anchor:middle;" fillcolor="#5B9BD5" filled="t" stroked="t" coordsize="21600,21600" o:gfxdata="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SKrW8AAAA&#10;3AAAAA8AAAAAAAAAAQAgAAAAIgAAAGRycy9kb3ducmV2LnhtbFBLAQIUABQAAAAIAIdO4kAzLwWe&#10;OwAAADkAAAAQAAAAAAAAAAEAIAAAAAsBAABkcnMvc2hhcGV4bWwueG1sUEsFBgAAAAAGAAYAWwEA&#10;ALUDAAAAAA==&#10;" adj="18404,8234">
                  <v:fill on="t" focussize="0,0"/>
                  <v:stroke weight="1pt" color="#2E75B6 [2404]" miterlimit="8" joinstyle="miter"/>
                  <v:imagedata o:title=""/>
                  <o:lock v:ext="edit" aspectratio="f"/>
                </v:shape>
                <v:shape id="文本框 35" o:spid="_x0000_s1026" o:spt="202" type="#_x0000_t202" style="position:absolute;left:8838;top:4333898;height:486;width:1277;"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5EBBDBD5">
                        <w:pPr>
                          <w:widowControl/>
                          <w:adjustRightInd w:val="0"/>
                          <w:snapToGrid w:val="0"/>
                          <w:spacing w:after="200"/>
                          <w:jc w:val="left"/>
                          <w:rPr>
                            <w:rFonts w:hint="default" w:ascii="Tahoma" w:hAnsi="Tahoma" w:eastAsia="微软雅黑" w:cs="Times New Roman"/>
                            <w:kern w:val="0"/>
                            <w:sz w:val="18"/>
                            <w:szCs w:val="18"/>
                            <w:lang w:val="en-US" w:eastAsia="zh-CN"/>
                          </w:rPr>
                        </w:pPr>
                        <w:r>
                          <w:rPr>
                            <w:rFonts w:hint="eastAsia" w:ascii="Tahoma" w:hAnsi="Tahoma" w:eastAsia="微软雅黑" w:cs="Times New Roman"/>
                            <w:kern w:val="0"/>
                            <w:sz w:val="18"/>
                            <w:szCs w:val="18"/>
                            <w:lang w:val="en-US" w:eastAsia="zh-CN"/>
                          </w:rPr>
                          <w:t>潜水流向</w:t>
                        </w:r>
                      </w:p>
                    </w:txbxContent>
                  </v:textbox>
                </v:shape>
              </v:group>
            </w:pict>
          </mc:Fallback>
        </mc:AlternateContent>
      </w:r>
      <w:r>
        <w:rPr>
          <w:rFonts w:hint="eastAsia" w:eastAsia="宋体"/>
          <w:color w:val="000000" w:themeColor="text1"/>
          <w:highlight w:val="none"/>
          <w:lang w:eastAsia="zh-CN"/>
          <w14:textFill>
            <w14:solidFill>
              <w14:schemeClr w14:val="tx1"/>
            </w14:solidFill>
          </w14:textFill>
        </w:rPr>
        <w:drawing>
          <wp:inline distT="0" distB="0" distL="114300" distR="114300">
            <wp:extent cx="4284980" cy="3793490"/>
            <wp:effectExtent l="0" t="0" r="1270" b="16510"/>
            <wp:docPr id="25" name="图片 25" descr="ab5877e215af9c3ee0fa9ae9f053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b5877e215af9c3ee0fa9ae9f0539208"/>
                    <pic:cNvPicPr>
                      <a:picLocks noChangeAspect="1"/>
                    </pic:cNvPicPr>
                  </pic:nvPicPr>
                  <pic:blipFill>
                    <a:blip r:embed="rId45"/>
                    <a:stretch>
                      <a:fillRect/>
                    </a:stretch>
                  </pic:blipFill>
                  <pic:spPr>
                    <a:xfrm>
                      <a:off x="0" y="0"/>
                      <a:ext cx="4284980" cy="3793490"/>
                    </a:xfrm>
                    <a:prstGeom prst="rect">
                      <a:avLst/>
                    </a:prstGeom>
                  </pic:spPr>
                </pic:pic>
              </a:graphicData>
            </a:graphic>
          </wp:inline>
        </w:drawing>
      </w:r>
    </w:p>
    <w:p w14:paraId="27465E94">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color w:val="000000" w:themeColor="text1"/>
          <w:highlight w:val="none"/>
          <w14:textFill>
            <w14:solidFill>
              <w14:schemeClr w14:val="tx1"/>
            </w14:solidFill>
          </w14:textFill>
        </w:rPr>
      </w:pPr>
      <w:r>
        <w:rPr>
          <w:rStyle w:val="41"/>
          <w:rFonts w:hint="default" w:ascii="Times New Roman" w:hAnsi="Times New Roman" w:cs="Times New Roman"/>
          <w:color w:val="000000" w:themeColor="text1"/>
          <w:highlight w:val="none"/>
          <w:lang w:val="en-US" w:eastAsia="zh-CN"/>
          <w14:textFill>
            <w14:solidFill>
              <w14:schemeClr w14:val="tx1"/>
            </w14:solidFill>
          </w14:textFill>
        </w:rPr>
        <w:t>图5.3-</w:t>
      </w:r>
      <w:r>
        <w:rPr>
          <w:rStyle w:val="41"/>
          <w:rFonts w:hint="eastAsia" w:cs="Times New Roman"/>
          <w:color w:val="000000" w:themeColor="text1"/>
          <w:highlight w:val="none"/>
          <w:lang w:val="en-US" w:eastAsia="zh-CN"/>
          <w14:textFill>
            <w14:solidFill>
              <w14:schemeClr w14:val="tx1"/>
            </w14:solidFill>
          </w14:textFill>
        </w:rPr>
        <w:t>6管道</w:t>
      </w:r>
      <w:r>
        <w:rPr>
          <w:rStyle w:val="41"/>
          <w:rFonts w:hint="default" w:ascii="Times New Roman" w:hAnsi="Times New Roman" w:cs="Times New Roman"/>
          <w:color w:val="000000" w:themeColor="text1"/>
          <w:highlight w:val="none"/>
          <w:lang w:val="en-US" w:eastAsia="zh-CN"/>
          <w14:textFill>
            <w14:solidFill>
              <w14:schemeClr w14:val="tx1"/>
            </w14:solidFill>
          </w14:textFill>
        </w:rPr>
        <w:t>泄漏</w:t>
      </w:r>
      <w:r>
        <w:rPr>
          <w:rFonts w:hint="eastAsia"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（全管径泄漏）</w:t>
      </w:r>
      <w:r>
        <w:rPr>
          <w:rStyle w:val="41"/>
          <w:rFonts w:hint="eastAsia" w:cs="Times New Roman"/>
          <w:color w:val="000000" w:themeColor="text1"/>
          <w:highlight w:val="none"/>
          <w:lang w:val="en-US" w:eastAsia="zh-CN"/>
          <w14:textFill>
            <w14:solidFill>
              <w14:schemeClr w14:val="tx1"/>
            </w14:solidFill>
          </w14:textFill>
        </w:rPr>
        <w:t>3650d</w:t>
      </w:r>
      <w:r>
        <w:rPr>
          <w:rStyle w:val="41"/>
          <w:rFonts w:hint="default" w:ascii="Times New Roman" w:hAnsi="Times New Roman" w:cs="Times New Roman"/>
          <w:color w:val="000000" w:themeColor="text1"/>
          <w:highlight w:val="none"/>
          <w:lang w:val="en-US" w:eastAsia="zh-CN"/>
          <w14:textFill>
            <w14:solidFill>
              <w14:schemeClr w14:val="tx1"/>
            </w14:solidFill>
          </w14:textFill>
        </w:rPr>
        <w:t>石油类对潜水的影响预测结果图</w:t>
      </w:r>
    </w:p>
    <w:p w14:paraId="297D36AC">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由上述内容可知，管道泄漏后，随着时间增加，污染范围有所增加。管道泄漏100d后，超标距离为下游</w:t>
      </w:r>
      <w:r>
        <w:rPr>
          <w:rFonts w:hint="eastAsia" w:cs="Times New Roman"/>
          <w:color w:val="000000" w:themeColor="text1"/>
          <w:highlight w:val="none"/>
          <w:lang w:val="en-US" w:eastAsia="zh-CN"/>
          <w14:textFill>
            <w14:solidFill>
              <w14:schemeClr w14:val="tx1"/>
            </w14:solidFill>
          </w14:textFill>
        </w:rPr>
        <w:t>31</w:t>
      </w:r>
      <w:r>
        <w:rPr>
          <w:rFonts w:hint="eastAsia" w:ascii="Times New Roman" w:hAnsi="Times New Roman" w:cs="Times New Roman"/>
          <w:color w:val="000000" w:themeColor="text1"/>
          <w:highlight w:val="none"/>
          <w:lang w:val="en-US" w:eastAsia="zh-CN"/>
          <w14:textFill>
            <w14:solidFill>
              <w14:schemeClr w14:val="tx1"/>
            </w14:solidFill>
          </w14:textFill>
        </w:rPr>
        <w:t>.35</w:t>
      </w:r>
      <w:r>
        <w:rPr>
          <w:rFonts w:hint="default" w:ascii="Times New Roman" w:hAnsi="Times New Roman" w:cs="Times New Roman"/>
          <w:color w:val="000000" w:themeColor="text1"/>
          <w:highlight w:val="none"/>
          <w:lang w:val="en-US" w:eastAsia="zh-CN"/>
          <w14:textFill>
            <w14:solidFill>
              <w14:schemeClr w14:val="tx1"/>
            </w14:solidFill>
          </w14:textFill>
        </w:rPr>
        <w:t>m，预测超标面积为</w:t>
      </w:r>
      <w:r>
        <w:rPr>
          <w:rFonts w:hint="eastAsia" w:cs="Times New Roman"/>
          <w:color w:val="000000" w:themeColor="text1"/>
          <w:highlight w:val="none"/>
          <w:lang w:val="en-US" w:eastAsia="zh-CN"/>
          <w14:textFill>
            <w14:solidFill>
              <w14:schemeClr w14:val="tx1"/>
            </w14:solidFill>
          </w14:textFill>
        </w:rPr>
        <w:t>918</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其余范围石油类浓度值均能够满足《地表水环境质量标准》（GB3838-2002）中II类标准（≤0.05mg/L）；</w:t>
      </w:r>
    </w:p>
    <w:p w14:paraId="00CDCAE8">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管道泄漏1000d后，超标距离为下游</w:t>
      </w:r>
      <w:r>
        <w:rPr>
          <w:rFonts w:hint="eastAsia" w:cs="Times New Roman"/>
          <w:color w:val="000000" w:themeColor="text1"/>
          <w:highlight w:val="none"/>
          <w:lang w:val="en-US" w:eastAsia="zh-CN"/>
          <w14:textFill>
            <w14:solidFill>
              <w14:schemeClr w14:val="tx1"/>
            </w14:solidFill>
          </w14:textFill>
        </w:rPr>
        <w:t>90</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m，预测超标面积为</w:t>
      </w:r>
      <w:r>
        <w:rPr>
          <w:rFonts w:hint="eastAsia" w:cs="Times New Roman"/>
          <w:color w:val="000000" w:themeColor="text1"/>
          <w:highlight w:val="none"/>
          <w:lang w:val="en-US" w:eastAsia="zh-CN"/>
          <w14:textFill>
            <w14:solidFill>
              <w14:schemeClr w14:val="tx1"/>
            </w14:solidFill>
          </w14:textFill>
        </w:rPr>
        <w:t>7616</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其余范围石油类浓度值均能够满足《地表水环境质量标准》（GB3838-2002）中II类标准（≤0.05mg/L）。</w:t>
      </w:r>
    </w:p>
    <w:p w14:paraId="5CB5FE2E">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管道</w:t>
      </w:r>
      <w:r>
        <w:rPr>
          <w:rFonts w:hint="eastAsia" w:ascii="Times New Roman" w:hAnsi="Times New Roman" w:cs="Times New Roman"/>
          <w:color w:val="000000" w:themeColor="text1"/>
          <w:highlight w:val="none"/>
          <w:lang w:val="en-US" w:eastAsia="zh-CN"/>
          <w14:textFill>
            <w14:solidFill>
              <w14:schemeClr w14:val="tx1"/>
            </w14:solidFill>
          </w14:textFill>
        </w:rPr>
        <w:t>破损（全管径泄漏）</w:t>
      </w:r>
      <w:r>
        <w:rPr>
          <w:rFonts w:hint="default" w:ascii="Times New Roman" w:hAnsi="Times New Roman" w:cs="Times New Roman"/>
          <w:color w:val="000000" w:themeColor="text1"/>
          <w:highlight w:val="none"/>
          <w:lang w:val="en-US" w:eastAsia="zh-CN"/>
          <w14:textFill>
            <w14:solidFill>
              <w14:schemeClr w14:val="tx1"/>
            </w14:solidFill>
          </w14:textFill>
        </w:rPr>
        <w:t>泄漏</w:t>
      </w:r>
      <w:r>
        <w:rPr>
          <w:rFonts w:hint="eastAsia" w:ascii="Times New Roman" w:hAnsi="Times New Roman" w:cs="Times New Roman"/>
          <w:color w:val="000000" w:themeColor="text1"/>
          <w:highlight w:val="none"/>
          <w:lang w:val="en-US" w:eastAsia="zh-CN"/>
          <w14:textFill>
            <w14:solidFill>
              <w14:schemeClr w14:val="tx1"/>
            </w14:solidFill>
          </w14:textFill>
        </w:rPr>
        <w:t>3650d</w:t>
      </w:r>
      <w:r>
        <w:rPr>
          <w:rFonts w:hint="default" w:ascii="Times New Roman" w:hAnsi="Times New Roman" w:cs="Times New Roman"/>
          <w:color w:val="000000" w:themeColor="text1"/>
          <w:highlight w:val="none"/>
          <w:lang w:val="en-US" w:eastAsia="zh-CN"/>
          <w14:textFill>
            <w14:solidFill>
              <w14:schemeClr w14:val="tx1"/>
            </w14:solidFill>
          </w14:textFill>
        </w:rPr>
        <w:t>后，超标距离为下游</w:t>
      </w:r>
      <w:r>
        <w:rPr>
          <w:rFonts w:hint="eastAsia" w:cs="Times New Roman"/>
          <w:color w:val="000000" w:themeColor="text1"/>
          <w:highlight w:val="none"/>
          <w:lang w:val="en-US" w:eastAsia="zh-CN"/>
          <w14:textFill>
            <w14:solidFill>
              <w14:schemeClr w14:val="tx1"/>
            </w14:solidFill>
          </w14:textFill>
        </w:rPr>
        <w:t>181.77</w:t>
      </w:r>
      <w:r>
        <w:rPr>
          <w:rFonts w:hint="default" w:ascii="Times New Roman" w:hAnsi="Times New Roman" w:cs="Times New Roman"/>
          <w:color w:val="000000" w:themeColor="text1"/>
          <w:highlight w:val="none"/>
          <w:lang w:val="en-US" w:eastAsia="zh-CN"/>
          <w14:textFill>
            <w14:solidFill>
              <w14:schemeClr w14:val="tx1"/>
            </w14:solidFill>
          </w14:textFill>
        </w:rPr>
        <w:t>m，预测超标面积为</w:t>
      </w:r>
      <w:r>
        <w:rPr>
          <w:rFonts w:hint="eastAsia" w:cs="Times New Roman"/>
          <w:color w:val="000000" w:themeColor="text1"/>
          <w:highlight w:val="none"/>
          <w:lang w:val="en-US" w:eastAsia="zh-CN"/>
          <w14:textFill>
            <w14:solidFill>
              <w14:schemeClr w14:val="tx1"/>
            </w14:solidFill>
          </w14:textFill>
        </w:rPr>
        <w:t>28800</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其余范围石油类浓度值均能够满足《地表水环境质量标准》（GB3838-2002）中II类标准（≤0.05mg/L）</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p>
    <w:p w14:paraId="15732B0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根据现场调查，本项目保护目标最近村屯为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盛广和屯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盛广和屯饮用水由国强村水源井提供，国强村距离本项目为1030m。</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大于管道泄漏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3650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d后的超标距离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181.77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m，且本项目水源井为承压水井，管线泄漏首先污染的是区域潜水层，项目区域潜水和承压水之间有隔水顶板，本项目管线泄漏对该水源井影响较小。</w:t>
      </w:r>
    </w:p>
    <w:p w14:paraId="4CDBC21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集油管线在采用无缝防腐钢管、运营期定期巡线检查等措施，巡检过程中一旦发现管道泄漏，应立即采取应急措施，关闭机泵，清理泄漏的原油、含油污水，并在泄漏点设置围堰，防止含油物质进一步扩散，管线破损泄漏的含油物质对地下水环境的影响是可接受的。</w:t>
      </w:r>
    </w:p>
    <w:p w14:paraId="561D0DE5">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5.3.</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3退役期</w:t>
      </w:r>
    </w:p>
    <w:p w14:paraId="6BDFA24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本次新建管道退役后，对管道进行清洗后封堵直埋，不会对地下水环境产生影响。</w:t>
      </w:r>
    </w:p>
    <w:p w14:paraId="01E75C94">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5.3.</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4地下水环境影响评价结论</w:t>
      </w:r>
    </w:p>
    <w:p w14:paraId="604FE8CE">
      <w:pPr>
        <w:keepNext w:val="0"/>
        <w:keepLines w:val="0"/>
        <w:pageBreakBefore w:val="0"/>
        <w:widowControl w:val="0"/>
        <w:kinsoku/>
        <w:wordWrap/>
        <w:topLinePunct w:val="0"/>
        <w:bidi w:val="0"/>
        <w:adjustRightInd/>
        <w:snapToGrid/>
        <w:spacing w:after="0" w:line="360" w:lineRule="auto"/>
        <w:ind w:firstLine="480" w:firstLineChars="200"/>
        <w:jc w:val="both"/>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正常状况下，本项目不会对地下水产生影响。</w:t>
      </w:r>
    </w:p>
    <w:p w14:paraId="72689881">
      <w:pPr>
        <w:pStyle w:val="33"/>
        <w:keepNext w:val="0"/>
        <w:keepLines w:val="0"/>
        <w:pageBreakBefore w:val="0"/>
        <w:widowControl w:val="0"/>
        <w:kinsoku/>
        <w:wordWrap/>
        <w:topLinePunct w:val="0"/>
        <w:bidi w:val="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非正常工况下，</w:t>
      </w:r>
      <w:r>
        <w:rPr>
          <w:rFonts w:hint="eastAsia" w:ascii="宋体" w:hAnsi="宋体" w:eastAsia="宋体" w:cs="宋体"/>
          <w:snapToGrid/>
          <w:color w:val="000000" w:themeColor="text1"/>
          <w:kern w:val="2"/>
          <w:sz w:val="24"/>
          <w:szCs w:val="24"/>
          <w:highlight w:val="none"/>
          <w:lang w:val="en-US" w:eastAsia="zh-CN" w:bidi="ar-SA"/>
          <w14:textFill>
            <w14:solidFill>
              <w14:schemeClr w14:val="tx1"/>
            </w14:solidFill>
          </w14:textFill>
        </w:rPr>
        <w:t>由于管道破损致使含油物质下渗至地下水，会对地下水产生一定的影响，本项目管道在采取相应措施后，管道破损泄漏的含油物质对地下水环境的影响是可接受的。本项目集油管道在采用无缝防腐钢管、运营期定期巡线检查等措施，巡检过程中一旦发现管道泄漏，应立即采取应急措施，关闭机泵，清理泄漏的原油、含油污水，并在泄漏点设置围堰，防止含油物质进一步扩散，管道破损泄漏的含油物质对地下水环境的影响是可接受的</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14:paraId="6020DC22">
      <w:pPr>
        <w:keepNext w:val="0"/>
        <w:keepLines w:val="0"/>
        <w:pageBreakBefore w:val="0"/>
        <w:widowControl w:val="0"/>
        <w:kinsoku/>
        <w:wordWrap/>
        <w:overflowPunct/>
        <w:topLinePunct w:val="0"/>
        <w:autoSpaceDE/>
        <w:autoSpaceDN/>
        <w:bidi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97" w:name="_Toc83703768"/>
      <w:bookmarkStart w:id="98" w:name="_Toc83703877"/>
      <w:bookmarkStart w:id="99" w:name="_Toc83803950"/>
      <w:bookmarkStart w:id="100" w:name="_Toc20602"/>
      <w:r>
        <w:rPr>
          <w:rFonts w:hint="default" w:ascii="Times New Roman" w:hAnsi="Times New Roman" w:eastAsia="宋体" w:cs="Times New Roman"/>
          <w:b/>
          <w:color w:val="000000" w:themeColor="text1"/>
          <w:sz w:val="28"/>
          <w:szCs w:val="28"/>
          <w:highlight w:val="none"/>
          <w14:textFill>
            <w14:solidFill>
              <w14:schemeClr w14:val="tx1"/>
            </w14:solidFill>
          </w14:textFill>
        </w:rPr>
        <w:t>5.4声环境影响预测与评价</w:t>
      </w:r>
      <w:bookmarkEnd w:id="97"/>
      <w:bookmarkEnd w:id="98"/>
      <w:bookmarkEnd w:id="99"/>
      <w:bookmarkEnd w:id="100"/>
    </w:p>
    <w:p w14:paraId="320B3B11">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5.4.1施工期声环境影响预测与评价</w:t>
      </w:r>
    </w:p>
    <w:p w14:paraId="39FE4C00">
      <w:pPr>
        <w:pStyle w:val="33"/>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项目施工期噪声主要来源于施工机械噪声和运输车辆噪声。</w:t>
      </w:r>
    </w:p>
    <w:p w14:paraId="26281AC7">
      <w:pPr>
        <w:pStyle w:val="33"/>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本项目管道工程施工时采用人工与机械施工相结合方式，将各种施工机械等近似为点声源，采用最大噪声值，仅考虑距离衰减进行计算，可得到施工期各种机械等在不同距离处的噪声贡献值，结果见表5.4-1。</w:t>
      </w:r>
    </w:p>
    <w:p w14:paraId="5E9BF951">
      <w:pPr>
        <w:pStyle w:val="44"/>
        <w:keepNext w:val="0"/>
        <w:keepLines w:val="0"/>
        <w:pageBreakBefore w:val="0"/>
        <w:widowControl w:val="0"/>
        <w:kinsoku/>
        <w:wordWrap/>
        <w:topLinePunct w:val="0"/>
        <w:bidi w:val="0"/>
        <w:ind w:firstLine="482"/>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w w:val="95"/>
          <w:highlight w:val="none"/>
          <w14:textFill>
            <w14:solidFill>
              <w14:schemeClr w14:val="tx1"/>
            </w14:solidFill>
          </w14:textFill>
        </w:rPr>
        <w:t>5.4-</w:t>
      </w:r>
      <w:r>
        <w:rPr>
          <w:rFonts w:hint="default" w:ascii="Times New Roman" w:hAnsi="Times New Roman" w:cs="Times New Roman"/>
          <w:color w:val="000000" w:themeColor="text1"/>
          <w:w w:val="95"/>
          <w:highlight w:val="none"/>
          <w:lang w:val="en-US" w:eastAsia="zh-CN"/>
          <w14:textFill>
            <w14:solidFill>
              <w14:schemeClr w14:val="tx1"/>
            </w14:solidFill>
          </w14:textFill>
        </w:rPr>
        <w:t>1</w:t>
      </w:r>
      <w:r>
        <w:rPr>
          <w:rFonts w:hint="eastAsia" w:ascii="Times New Roman" w:hAnsi="Times New Roman" w:cs="Times New Roman"/>
          <w:color w:val="000000" w:themeColor="text1"/>
          <w:w w:val="95"/>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szCs w:val="24"/>
          <w:highlight w:val="none"/>
          <w14:textFill>
            <w14:solidFill>
              <w14:schemeClr w14:val="tx1"/>
            </w14:solidFill>
          </w14:textFill>
        </w:rPr>
        <w:t>施工期机械噪声衰减值一览表</w:t>
      </w:r>
      <w:r>
        <w:rPr>
          <w:rFonts w:hint="default" w:ascii="Times New Roman" w:hAnsi="Times New Roman" w:cs="Times New Roman"/>
          <w:color w:val="000000" w:themeColor="text1"/>
          <w:highlight w:val="none"/>
          <w14:textFill>
            <w14:solidFill>
              <w14:schemeClr w14:val="tx1"/>
            </w14:solidFill>
          </w14:textFill>
        </w:rPr>
        <w:t>单位：dB（A）</w:t>
      </w:r>
    </w:p>
    <w:tbl>
      <w:tblPr>
        <w:tblStyle w:val="40"/>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12"/>
        <w:gridCol w:w="1268"/>
        <w:gridCol w:w="1069"/>
        <w:gridCol w:w="1108"/>
        <w:gridCol w:w="1160"/>
        <w:gridCol w:w="1030"/>
        <w:gridCol w:w="1234"/>
      </w:tblGrid>
      <w:tr w14:paraId="3F0EF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Merge w:val="restart"/>
            <w:vAlign w:val="center"/>
          </w:tcPr>
          <w:p w14:paraId="474C12EE">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pacing w:val="-1"/>
                <w:szCs w:val="21"/>
                <w:highlight w:val="none"/>
                <w14:textFill>
                  <w14:solidFill>
                    <w14:schemeClr w14:val="tx1"/>
                  </w14:solidFill>
                </w14:textFill>
              </w:rPr>
              <w:t>机</w:t>
            </w:r>
            <w:r>
              <w:rPr>
                <w:rFonts w:hint="default" w:ascii="Times New Roman" w:hAnsi="Times New Roman" w:cs="Times New Roman"/>
                <w:b w:val="0"/>
                <w:bCs/>
                <w:color w:val="000000" w:themeColor="text1"/>
                <w:spacing w:val="2"/>
                <w:szCs w:val="21"/>
                <w:highlight w:val="none"/>
                <w14:textFill>
                  <w14:solidFill>
                    <w14:schemeClr w14:val="tx1"/>
                  </w14:solidFill>
                </w14:textFill>
              </w:rPr>
              <w:t>械</w:t>
            </w:r>
            <w:r>
              <w:rPr>
                <w:rFonts w:hint="default" w:ascii="Times New Roman" w:hAnsi="Times New Roman" w:cs="Times New Roman"/>
                <w:b w:val="0"/>
                <w:bCs/>
                <w:color w:val="000000" w:themeColor="text1"/>
                <w:spacing w:val="-1"/>
                <w:szCs w:val="21"/>
                <w:highlight w:val="none"/>
                <w14:textFill>
                  <w14:solidFill>
                    <w14:schemeClr w14:val="tx1"/>
                  </w14:solidFill>
                </w14:textFill>
              </w:rPr>
              <w:t>名</w:t>
            </w:r>
            <w:r>
              <w:rPr>
                <w:rFonts w:hint="default" w:ascii="Times New Roman" w:hAnsi="Times New Roman" w:cs="Times New Roman"/>
                <w:b w:val="0"/>
                <w:bCs/>
                <w:color w:val="000000" w:themeColor="text1"/>
                <w:szCs w:val="21"/>
                <w:highlight w:val="none"/>
                <w14:textFill>
                  <w14:solidFill>
                    <w14:schemeClr w14:val="tx1"/>
                  </w14:solidFill>
                </w14:textFill>
              </w:rPr>
              <w:t>称</w:t>
            </w:r>
          </w:p>
        </w:tc>
        <w:tc>
          <w:tcPr>
            <w:tcW w:w="3700" w:type="pct"/>
            <w:gridSpan w:val="6"/>
            <w:vAlign w:val="center"/>
          </w:tcPr>
          <w:p w14:paraId="0530A8C1">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szCs w:val="21"/>
                <w:highlight w:val="none"/>
                <w14:textFill>
                  <w14:solidFill>
                    <w14:schemeClr w14:val="tx1"/>
                  </w14:solidFill>
                </w14:textFill>
              </w:rPr>
            </w:pPr>
            <w:r>
              <w:rPr>
                <w:rFonts w:hint="default" w:ascii="Times New Roman" w:hAnsi="Times New Roman" w:cs="Times New Roman"/>
                <w:b w:val="0"/>
                <w:bCs/>
                <w:color w:val="000000" w:themeColor="text1"/>
                <w:spacing w:val="-1"/>
                <w:szCs w:val="21"/>
                <w:highlight w:val="none"/>
                <w14:textFill>
                  <w14:solidFill>
                    <w14:schemeClr w14:val="tx1"/>
                  </w14:solidFill>
                </w14:textFill>
              </w:rPr>
              <w:t>离</w:t>
            </w:r>
            <w:r>
              <w:rPr>
                <w:rFonts w:hint="default" w:ascii="Times New Roman" w:hAnsi="Times New Roman" w:cs="Times New Roman"/>
                <w:b w:val="0"/>
                <w:bCs/>
                <w:color w:val="000000" w:themeColor="text1"/>
                <w:spacing w:val="2"/>
                <w:szCs w:val="21"/>
                <w:highlight w:val="none"/>
                <w14:textFill>
                  <w14:solidFill>
                    <w14:schemeClr w14:val="tx1"/>
                  </w14:solidFill>
                </w14:textFill>
              </w:rPr>
              <w:t>施</w:t>
            </w:r>
            <w:r>
              <w:rPr>
                <w:rFonts w:hint="default" w:ascii="Times New Roman" w:hAnsi="Times New Roman" w:cs="Times New Roman"/>
                <w:b w:val="0"/>
                <w:bCs/>
                <w:color w:val="000000" w:themeColor="text1"/>
                <w:spacing w:val="-1"/>
                <w:szCs w:val="21"/>
                <w:highlight w:val="none"/>
                <w14:textFill>
                  <w14:solidFill>
                    <w14:schemeClr w14:val="tx1"/>
                  </w14:solidFill>
                </w14:textFill>
              </w:rPr>
              <w:t>工</w:t>
            </w:r>
            <w:r>
              <w:rPr>
                <w:rFonts w:hint="default" w:ascii="Times New Roman" w:hAnsi="Times New Roman" w:cs="Times New Roman"/>
                <w:b w:val="0"/>
                <w:bCs/>
                <w:color w:val="000000" w:themeColor="text1"/>
                <w:spacing w:val="2"/>
                <w:szCs w:val="21"/>
                <w:highlight w:val="none"/>
                <w14:textFill>
                  <w14:solidFill>
                    <w14:schemeClr w14:val="tx1"/>
                  </w14:solidFill>
                </w14:textFill>
              </w:rPr>
              <w:t>点</w:t>
            </w:r>
            <w:r>
              <w:rPr>
                <w:rFonts w:hint="default" w:ascii="Times New Roman" w:hAnsi="Times New Roman" w:cs="Times New Roman"/>
                <w:b w:val="0"/>
                <w:bCs/>
                <w:color w:val="000000" w:themeColor="text1"/>
                <w:spacing w:val="-1"/>
                <w:szCs w:val="21"/>
                <w:highlight w:val="none"/>
                <w14:textFill>
                  <w14:solidFill>
                    <w14:schemeClr w14:val="tx1"/>
                  </w14:solidFill>
                </w14:textFill>
              </w:rPr>
              <w:t>距</w:t>
            </w:r>
            <w:r>
              <w:rPr>
                <w:rFonts w:hint="default" w:ascii="Times New Roman" w:hAnsi="Times New Roman" w:cs="Times New Roman"/>
                <w:b w:val="0"/>
                <w:bCs/>
                <w:color w:val="000000" w:themeColor="text1"/>
                <w:spacing w:val="2"/>
                <w:szCs w:val="21"/>
                <w:highlight w:val="none"/>
                <w14:textFill>
                  <w14:solidFill>
                    <w14:schemeClr w14:val="tx1"/>
                  </w14:solidFill>
                </w14:textFill>
              </w:rPr>
              <w:t>离</w:t>
            </w:r>
            <w:r>
              <w:rPr>
                <w:rFonts w:hint="default" w:ascii="Times New Roman" w:hAnsi="Times New Roman" w:cs="Times New Roman"/>
                <w:b w:val="0"/>
                <w:bCs/>
                <w:color w:val="000000" w:themeColor="text1"/>
                <w:spacing w:val="-1"/>
                <w:szCs w:val="21"/>
                <w:highlight w:val="none"/>
                <w14:textFill>
                  <w14:solidFill>
                    <w14:schemeClr w14:val="tx1"/>
                  </w14:solidFill>
                </w14:textFill>
              </w:rPr>
              <w:t>不</w:t>
            </w:r>
            <w:r>
              <w:rPr>
                <w:rFonts w:hint="default" w:ascii="Times New Roman" w:hAnsi="Times New Roman" w:cs="Times New Roman"/>
                <w:b w:val="0"/>
                <w:bCs/>
                <w:color w:val="000000" w:themeColor="text1"/>
                <w:spacing w:val="2"/>
                <w:szCs w:val="21"/>
                <w:highlight w:val="none"/>
                <w14:textFill>
                  <w14:solidFill>
                    <w14:schemeClr w14:val="tx1"/>
                  </w14:solidFill>
                </w14:textFill>
              </w:rPr>
              <w:t>同</w:t>
            </w:r>
            <w:r>
              <w:rPr>
                <w:rFonts w:hint="default" w:ascii="Times New Roman" w:hAnsi="Times New Roman" w:cs="Times New Roman"/>
                <w:b w:val="0"/>
                <w:bCs/>
                <w:color w:val="000000" w:themeColor="text1"/>
                <w:spacing w:val="-1"/>
                <w:szCs w:val="21"/>
                <w:highlight w:val="none"/>
                <w14:textFill>
                  <w14:solidFill>
                    <w14:schemeClr w14:val="tx1"/>
                  </w14:solidFill>
                </w14:textFill>
              </w:rPr>
              <w:t>处</w:t>
            </w:r>
            <w:r>
              <w:rPr>
                <w:rFonts w:hint="default" w:ascii="Times New Roman" w:hAnsi="Times New Roman" w:cs="Times New Roman"/>
                <w:b w:val="0"/>
                <w:bCs/>
                <w:color w:val="000000" w:themeColor="text1"/>
                <w:spacing w:val="2"/>
                <w:szCs w:val="21"/>
                <w:highlight w:val="none"/>
                <w14:textFill>
                  <w14:solidFill>
                    <w14:schemeClr w14:val="tx1"/>
                  </w14:solidFill>
                </w14:textFill>
              </w:rPr>
              <w:t>的</w:t>
            </w:r>
            <w:r>
              <w:rPr>
                <w:rFonts w:hint="default" w:ascii="Times New Roman" w:hAnsi="Times New Roman" w:cs="Times New Roman"/>
                <w:b w:val="0"/>
                <w:bCs/>
                <w:color w:val="000000" w:themeColor="text1"/>
                <w:spacing w:val="-1"/>
                <w:szCs w:val="21"/>
                <w:highlight w:val="none"/>
                <w14:textFill>
                  <w14:solidFill>
                    <w14:schemeClr w14:val="tx1"/>
                  </w14:solidFill>
                </w14:textFill>
              </w:rPr>
              <w:t>噪</w:t>
            </w:r>
            <w:r>
              <w:rPr>
                <w:rFonts w:hint="default" w:ascii="Times New Roman" w:hAnsi="Times New Roman" w:cs="Times New Roman"/>
                <w:b w:val="0"/>
                <w:bCs/>
                <w:color w:val="000000" w:themeColor="text1"/>
                <w:spacing w:val="2"/>
                <w:szCs w:val="21"/>
                <w:highlight w:val="none"/>
                <w14:textFill>
                  <w14:solidFill>
                    <w14:schemeClr w14:val="tx1"/>
                  </w14:solidFill>
                </w14:textFill>
              </w:rPr>
              <w:t>声</w:t>
            </w:r>
            <w:r>
              <w:rPr>
                <w:rFonts w:hint="default" w:ascii="Times New Roman" w:hAnsi="Times New Roman" w:cs="Times New Roman"/>
                <w:b w:val="0"/>
                <w:bCs/>
                <w:color w:val="000000" w:themeColor="text1"/>
                <w:szCs w:val="21"/>
                <w:highlight w:val="none"/>
                <w14:textFill>
                  <w14:solidFill>
                    <w14:schemeClr w14:val="tx1"/>
                  </w14:solidFill>
                </w14:textFill>
              </w:rPr>
              <w:t>值</w:t>
            </w:r>
          </w:p>
        </w:tc>
      </w:tr>
      <w:tr w14:paraId="68EE2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Merge w:val="continue"/>
            <w:vAlign w:val="center"/>
          </w:tcPr>
          <w:p w14:paraId="7EDDFC76">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color w:val="000000" w:themeColor="text1"/>
                <w:highlight w:val="none"/>
                <w14:textFill>
                  <w14:solidFill>
                    <w14:schemeClr w14:val="tx1"/>
                  </w14:solidFill>
                </w14:textFill>
              </w:rPr>
            </w:pPr>
          </w:p>
        </w:tc>
        <w:tc>
          <w:tcPr>
            <w:tcW w:w="683" w:type="pct"/>
            <w:vAlign w:val="center"/>
          </w:tcPr>
          <w:p w14:paraId="5504FF4D">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val="0"/>
                <w:bCs/>
                <w:color w:val="000000" w:themeColor="text1"/>
                <w:szCs w:val="21"/>
                <w:highlight w:val="none"/>
                <w14:textFill>
                  <w14:solidFill>
                    <w14:schemeClr w14:val="tx1"/>
                  </w14:solidFill>
                </w14:textFill>
              </w:rPr>
            </w:pPr>
            <w:r>
              <w:rPr>
                <w:rFonts w:hint="default" w:ascii="Times New Roman" w:hAnsi="Times New Roman" w:eastAsia="Times New Roman" w:cs="Times New Roman"/>
                <w:b w:val="0"/>
                <w:bCs/>
                <w:color w:val="000000" w:themeColor="text1"/>
                <w:spacing w:val="1"/>
                <w:szCs w:val="21"/>
                <w:highlight w:val="none"/>
                <w14:textFill>
                  <w14:solidFill>
                    <w14:schemeClr w14:val="tx1"/>
                  </w14:solidFill>
                </w14:textFill>
              </w:rPr>
              <w:t>10</w:t>
            </w:r>
            <w:r>
              <w:rPr>
                <w:rFonts w:hint="default" w:ascii="Times New Roman" w:hAnsi="Times New Roman" w:eastAsia="Times New Roman" w:cs="Times New Roman"/>
                <w:b w:val="0"/>
                <w:bCs/>
                <w:color w:val="000000" w:themeColor="text1"/>
                <w:szCs w:val="21"/>
                <w:highlight w:val="none"/>
                <w14:textFill>
                  <w14:solidFill>
                    <w14:schemeClr w14:val="tx1"/>
                  </w14:solidFill>
                </w14:textFill>
              </w:rPr>
              <w:t>m</w:t>
            </w:r>
          </w:p>
        </w:tc>
        <w:tc>
          <w:tcPr>
            <w:tcW w:w="576" w:type="pct"/>
            <w:vAlign w:val="center"/>
          </w:tcPr>
          <w:p w14:paraId="1637EBBF">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val="0"/>
                <w:bCs/>
                <w:color w:val="000000" w:themeColor="text1"/>
                <w:szCs w:val="21"/>
                <w:highlight w:val="none"/>
                <w14:textFill>
                  <w14:solidFill>
                    <w14:schemeClr w14:val="tx1"/>
                  </w14:solidFill>
                </w14:textFill>
              </w:rPr>
            </w:pPr>
            <w:r>
              <w:rPr>
                <w:rFonts w:hint="default" w:ascii="Times New Roman" w:hAnsi="Times New Roman" w:eastAsia="Times New Roman" w:cs="Times New Roman"/>
                <w:b w:val="0"/>
                <w:bCs/>
                <w:color w:val="000000" w:themeColor="text1"/>
                <w:spacing w:val="1"/>
                <w:szCs w:val="21"/>
                <w:highlight w:val="none"/>
                <w14:textFill>
                  <w14:solidFill>
                    <w14:schemeClr w14:val="tx1"/>
                  </w14:solidFill>
                </w14:textFill>
              </w:rPr>
              <w:t>50</w:t>
            </w:r>
            <w:r>
              <w:rPr>
                <w:rFonts w:hint="default" w:ascii="Times New Roman" w:hAnsi="Times New Roman" w:eastAsia="Times New Roman" w:cs="Times New Roman"/>
                <w:b w:val="0"/>
                <w:bCs/>
                <w:color w:val="000000" w:themeColor="text1"/>
                <w:szCs w:val="21"/>
                <w:highlight w:val="none"/>
                <w14:textFill>
                  <w14:solidFill>
                    <w14:schemeClr w14:val="tx1"/>
                  </w14:solidFill>
                </w14:textFill>
              </w:rPr>
              <w:t>m</w:t>
            </w:r>
          </w:p>
        </w:tc>
        <w:tc>
          <w:tcPr>
            <w:tcW w:w="597" w:type="pct"/>
            <w:vAlign w:val="center"/>
          </w:tcPr>
          <w:p w14:paraId="700181B9">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val="0"/>
                <w:bCs/>
                <w:color w:val="000000" w:themeColor="text1"/>
                <w:szCs w:val="21"/>
                <w:highlight w:val="none"/>
                <w14:textFill>
                  <w14:solidFill>
                    <w14:schemeClr w14:val="tx1"/>
                  </w14:solidFill>
                </w14:textFill>
              </w:rPr>
            </w:pPr>
            <w:r>
              <w:rPr>
                <w:rFonts w:hint="default" w:ascii="Times New Roman" w:hAnsi="Times New Roman" w:eastAsia="Times New Roman" w:cs="Times New Roman"/>
                <w:b w:val="0"/>
                <w:bCs/>
                <w:color w:val="000000" w:themeColor="text1"/>
                <w:spacing w:val="1"/>
                <w:szCs w:val="21"/>
                <w:highlight w:val="none"/>
                <w14:textFill>
                  <w14:solidFill>
                    <w14:schemeClr w14:val="tx1"/>
                  </w14:solidFill>
                </w14:textFill>
              </w:rPr>
              <w:t>100</w:t>
            </w:r>
            <w:r>
              <w:rPr>
                <w:rFonts w:hint="default" w:ascii="Times New Roman" w:hAnsi="Times New Roman" w:eastAsia="Times New Roman" w:cs="Times New Roman"/>
                <w:b w:val="0"/>
                <w:bCs/>
                <w:color w:val="000000" w:themeColor="text1"/>
                <w:szCs w:val="21"/>
                <w:highlight w:val="none"/>
                <w14:textFill>
                  <w14:solidFill>
                    <w14:schemeClr w14:val="tx1"/>
                  </w14:solidFill>
                </w14:textFill>
              </w:rPr>
              <w:t>m</w:t>
            </w:r>
          </w:p>
        </w:tc>
        <w:tc>
          <w:tcPr>
            <w:tcW w:w="625" w:type="pct"/>
            <w:vAlign w:val="center"/>
          </w:tcPr>
          <w:p w14:paraId="6BA287BA">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val="0"/>
                <w:bCs/>
                <w:color w:val="000000" w:themeColor="text1"/>
                <w:szCs w:val="21"/>
                <w:highlight w:val="none"/>
                <w14:textFill>
                  <w14:solidFill>
                    <w14:schemeClr w14:val="tx1"/>
                  </w14:solidFill>
                </w14:textFill>
              </w:rPr>
            </w:pPr>
            <w:r>
              <w:rPr>
                <w:rFonts w:hint="default" w:ascii="Times New Roman" w:hAnsi="Times New Roman" w:eastAsia="Times New Roman" w:cs="Times New Roman"/>
                <w:b w:val="0"/>
                <w:bCs/>
                <w:color w:val="000000" w:themeColor="text1"/>
                <w:spacing w:val="1"/>
                <w:szCs w:val="21"/>
                <w:highlight w:val="none"/>
                <w14:textFill>
                  <w14:solidFill>
                    <w14:schemeClr w14:val="tx1"/>
                  </w14:solidFill>
                </w14:textFill>
              </w:rPr>
              <w:t>150</w:t>
            </w:r>
            <w:r>
              <w:rPr>
                <w:rFonts w:hint="default" w:ascii="Times New Roman" w:hAnsi="Times New Roman" w:eastAsia="Times New Roman" w:cs="Times New Roman"/>
                <w:b w:val="0"/>
                <w:bCs/>
                <w:color w:val="000000" w:themeColor="text1"/>
                <w:szCs w:val="21"/>
                <w:highlight w:val="none"/>
                <w14:textFill>
                  <w14:solidFill>
                    <w14:schemeClr w14:val="tx1"/>
                  </w14:solidFill>
                </w14:textFill>
              </w:rPr>
              <w:t>m</w:t>
            </w:r>
          </w:p>
        </w:tc>
        <w:tc>
          <w:tcPr>
            <w:tcW w:w="555" w:type="pct"/>
            <w:vAlign w:val="center"/>
          </w:tcPr>
          <w:p w14:paraId="0420F6BD">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val="0"/>
                <w:bCs/>
                <w:color w:val="000000" w:themeColor="text1"/>
                <w:szCs w:val="21"/>
                <w:highlight w:val="none"/>
                <w14:textFill>
                  <w14:solidFill>
                    <w14:schemeClr w14:val="tx1"/>
                  </w14:solidFill>
                </w14:textFill>
              </w:rPr>
            </w:pPr>
            <w:r>
              <w:rPr>
                <w:rFonts w:hint="default" w:ascii="Times New Roman" w:hAnsi="Times New Roman" w:eastAsia="Times New Roman" w:cs="Times New Roman"/>
                <w:b w:val="0"/>
                <w:bCs/>
                <w:color w:val="000000" w:themeColor="text1"/>
                <w:spacing w:val="1"/>
                <w:szCs w:val="21"/>
                <w:highlight w:val="none"/>
                <w14:textFill>
                  <w14:solidFill>
                    <w14:schemeClr w14:val="tx1"/>
                  </w14:solidFill>
                </w14:textFill>
              </w:rPr>
              <w:t>200</w:t>
            </w:r>
            <w:r>
              <w:rPr>
                <w:rFonts w:hint="default" w:ascii="Times New Roman" w:hAnsi="Times New Roman" w:eastAsia="Times New Roman" w:cs="Times New Roman"/>
                <w:b w:val="0"/>
                <w:bCs/>
                <w:color w:val="000000" w:themeColor="text1"/>
                <w:szCs w:val="21"/>
                <w:highlight w:val="none"/>
                <w14:textFill>
                  <w14:solidFill>
                    <w14:schemeClr w14:val="tx1"/>
                  </w14:solidFill>
                </w14:textFill>
              </w:rPr>
              <w:t>m</w:t>
            </w:r>
          </w:p>
        </w:tc>
        <w:tc>
          <w:tcPr>
            <w:tcW w:w="661" w:type="pct"/>
            <w:vAlign w:val="center"/>
          </w:tcPr>
          <w:p w14:paraId="47AAF90D">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val="0"/>
                <w:bCs/>
                <w:color w:val="000000" w:themeColor="text1"/>
                <w:szCs w:val="21"/>
                <w:highlight w:val="none"/>
                <w14:textFill>
                  <w14:solidFill>
                    <w14:schemeClr w14:val="tx1"/>
                  </w14:solidFill>
                </w14:textFill>
              </w:rPr>
            </w:pPr>
            <w:r>
              <w:rPr>
                <w:rFonts w:hint="default" w:ascii="Times New Roman" w:hAnsi="Times New Roman" w:eastAsia="Times New Roman" w:cs="Times New Roman"/>
                <w:b w:val="0"/>
                <w:bCs/>
                <w:color w:val="000000" w:themeColor="text1"/>
                <w:spacing w:val="1"/>
                <w:szCs w:val="21"/>
                <w:highlight w:val="none"/>
                <w14:textFill>
                  <w14:solidFill>
                    <w14:schemeClr w14:val="tx1"/>
                  </w14:solidFill>
                </w14:textFill>
              </w:rPr>
              <w:t>300</w:t>
            </w:r>
            <w:r>
              <w:rPr>
                <w:rFonts w:hint="default" w:ascii="Times New Roman" w:hAnsi="Times New Roman" w:eastAsia="Times New Roman" w:cs="Times New Roman"/>
                <w:b w:val="0"/>
                <w:bCs/>
                <w:color w:val="000000" w:themeColor="text1"/>
                <w:szCs w:val="21"/>
                <w:highlight w:val="none"/>
                <w14:textFill>
                  <w14:solidFill>
                    <w14:schemeClr w14:val="tx1"/>
                  </w14:solidFill>
                </w14:textFill>
              </w:rPr>
              <w:t>m</w:t>
            </w:r>
          </w:p>
        </w:tc>
      </w:tr>
      <w:tr w14:paraId="204AC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1299" w:type="pct"/>
            <w:vAlign w:val="center"/>
          </w:tcPr>
          <w:p w14:paraId="33D6C17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挖掘机</w:t>
            </w:r>
          </w:p>
        </w:tc>
        <w:tc>
          <w:tcPr>
            <w:tcW w:w="683" w:type="pct"/>
            <w:vAlign w:val="center"/>
          </w:tcPr>
          <w:p w14:paraId="392C827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84</w:t>
            </w:r>
          </w:p>
        </w:tc>
        <w:tc>
          <w:tcPr>
            <w:tcW w:w="576" w:type="pct"/>
            <w:vAlign w:val="center"/>
          </w:tcPr>
          <w:p w14:paraId="2A01DCB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70</w:t>
            </w:r>
          </w:p>
        </w:tc>
        <w:tc>
          <w:tcPr>
            <w:tcW w:w="597" w:type="pct"/>
            <w:vAlign w:val="center"/>
          </w:tcPr>
          <w:p w14:paraId="6B41054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64</w:t>
            </w:r>
          </w:p>
        </w:tc>
        <w:tc>
          <w:tcPr>
            <w:tcW w:w="625" w:type="pct"/>
            <w:vAlign w:val="center"/>
          </w:tcPr>
          <w:p w14:paraId="7A6AB5E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60</w:t>
            </w:r>
          </w:p>
        </w:tc>
        <w:tc>
          <w:tcPr>
            <w:tcW w:w="555" w:type="pct"/>
            <w:vAlign w:val="center"/>
          </w:tcPr>
          <w:p w14:paraId="677CD0A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58</w:t>
            </w:r>
          </w:p>
        </w:tc>
        <w:tc>
          <w:tcPr>
            <w:tcW w:w="661" w:type="pct"/>
            <w:vAlign w:val="center"/>
          </w:tcPr>
          <w:p w14:paraId="7BF4493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54</w:t>
            </w:r>
          </w:p>
        </w:tc>
      </w:tr>
      <w:tr w14:paraId="1790A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Align w:val="center"/>
          </w:tcPr>
          <w:p w14:paraId="66479539">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吊装机</w:t>
            </w:r>
          </w:p>
        </w:tc>
        <w:tc>
          <w:tcPr>
            <w:tcW w:w="683" w:type="pct"/>
            <w:vAlign w:val="center"/>
          </w:tcPr>
          <w:p w14:paraId="562A536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80</w:t>
            </w:r>
          </w:p>
        </w:tc>
        <w:tc>
          <w:tcPr>
            <w:tcW w:w="576" w:type="pct"/>
            <w:vAlign w:val="center"/>
          </w:tcPr>
          <w:p w14:paraId="0C5473A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66</w:t>
            </w:r>
          </w:p>
        </w:tc>
        <w:tc>
          <w:tcPr>
            <w:tcW w:w="597" w:type="pct"/>
            <w:vAlign w:val="center"/>
          </w:tcPr>
          <w:p w14:paraId="68DCF66B">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60</w:t>
            </w:r>
          </w:p>
        </w:tc>
        <w:tc>
          <w:tcPr>
            <w:tcW w:w="625" w:type="pct"/>
            <w:vAlign w:val="center"/>
          </w:tcPr>
          <w:p w14:paraId="7E4EA12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56</w:t>
            </w:r>
          </w:p>
        </w:tc>
        <w:tc>
          <w:tcPr>
            <w:tcW w:w="555" w:type="pct"/>
            <w:vAlign w:val="center"/>
          </w:tcPr>
          <w:p w14:paraId="2032945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54</w:t>
            </w:r>
          </w:p>
        </w:tc>
        <w:tc>
          <w:tcPr>
            <w:tcW w:w="661" w:type="pct"/>
            <w:vAlign w:val="center"/>
          </w:tcPr>
          <w:p w14:paraId="63D3AAC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50</w:t>
            </w:r>
          </w:p>
        </w:tc>
      </w:tr>
      <w:tr w14:paraId="3CC05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Align w:val="center"/>
          </w:tcPr>
          <w:p w14:paraId="093DF1C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推土机</w:t>
            </w:r>
          </w:p>
        </w:tc>
        <w:tc>
          <w:tcPr>
            <w:tcW w:w="683" w:type="pct"/>
            <w:vAlign w:val="center"/>
          </w:tcPr>
          <w:p w14:paraId="7F34B6DB">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82</w:t>
            </w:r>
          </w:p>
        </w:tc>
        <w:tc>
          <w:tcPr>
            <w:tcW w:w="576" w:type="pct"/>
            <w:vAlign w:val="center"/>
          </w:tcPr>
          <w:p w14:paraId="1DF38A2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68</w:t>
            </w:r>
          </w:p>
        </w:tc>
        <w:tc>
          <w:tcPr>
            <w:tcW w:w="597" w:type="pct"/>
            <w:vAlign w:val="center"/>
          </w:tcPr>
          <w:p w14:paraId="2B59843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62</w:t>
            </w:r>
          </w:p>
        </w:tc>
        <w:tc>
          <w:tcPr>
            <w:tcW w:w="625" w:type="pct"/>
            <w:vAlign w:val="center"/>
          </w:tcPr>
          <w:p w14:paraId="49DA791E">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58</w:t>
            </w:r>
          </w:p>
        </w:tc>
        <w:tc>
          <w:tcPr>
            <w:tcW w:w="555" w:type="pct"/>
            <w:vAlign w:val="center"/>
          </w:tcPr>
          <w:p w14:paraId="63AA3297">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56</w:t>
            </w:r>
          </w:p>
        </w:tc>
        <w:tc>
          <w:tcPr>
            <w:tcW w:w="661" w:type="pct"/>
            <w:vAlign w:val="center"/>
          </w:tcPr>
          <w:p w14:paraId="32B08E0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52</w:t>
            </w:r>
          </w:p>
        </w:tc>
      </w:tr>
      <w:tr w14:paraId="58BCF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Align w:val="center"/>
          </w:tcPr>
          <w:p w14:paraId="5E1896B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电焊机</w:t>
            </w:r>
          </w:p>
        </w:tc>
        <w:tc>
          <w:tcPr>
            <w:tcW w:w="683" w:type="pct"/>
            <w:vAlign w:val="center"/>
          </w:tcPr>
          <w:p w14:paraId="6B0ED4F2">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90</w:t>
            </w:r>
          </w:p>
        </w:tc>
        <w:tc>
          <w:tcPr>
            <w:tcW w:w="576" w:type="pct"/>
            <w:vAlign w:val="center"/>
          </w:tcPr>
          <w:p w14:paraId="0FCE018A">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76</w:t>
            </w:r>
          </w:p>
        </w:tc>
        <w:tc>
          <w:tcPr>
            <w:tcW w:w="597" w:type="pct"/>
            <w:vAlign w:val="center"/>
          </w:tcPr>
          <w:p w14:paraId="302B7DB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70</w:t>
            </w:r>
          </w:p>
        </w:tc>
        <w:tc>
          <w:tcPr>
            <w:tcW w:w="625" w:type="pct"/>
            <w:vAlign w:val="center"/>
          </w:tcPr>
          <w:p w14:paraId="27C428F6">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66</w:t>
            </w:r>
          </w:p>
        </w:tc>
        <w:tc>
          <w:tcPr>
            <w:tcW w:w="555" w:type="pct"/>
            <w:vAlign w:val="center"/>
          </w:tcPr>
          <w:p w14:paraId="3DDBA7E3">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64</w:t>
            </w:r>
          </w:p>
        </w:tc>
        <w:tc>
          <w:tcPr>
            <w:tcW w:w="661" w:type="pct"/>
            <w:vAlign w:val="center"/>
          </w:tcPr>
          <w:p w14:paraId="429434C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60</w:t>
            </w:r>
          </w:p>
        </w:tc>
      </w:tr>
      <w:tr w14:paraId="4D49E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Align w:val="center"/>
          </w:tcPr>
          <w:p w14:paraId="48E80B3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重型运输车</w:t>
            </w:r>
          </w:p>
        </w:tc>
        <w:tc>
          <w:tcPr>
            <w:tcW w:w="683" w:type="pct"/>
            <w:vAlign w:val="center"/>
          </w:tcPr>
          <w:p w14:paraId="708CD6A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84</w:t>
            </w:r>
          </w:p>
        </w:tc>
        <w:tc>
          <w:tcPr>
            <w:tcW w:w="576" w:type="pct"/>
            <w:vAlign w:val="center"/>
          </w:tcPr>
          <w:p w14:paraId="4E934BDE">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70</w:t>
            </w:r>
          </w:p>
        </w:tc>
        <w:tc>
          <w:tcPr>
            <w:tcW w:w="597" w:type="pct"/>
            <w:vAlign w:val="center"/>
          </w:tcPr>
          <w:p w14:paraId="5E3D19F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64</w:t>
            </w:r>
          </w:p>
        </w:tc>
        <w:tc>
          <w:tcPr>
            <w:tcW w:w="625" w:type="pct"/>
            <w:vAlign w:val="center"/>
          </w:tcPr>
          <w:p w14:paraId="22BB738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60</w:t>
            </w:r>
          </w:p>
        </w:tc>
        <w:tc>
          <w:tcPr>
            <w:tcW w:w="555" w:type="pct"/>
            <w:vAlign w:val="center"/>
          </w:tcPr>
          <w:p w14:paraId="312C2E3C">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58</w:t>
            </w:r>
          </w:p>
        </w:tc>
        <w:tc>
          <w:tcPr>
            <w:tcW w:w="661" w:type="pct"/>
            <w:vAlign w:val="center"/>
          </w:tcPr>
          <w:p w14:paraId="03DD6794">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54</w:t>
            </w:r>
          </w:p>
        </w:tc>
      </w:tr>
      <w:tr w14:paraId="589F0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99" w:type="pct"/>
            <w:vAlign w:val="center"/>
          </w:tcPr>
          <w:p w14:paraId="322FDFB8">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定向钻</w:t>
            </w:r>
          </w:p>
        </w:tc>
        <w:tc>
          <w:tcPr>
            <w:tcW w:w="683" w:type="pct"/>
            <w:vAlign w:val="center"/>
          </w:tcPr>
          <w:p w14:paraId="317AA940">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100</w:t>
            </w:r>
          </w:p>
        </w:tc>
        <w:tc>
          <w:tcPr>
            <w:tcW w:w="576" w:type="pct"/>
            <w:vAlign w:val="center"/>
          </w:tcPr>
          <w:p w14:paraId="4AC7F6BF">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96</w:t>
            </w:r>
          </w:p>
        </w:tc>
        <w:tc>
          <w:tcPr>
            <w:tcW w:w="597" w:type="pct"/>
            <w:vAlign w:val="center"/>
          </w:tcPr>
          <w:p w14:paraId="5FFF652D">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90</w:t>
            </w:r>
          </w:p>
        </w:tc>
        <w:tc>
          <w:tcPr>
            <w:tcW w:w="625" w:type="pct"/>
            <w:vAlign w:val="center"/>
          </w:tcPr>
          <w:p w14:paraId="38BE9511">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86</w:t>
            </w:r>
          </w:p>
        </w:tc>
        <w:tc>
          <w:tcPr>
            <w:tcW w:w="555" w:type="pct"/>
            <w:vAlign w:val="center"/>
          </w:tcPr>
          <w:p w14:paraId="23987685">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84</w:t>
            </w:r>
          </w:p>
        </w:tc>
        <w:tc>
          <w:tcPr>
            <w:tcW w:w="661" w:type="pct"/>
            <w:vAlign w:val="center"/>
          </w:tcPr>
          <w:p w14:paraId="3640D4CE">
            <w:pPr>
              <w:keepNext w:val="0"/>
              <w:keepLines w:val="0"/>
              <w:pageBreakBefore w:val="0"/>
              <w:widowControl w:val="0"/>
              <w:kinsoku/>
              <w:wordWrap/>
              <w:topLinePunct w:val="0"/>
              <w:bidi w:val="0"/>
              <w:adjustRightInd w:val="0"/>
              <w:snapToGrid w:val="0"/>
              <w:spacing w:after="0" w:line="240" w:lineRule="auto"/>
              <w:ind w:firstLine="0" w:firstLineChars="0"/>
              <w:jc w:val="center"/>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t>80</w:t>
            </w:r>
          </w:p>
        </w:tc>
      </w:tr>
    </w:tbl>
    <w:p w14:paraId="5EC71DEE">
      <w:pPr>
        <w:pStyle w:val="36"/>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根据现场调查，本次施工</w:t>
      </w:r>
      <w:r>
        <w:rPr>
          <w:rFonts w:hint="eastAsia" w:cs="Times New Roman"/>
          <w:color w:val="000000" w:themeColor="text1"/>
          <w:sz w:val="24"/>
          <w:szCs w:val="24"/>
          <w:highlight w:val="none"/>
          <w:lang w:val="en-US" w:eastAsia="zh-CN"/>
          <w14:textFill>
            <w14:solidFill>
              <w14:schemeClr w14:val="tx1"/>
            </w14:solidFill>
          </w14:textFill>
        </w:rPr>
        <w:t>管道芳3转油站外输油管线南侧85m处为盛广和屯</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，芳3转油站外输油管线南侧</w:t>
      </w:r>
      <w:r>
        <w:rPr>
          <w:rFonts w:hint="eastAsia" w:cs="Times New Roman"/>
          <w:color w:val="000000" w:themeColor="text1"/>
          <w:sz w:val="24"/>
          <w:szCs w:val="24"/>
          <w:highlight w:val="none"/>
          <w:lang w:val="en-US" w:eastAsia="zh-CN"/>
          <w14:textFill>
            <w14:solidFill>
              <w14:schemeClr w14:val="tx1"/>
            </w14:solidFill>
          </w14:textFill>
        </w:rPr>
        <w:t>120m处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为宋芳屯居住区，芳3转油站外输油管线东侧</w:t>
      </w:r>
      <w:r>
        <w:rPr>
          <w:rFonts w:hint="eastAsia" w:cs="Times New Roman"/>
          <w:color w:val="000000" w:themeColor="text1"/>
          <w:sz w:val="24"/>
          <w:szCs w:val="24"/>
          <w:highlight w:val="none"/>
          <w:lang w:val="en-US" w:eastAsia="zh-CN"/>
          <w14:textFill>
            <w14:solidFill>
              <w14:schemeClr w14:val="tx1"/>
            </w14:solidFill>
          </w14:textFill>
        </w:rPr>
        <w:t>195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lang w:val="en-US" w:eastAsia="zh-CN"/>
          <w14:textFill>
            <w14:solidFill>
              <w14:schemeClr w14:val="tx1"/>
            </w14:solidFill>
          </w14:textFill>
        </w:rPr>
        <w:t>处为散户1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。为降低敏感点处施工噪声的影响，提出如下防治措施：</w:t>
      </w:r>
    </w:p>
    <w:p w14:paraId="403A37FF">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（1）合理安排施工时间，禁止夜间施工。尽量避免大量高噪声设备同时施工；</w:t>
      </w:r>
    </w:p>
    <w:p w14:paraId="1D810D97">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（2）合理布置施工现场。距离敏感目标较近的管道施工时采取人工开挖等方式，降低噪声影响。尽量将高噪声机械布置远离环境敏感点一侧，同时，避免在同一地点安排较多的动力机械；</w:t>
      </w:r>
    </w:p>
    <w:p w14:paraId="5CF9A290">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（3）降低设备噪声。选用低噪声设备；注意对设备的维护和保养，合理操作，保证施工机械保持在最佳状态，降低噪声源及振动源强度；</w:t>
      </w:r>
    </w:p>
    <w:p w14:paraId="6E2995F4">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拉运噪声</w:t>
      </w:r>
    </w:p>
    <w:p w14:paraId="5DDB8739">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施工期管道试压废水等拉运过程中会产生一定的运输噪声，运输过程中车辆噪声会对沿线村屯产生一定影响，根据实际情况，本项目拟采取以下措施：</w:t>
      </w:r>
    </w:p>
    <w:p w14:paraId="3DF19C69">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①为减少运输带来的影响，运输时间为8:00-11:30和13:30-18:00，禁止夜间运输，这样既避开了人流、车流高峰期，也避免了午休、夜间运输对沿途居民生活环境的影响；</w:t>
      </w:r>
    </w:p>
    <w:p w14:paraId="2A285C49">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②规范行车路线，在拉运路线确认后通知当地村民，告知村民具体拉运频次及拉运时间；</w:t>
      </w:r>
    </w:p>
    <w:p w14:paraId="6955DA48">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③为防止噪声污染，经过附近村屯时，应限速行驶，并禁止鸣笛；</w:t>
      </w:r>
    </w:p>
    <w:p w14:paraId="721C64C3">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④按期保养车辆，使保持车辆良好工况，尽可能将运输噪声控制到最低程度。</w:t>
      </w:r>
    </w:p>
    <w:p w14:paraId="456F33EB">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距离敏感目标（</w:t>
      </w:r>
      <w:r>
        <w:rPr>
          <w:rFonts w:hint="eastAsia" w:eastAsia="宋体" w:cs="Times New Roman"/>
          <w:color w:val="000000" w:themeColor="text1"/>
          <w:sz w:val="24"/>
          <w:szCs w:val="24"/>
          <w:highlight w:val="none"/>
          <w:lang w:val="en-US" w:eastAsia="zh-CN"/>
          <w14:textFill>
            <w14:solidFill>
              <w14:schemeClr w14:val="tx1"/>
            </w14:solidFill>
          </w14:textFill>
        </w:rPr>
        <w:t>盛广和屯、宋芳屯居住区、散户1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）100m范围内管段施工时，</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避免在同一地点安排较多的动力机械，同时在朝向村屯的一侧设置移动声屏障，声屏障隔声量在20-30dB（A），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最近敏感点</w:t>
      </w:r>
      <w:r>
        <w:rPr>
          <w:rFonts w:hint="eastAsia" w:eastAsia="宋体" w:cs="Times New Roman"/>
          <w:color w:val="000000" w:themeColor="text1"/>
          <w:sz w:val="24"/>
          <w:szCs w:val="24"/>
          <w:highlight w:val="none"/>
          <w:lang w:val="en-US" w:eastAsia="zh-CN"/>
          <w14:textFill>
            <w14:solidFill>
              <w14:schemeClr w14:val="tx1"/>
            </w14:solidFill>
          </w14:textFill>
        </w:rPr>
        <w:t>盛广和屯</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处经声屏障隔声后噪声贡献值为</w:t>
      </w:r>
      <w:r>
        <w:rPr>
          <w:rFonts w:hint="eastAsia" w:eastAsia="宋体" w:cs="Times New Roman"/>
          <w:color w:val="000000" w:themeColor="text1"/>
          <w:sz w:val="24"/>
          <w:szCs w:val="24"/>
          <w:highlight w:val="none"/>
          <w:lang w:val="en-US" w:eastAsia="zh-CN"/>
          <w14:textFill>
            <w14:solidFill>
              <w14:schemeClr w14:val="tx1"/>
            </w14:solidFill>
          </w14:textFill>
        </w:rPr>
        <w:t>39.78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dB（A），</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叠加背景值（昼间</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53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dB（A））后，</w:t>
      </w:r>
      <w:r>
        <w:rPr>
          <w:rFonts w:hint="eastAsia" w:eastAsia="宋体" w:cs="Times New Roman"/>
          <w:color w:val="000000" w:themeColor="text1"/>
          <w:sz w:val="24"/>
          <w:szCs w:val="24"/>
          <w:highlight w:val="none"/>
          <w:lang w:val="en-US" w:eastAsia="zh-CN"/>
          <w14:textFill>
            <w14:solidFill>
              <w14:schemeClr w14:val="tx1"/>
            </w14:solidFill>
          </w14:textFill>
        </w:rPr>
        <w:t>盛广和屯</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处昼间噪声预测值为</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53.2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dB（A），满足《声环境质量标准》（GB3096-2008）1类标准要求。</w:t>
      </w:r>
    </w:p>
    <w:p w14:paraId="3B8F2EB1">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在采取选用低噪声设备，采用减振、消音、隔声等降噪措施，注意对设备的维护保养适当的降噪措施后，施工期场界噪声满足</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《建筑施工噪声排放标准》（GB12523-2025）</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要求。</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对评价范围内环境保护目标影响较小。</w:t>
      </w:r>
    </w:p>
    <w:p w14:paraId="5DB04E2A">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本项目</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声环境影响评价自查表</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见</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附表</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2。</w:t>
      </w:r>
    </w:p>
    <w:p w14:paraId="29413881">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5.4.2运营期声环境影响预测与评价</w:t>
      </w:r>
    </w:p>
    <w:p w14:paraId="5B1E55A9">
      <w:pPr>
        <w:pStyle w:val="36"/>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snapToGrid/>
          <w:color w:val="000000" w:themeColor="text1"/>
          <w:spacing w:val="-8"/>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本项目运营期不产生噪声</w:t>
      </w:r>
      <w:r>
        <w:rPr>
          <w:rFonts w:hint="default" w:ascii="Times New Roman" w:hAnsi="Times New Roman" w:eastAsia="宋体" w:cs="Times New Roman"/>
          <w:snapToGrid/>
          <w:color w:val="000000" w:themeColor="text1"/>
          <w:spacing w:val="-8"/>
          <w:kern w:val="2"/>
          <w:sz w:val="24"/>
          <w:szCs w:val="24"/>
          <w:highlight w:val="none"/>
          <w:lang w:val="en-US" w:eastAsia="zh-CN" w:bidi="ar-SA"/>
          <w14:textFill>
            <w14:solidFill>
              <w14:schemeClr w14:val="tx1"/>
            </w14:solidFill>
          </w14:textFill>
        </w:rPr>
        <w:t>。</w:t>
      </w:r>
    </w:p>
    <w:p w14:paraId="18B045EE">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5.4.</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3退役期</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声环境影响预测与评价</w:t>
      </w:r>
    </w:p>
    <w:p w14:paraId="31D55BC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本项目退役期为新建管道退役，采取清管后两端封堵直埋的方式，不进行</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开挖，仅清管的过程中会产生一定的噪声，</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噪声对环境的影响是暂时性的，随着施工结束，其影响也随之消失。</w:t>
      </w:r>
    </w:p>
    <w:p w14:paraId="1747E206">
      <w:pPr>
        <w:pStyle w:val="36"/>
        <w:keepNext w:val="0"/>
        <w:keepLines w:val="0"/>
        <w:pageBreakBefore w:val="0"/>
        <w:widowControl w:val="0"/>
        <w:kinsoku/>
        <w:wordWrap/>
        <w:overflowPunct/>
        <w:topLinePunct w:val="0"/>
        <w:autoSpaceDE/>
        <w:autoSpaceDN/>
        <w:bidi w:val="0"/>
        <w:spacing w:after="0" w:line="360" w:lineRule="auto"/>
        <w:ind w:firstLine="464"/>
        <w:textAlignment w:val="auto"/>
        <w:rPr>
          <w:rFonts w:hint="default" w:ascii="Times New Roman" w:hAnsi="Times New Roman" w:cs="Times New Roman"/>
          <w:color w:val="000000" w:themeColor="text1"/>
          <w:spacing w:val="-8"/>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综上所述，声环境影响评价自查表见附表2。</w:t>
      </w:r>
    </w:p>
    <w:p w14:paraId="0C073311">
      <w:pPr>
        <w:keepNext w:val="0"/>
        <w:keepLines w:val="0"/>
        <w:pageBreakBefore w:val="0"/>
        <w:widowControl w:val="0"/>
        <w:kinsoku/>
        <w:wordWrap/>
        <w:overflowPunct/>
        <w:topLinePunct w:val="0"/>
        <w:autoSpaceDE/>
        <w:autoSpaceDN/>
        <w:bidi w:val="0"/>
        <w:spacing w:after="0" w:line="360" w:lineRule="auto"/>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01" w:name="_Toc83703878"/>
      <w:bookmarkStart w:id="102" w:name="_Toc83703769"/>
      <w:bookmarkStart w:id="103" w:name="_Toc470"/>
      <w:bookmarkStart w:id="104" w:name="_Toc83803951"/>
      <w:r>
        <w:rPr>
          <w:rFonts w:hint="default" w:ascii="Times New Roman" w:hAnsi="Times New Roman" w:eastAsia="宋体" w:cs="Times New Roman"/>
          <w:b/>
          <w:color w:val="000000" w:themeColor="text1"/>
          <w:sz w:val="28"/>
          <w:szCs w:val="28"/>
          <w:highlight w:val="none"/>
          <w14:textFill>
            <w14:solidFill>
              <w14:schemeClr w14:val="tx1"/>
            </w14:solidFill>
          </w14:textFill>
        </w:rPr>
        <w:t>5.5固体废物环境影响评价</w:t>
      </w:r>
      <w:bookmarkEnd w:id="101"/>
      <w:bookmarkEnd w:id="102"/>
      <w:bookmarkEnd w:id="103"/>
      <w:bookmarkEnd w:id="104"/>
    </w:p>
    <w:p w14:paraId="35331968">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5.5.1施工期固体废物环境影响分析</w:t>
      </w:r>
    </w:p>
    <w:p w14:paraId="43B7E8D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临时占地剥离表土堆放在置土带内的熟土区域，加盖苫布，待施工结束后，分层回填，开挖土方均原地回填，</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无弃方产生。</w:t>
      </w:r>
    </w:p>
    <w:p w14:paraId="11D68E4E">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施工期固体废物主要为</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管道施工废料</w:t>
      </w:r>
      <w:r>
        <w:rPr>
          <w:rFonts w:hint="eastAsia" w:cs="Times New Roman"/>
          <w:snapToGrid w:val="0"/>
          <w:color w:val="000000" w:themeColor="text1"/>
          <w:sz w:val="24"/>
          <w:szCs w:val="24"/>
          <w:highlight w:val="none"/>
          <w:lang w:val="en-US" w:eastAsia="zh-CN" w:bidi="ar-SA"/>
          <w14:textFill>
            <w14:solidFill>
              <w14:schemeClr w14:val="tx1"/>
            </w14:solidFill>
          </w14:textFill>
        </w:rPr>
        <w:t>、穿越工程废弃泥浆、废旧设备和</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施工人员生活垃圾。</w:t>
      </w:r>
    </w:p>
    <w:p w14:paraId="16BA2F3C">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（1）管道施工废料</w:t>
      </w:r>
    </w:p>
    <w:p w14:paraId="1E8E4508">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管道施工废料为焊接施工中产生废焊条，对照《固体废物分类与代码目录》（生态环境部2024年第4号），废物代码为900-099-S59其他工业生产过程中产生的固体废物。</w:t>
      </w:r>
    </w:p>
    <w:p w14:paraId="7B8DA968">
      <w:pPr>
        <w:pStyle w:val="34"/>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管道施工废料为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highlight w:val="none"/>
          <w:lang w:val="en-US" w:eastAsia="zh-CN"/>
          <w14:textFill>
            <w14:solidFill>
              <w14:schemeClr w14:val="tx1"/>
            </w14:solidFill>
          </w14:textFill>
        </w:rPr>
        <w:t>焊接产生的废焊条和废防腐材料等，产生量为</w:t>
      </w:r>
      <w:r>
        <w:rPr>
          <w:rFonts w:hint="eastAsia" w:cs="Times New Roman"/>
          <w:color w:val="000000" w:themeColor="text1"/>
          <w:highlight w:val="none"/>
          <w:lang w:val="en-US" w:eastAsia="zh-CN"/>
          <w14:textFill>
            <w14:solidFill>
              <w14:schemeClr w14:val="tx1"/>
            </w14:solidFill>
          </w14:textFill>
        </w:rPr>
        <w:t>1t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，属于一般工业固废，拉运至</w:t>
      </w:r>
      <w:r>
        <w:rPr>
          <w:rFonts w:hint="eastAsia" w:cs="Times New Roman"/>
          <w:color w:val="000000" w:themeColor="text1"/>
          <w:highlight w:val="none"/>
          <w:lang w:val="en-US" w:eastAsia="zh-CN"/>
          <w14:textFill>
            <w14:solidFill>
              <w14:schemeClr w14:val="tx1"/>
            </w14:solidFill>
          </w14:textFill>
        </w:rPr>
        <w:t>第八采油厂</w:t>
      </w:r>
      <w:r>
        <w:rPr>
          <w:rFonts w:hint="default" w:ascii="Times New Roman" w:hAnsi="Times New Roman" w:eastAsia="宋体" w:cs="Times New Roman"/>
          <w:color w:val="000000" w:themeColor="text1"/>
          <w:highlight w:val="none"/>
          <w:lang w:val="en-US" w:eastAsia="zh-CN"/>
          <w14:textFill>
            <w14:solidFill>
              <w14:schemeClr w14:val="tx1"/>
            </w14:solidFill>
          </w14:textFill>
        </w:rPr>
        <w:t>工业固废填埋场填埋</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7839836B">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第八采油厂</w:t>
      </w:r>
      <w:r>
        <w:rPr>
          <w:rFonts w:hint="default" w:ascii="Times New Roman" w:hAnsi="Times New Roman" w:cs="Times New Roman"/>
          <w:color w:val="000000" w:themeColor="text1"/>
          <w:highlight w:val="none"/>
          <w14:textFill>
            <w14:solidFill>
              <w14:schemeClr w14:val="tx1"/>
            </w14:solidFill>
          </w14:textFill>
        </w:rPr>
        <w:t>工业固废填埋场运行稳定，设计总容量为14000m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，目前填埋总量约为8495m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，剩余填埋量约为5505m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。设计平均每年垃圾填埋处理量为581.2m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/a，约合700t/a。本项目施工期</w:t>
      </w:r>
      <w:r>
        <w:rPr>
          <w:rFonts w:hint="default" w:ascii="Times New Roman" w:hAnsi="Times New Roman" w:cs="Times New Roman"/>
          <w:color w:val="000000" w:themeColor="text1"/>
          <w:highlight w:val="none"/>
          <w:lang w:val="en-US" w:eastAsia="zh-CN"/>
          <w14:textFill>
            <w14:solidFill>
              <w14:schemeClr w14:val="tx1"/>
            </w14:solidFill>
          </w14:textFill>
        </w:rPr>
        <w:t>管道施工废料产生量</w:t>
      </w:r>
      <w:r>
        <w:rPr>
          <w:rFonts w:hint="eastAsia" w:cs="Times New Roman"/>
          <w:color w:val="000000" w:themeColor="text1"/>
          <w:highlight w:val="none"/>
          <w:lang w:val="en-US" w:eastAsia="zh-CN"/>
          <w14:textFill>
            <w14:solidFill>
              <w14:schemeClr w14:val="tx1"/>
            </w14:solidFill>
          </w14:textFill>
        </w:rPr>
        <w:t>1t</w:t>
      </w:r>
      <w:r>
        <w:rPr>
          <w:rFonts w:hint="default" w:ascii="Times New Roman" w:hAnsi="Times New Roman" w:cs="Times New Roman"/>
          <w:color w:val="000000" w:themeColor="text1"/>
          <w:highlight w:val="none"/>
          <w14:textFill>
            <w14:solidFill>
              <w14:schemeClr w14:val="tx1"/>
            </w14:solidFill>
          </w14:textFill>
        </w:rPr>
        <w:t>，远低于固体废物填埋场每年700t/a的年处理量，</w:t>
      </w:r>
      <w:r>
        <w:rPr>
          <w:rFonts w:hint="eastAsia" w:cs="Times New Roman"/>
          <w:color w:val="000000" w:themeColor="text1"/>
          <w:highlight w:val="none"/>
          <w:lang w:eastAsia="zh-CN"/>
          <w14:textFill>
            <w14:solidFill>
              <w14:schemeClr w14:val="tx1"/>
            </w14:solidFill>
          </w14:textFill>
        </w:rPr>
        <w:t>第八采油厂</w:t>
      </w:r>
      <w:r>
        <w:rPr>
          <w:rFonts w:hint="default" w:ascii="Times New Roman" w:hAnsi="Times New Roman" w:cs="Times New Roman"/>
          <w:color w:val="000000" w:themeColor="text1"/>
          <w:highlight w:val="none"/>
          <w14:textFill>
            <w14:solidFill>
              <w14:schemeClr w14:val="tx1"/>
            </w14:solidFill>
          </w14:textFill>
        </w:rPr>
        <w:t>工业固体废物填埋场依托可行。</w:t>
      </w:r>
    </w:p>
    <w:p w14:paraId="6B4EBD65">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（2）穿越工程产生的废弃泥浆</w:t>
      </w:r>
    </w:p>
    <w:p w14:paraId="28DE9D2E">
      <w:pPr>
        <w:keepNext w:val="0"/>
        <w:keepLines w:val="0"/>
        <w:pageBreakBefore w:val="0"/>
        <w:widowControl w:val="0"/>
        <w:numPr>
          <w:ilvl w:val="0"/>
          <w:numId w:val="0"/>
        </w:numPr>
        <w:kinsoku/>
        <w:wordWrap/>
        <w:topLinePunct w:val="0"/>
        <w:bidi w:val="0"/>
        <w:adjustRightInd/>
        <w:snapToGrid/>
        <w:spacing w:after="0" w:line="360" w:lineRule="auto"/>
        <w:ind w:leftChars="200"/>
        <w:jc w:val="both"/>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本项目施工期管道定向钻施工会产生穿越工程废弃泥浆。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定向钻施工中泥浆起护壁、润滑、冷却和冲洗钻头、清扫土屑、传递动力等作用，</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一般主要为膨润土和清水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少量的添加剂</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羧甲基纤维素钠CMC</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等，无毒及无有害成分。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防渗泥浆池铺设场地铺设1.5mm厚高密度聚乙烯膜构筑防渗层，由于定向钻产生的废弃泥浆，成分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一般主要为膨润土和清水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少量的添加剂</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羧甲基纤维素钠CMC</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等，无毒及无有害成分。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因此施工结束后，高密度聚乙烯膜回收循环使用。</w:t>
      </w: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根据设计方案，本项目管线定向钻穿越公路、沟渠长度在10—120m之间，穿越共计17次，本项目管道每处定向钻施工时产生废弃泥浆约</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，则穿越工程产生的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废弃泥浆68m</w:t>
      </w:r>
      <w:r>
        <w:rPr>
          <w:rFonts w:hint="default" w:ascii="Times New Roman" w:hAnsi="Times New Roman" w:eastAsia="宋体" w:cs="Times New Roman"/>
          <w:b w:val="0"/>
          <w:bCs w:val="0"/>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对照《固体废物分类与代码目录》（生态环境部2024年第4号），废物代码为900-0</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01</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-S</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71工程泥浆</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经防渗泥浆池沉降后，上清液回收洒水降尘、固体部分用于井排路护坡。（3）废旧设备 </w:t>
      </w:r>
    </w:p>
    <w:p w14:paraId="62EF30D3">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施工期升一联转油放水站更换阴极保护装置1套。拆除的废旧设备送至第八采油厂资产库回收。</w:t>
      </w:r>
    </w:p>
    <w:p w14:paraId="0EA17D99">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生活垃圾</w:t>
      </w:r>
    </w:p>
    <w:p w14:paraId="22B9ED19">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施工人员生活垃圾共计</w:t>
      </w:r>
      <w:r>
        <w:rPr>
          <w:rFonts w:hint="eastAsia" w:cs="Times New Roman"/>
          <w:snapToGrid w:val="0"/>
          <w:color w:val="000000" w:themeColor="text1"/>
          <w:kern w:val="2"/>
          <w:sz w:val="24"/>
          <w:szCs w:val="24"/>
          <w:highlight w:val="none"/>
          <w:lang w:val="en-US" w:eastAsia="zh-CN" w:bidi="ar-SA"/>
          <w14:textFill>
            <w14:solidFill>
              <w14:schemeClr w14:val="tx1"/>
            </w14:solidFill>
          </w14:textFill>
        </w:rPr>
        <w:t>0.5</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对照</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《固体废物分类与代码目录》（生态环境部2024年第4号），废物代码为900-099-S64，</w:t>
      </w:r>
      <w:r>
        <w:rPr>
          <w:rFonts w:hint="default" w:ascii="Times New Roman" w:hAnsi="Times New Roman" w:eastAsia="宋体" w:cs="Times New Roman"/>
          <w:color w:val="000000" w:themeColor="text1"/>
          <w:sz w:val="24"/>
          <w:szCs w:val="24"/>
          <w:highlight w:val="none"/>
          <w14:textFill>
            <w14:solidFill>
              <w14:schemeClr w14:val="tx1"/>
            </w14:solidFill>
          </w14:textFill>
        </w:rPr>
        <w:t>统一收集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拉运到大庆城控电力有限公司焚烧处理。</w:t>
      </w:r>
    </w:p>
    <w:p w14:paraId="4AB27A8B">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5.5.2运营期固体废物环境影响分析</w:t>
      </w:r>
    </w:p>
    <w:p w14:paraId="4B5E022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本项目运营期无固体废物产生。</w:t>
      </w:r>
    </w:p>
    <w:p w14:paraId="676101F3">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5.5.</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3退役期固体废物环境影响分析</w:t>
      </w:r>
    </w:p>
    <w:p w14:paraId="71B335C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新建的</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集油管道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废弃，对集输</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内残留物进行推送至站场，清管废水推送至罐车，清水清管后采取两端封堵直埋，不挖出。</w:t>
      </w:r>
    </w:p>
    <w:p w14:paraId="35B2687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退役期生活垃圾统一收集，拉运至大庆城控电力有限公司焚烧处理。</w:t>
      </w:r>
    </w:p>
    <w:p w14:paraId="33E60F1E">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5.5.</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固体废物环境影响分析结论</w:t>
      </w:r>
    </w:p>
    <w:p w14:paraId="460386A1">
      <w:pPr>
        <w:keepNext w:val="0"/>
        <w:keepLines w:val="0"/>
        <w:pageBreakBefore w:val="0"/>
        <w:widowControl w:val="0"/>
        <w:kinsoku/>
        <w:wordWrap/>
        <w:overflowPunct/>
        <w:topLinePunct w:val="0"/>
        <w:autoSpaceDE/>
        <w:autoSpaceDN/>
        <w:bidi w:val="0"/>
        <w:spacing w:after="0" w:line="360" w:lineRule="auto"/>
        <w:ind w:firstLine="480" w:firstLineChars="200"/>
        <w:textAlignment w:val="auto"/>
        <w:outlineLvl w:val="9"/>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本工程产生的固体废弃物按照相关处置要求进行，处置方式可行，对周围环境和人体健康不会造成危险，对周围环境基本无影响。</w:t>
      </w:r>
    </w:p>
    <w:p w14:paraId="6846AA31">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bCs w:val="0"/>
          <w:color w:val="000000" w:themeColor="text1"/>
          <w:sz w:val="28"/>
          <w:szCs w:val="28"/>
          <w:highlight w:val="none"/>
          <w14:textFill>
            <w14:solidFill>
              <w14:schemeClr w14:val="tx1"/>
            </w14:solidFill>
          </w14:textFill>
        </w:rPr>
      </w:pPr>
      <w:bookmarkStart w:id="105" w:name="_Toc83703879"/>
      <w:bookmarkStart w:id="106" w:name="_Toc83803952"/>
      <w:bookmarkStart w:id="107" w:name="_Toc19655"/>
      <w:bookmarkStart w:id="108" w:name="_Toc83703770"/>
      <w:r>
        <w:rPr>
          <w:rFonts w:hint="default" w:ascii="Times New Roman" w:hAnsi="Times New Roman" w:eastAsia="宋体" w:cs="Times New Roman"/>
          <w:b/>
          <w:bCs w:val="0"/>
          <w:color w:val="000000" w:themeColor="text1"/>
          <w:sz w:val="28"/>
          <w:szCs w:val="28"/>
          <w:highlight w:val="none"/>
          <w14:textFill>
            <w14:solidFill>
              <w14:schemeClr w14:val="tx1"/>
            </w14:solidFill>
          </w14:textFill>
        </w:rPr>
        <w:t>5.6土壤环境影响预测与评价</w:t>
      </w:r>
      <w:bookmarkEnd w:id="105"/>
      <w:bookmarkEnd w:id="106"/>
      <w:bookmarkEnd w:id="107"/>
      <w:bookmarkEnd w:id="108"/>
    </w:p>
    <w:p w14:paraId="6E3AFA9C">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bCs w:val="0"/>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8"/>
          <w:szCs w:val="28"/>
          <w:highlight w:val="none"/>
          <w:lang w:eastAsia="zh-CN"/>
          <w14:textFill>
            <w14:solidFill>
              <w14:schemeClr w14:val="tx1"/>
            </w14:solidFill>
          </w14:textFill>
        </w:rPr>
        <w:t>5.6.1施工期对土壤环境生态影响分析</w:t>
      </w:r>
    </w:p>
    <w:p w14:paraId="3EAF9C0E">
      <w:pPr>
        <w:pStyle w:val="36"/>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施工期包括管道建设</w:t>
      </w:r>
      <w:r>
        <w:rPr>
          <w:rFonts w:hint="default" w:ascii="Times New Roman" w:hAnsi="Times New Roman" w:cs="Times New Roman"/>
          <w:color w:val="000000" w:themeColor="text1"/>
          <w:highlight w:val="none"/>
          <w14:textFill>
            <w14:solidFill>
              <w14:schemeClr w14:val="tx1"/>
            </w14:solidFill>
          </w14:textFill>
        </w:rPr>
        <w:t>对土地的占用以及对地表环境的影响</w:t>
      </w:r>
      <w:r>
        <w:rPr>
          <w:rFonts w:hint="default" w:ascii="Times New Roman" w:hAnsi="Times New Roman" w:cs="Times New Roman"/>
          <w:color w:val="000000" w:themeColor="text1"/>
          <w:highlight w:val="none"/>
          <w:lang w:eastAsia="zh-CN"/>
          <w14:textFill>
            <w14:solidFill>
              <w14:schemeClr w14:val="tx1"/>
            </w14:solidFill>
          </w14:textFill>
        </w:rPr>
        <w:t>。</w:t>
      </w:r>
    </w:p>
    <w:p w14:paraId="2B7B762D">
      <w:pPr>
        <w:pStyle w:val="36"/>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施工期临时占地对土壤影响</w:t>
      </w:r>
    </w:p>
    <w:p w14:paraId="350196E3">
      <w:pPr>
        <w:pStyle w:val="36"/>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本项目临时占地主要是各类</w:t>
      </w:r>
      <w:r>
        <w:rPr>
          <w:rFonts w:hint="eastAsia"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工程占地，占地类型为</w:t>
      </w:r>
      <w:r>
        <w:rPr>
          <w:rFonts w:hint="eastAsia" w:cs="Times New Roman"/>
          <w:color w:val="000000" w:themeColor="text1"/>
          <w:highlight w:val="none"/>
          <w:lang w:val="en-US" w:eastAsia="zh-CN"/>
          <w14:textFill>
            <w14:solidFill>
              <w14:schemeClr w14:val="tx1"/>
            </w14:solidFill>
          </w14:textFill>
        </w:rPr>
        <w:t>耕地（基本农田）、</w:t>
      </w:r>
      <w:r>
        <w:rPr>
          <w:rFonts w:hint="default" w:ascii="Times New Roman" w:hAnsi="Times New Roman" w:cs="Times New Roman"/>
          <w:color w:val="000000" w:themeColor="text1"/>
          <w:highlight w:val="none"/>
          <w:lang w:val="en-US" w:eastAsia="zh-CN"/>
          <w14:textFill>
            <w14:solidFill>
              <w14:schemeClr w14:val="tx1"/>
            </w14:solidFill>
          </w14:textFill>
        </w:rPr>
        <w:t>草地</w:t>
      </w:r>
      <w:r>
        <w:rPr>
          <w:rFonts w:hint="eastAsia" w:cs="Times New Roman"/>
          <w:color w:val="000000" w:themeColor="text1"/>
          <w:highlight w:val="none"/>
          <w:lang w:val="en-US" w:eastAsia="zh-CN"/>
          <w14:textFill>
            <w14:solidFill>
              <w14:schemeClr w14:val="tx1"/>
            </w14:solidFill>
          </w14:textFill>
        </w:rPr>
        <w:t>（非基本草原）、林地</w:t>
      </w:r>
      <w:r>
        <w:rPr>
          <w:rFonts w:hint="default" w:ascii="Times New Roman" w:hAnsi="Times New Roman" w:cs="Times New Roman"/>
          <w:color w:val="000000" w:themeColor="text1"/>
          <w:highlight w:val="none"/>
          <w14:textFill>
            <w14:solidFill>
              <w14:schemeClr w14:val="tx1"/>
            </w14:solidFill>
          </w14:textFill>
        </w:rPr>
        <w:t>，合计临时占地</w:t>
      </w:r>
      <w:r>
        <w:rPr>
          <w:rFonts w:hint="eastAsia" w:cs="Times New Roman"/>
          <w:color w:val="000000" w:themeColor="text1"/>
          <w:highlight w:val="none"/>
          <w:lang w:val="en-US" w:eastAsia="zh-CN"/>
          <w14:textFill>
            <w14:solidFill>
              <w14:schemeClr w14:val="tx1"/>
            </w14:solidFill>
          </w14:textFill>
        </w:rPr>
        <w:t>24.78hm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大型、重型机械设备的碾压，施工人员的践踏、材料堆放等都会破坏地表植被，使土壤紧实度增高，加上道路修建时翻动土体，都会造成局部大片裸地出现，容易引起土壤风蚀和水土流失，特别是风蚀，对土壤环境的影响表现在：</w:t>
      </w:r>
    </w:p>
    <w:p w14:paraId="44B4060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①破坏土壤结构</w:t>
      </w:r>
    </w:p>
    <w:p w14:paraId="265E80A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土壤结构的形成需要漫长的时间，管道在开挖和填埋时，必将破坏土壤结构，干扰了团粒结构的自然形成过程。作为土壤质量重要指标的团粒结构一旦遭到破坏，需要经过较长的时间才能恢复。</w:t>
      </w:r>
    </w:p>
    <w:p w14:paraId="16D18F6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②混合土壤层次，改变土壤质地</w:t>
      </w:r>
    </w:p>
    <w:p w14:paraId="4828159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土壤表层质地与底层的质地截然不同，管道的开挖与回填，会混合原有的土壤层次，降低土壤的蓄水保肥能力，易受风蚀，影响土壤的发育、植被的恢复。</w:t>
      </w:r>
    </w:p>
    <w:p w14:paraId="0D82953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③土壤养分流失</w:t>
      </w:r>
    </w:p>
    <w:p w14:paraId="30DC891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土壤剖面中各个土层中，就养分状况而言，表土层（腐殖质层、耕作层）远较心土层好，其有机质、全氮、全磷均较其他层次高。施工作业对原有的土体构型产生扰动，使土壤性质发生变化，土壤养分流失，从而影响植物的生长。</w:t>
      </w:r>
    </w:p>
    <w:p w14:paraId="4EF65B9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国内外有关资料，即使在实行分层堆放、分层覆土的措施下，土壤的有机质还将下降30%～40%，土壤养分下降30%～50%，其中全氮下降43%左右，磷素下降40%，钾素下降43%。若不实行分层堆放和分层覆土，土壤养分流失量更大。</w:t>
      </w:r>
    </w:p>
    <w:p w14:paraId="5EA453A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土壤侵蚀</w:t>
      </w:r>
    </w:p>
    <w:p w14:paraId="16EF05A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管道建设过程中将开挖管沟，管沟上方的地表植被被完全破坏，新增一定量的土壤侵蚀，挖出的表层土和下层土临时就近分别堆放，如果防护措施不当也会引起水土流失。开挖管沟对土体的扰动将使土壤的结构、组成及理化性质等发生变化，进而影响土壤的侵蚀状况。同时管道施工过程中施工机械的碾压和人员的践踏会破坏管沟两侧施工范围内自然植被和扰动原来相对稳定的地表，使土壤变得疏松，产生一定面积的裸露地面，造成新增土壤侵蚀。管道建设施工结束后，管沟回填先填下层土再填表土，同时对施工迹地地表植被进行恢复，可有效减轻管道建设过程中对土壤环境的影响。</w:t>
      </w:r>
    </w:p>
    <w:p w14:paraId="6BE31A37">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5.6.2</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运营期</w:t>
      </w:r>
      <w:r>
        <w:rPr>
          <w:rFonts w:hint="default" w:ascii="Times New Roman" w:hAnsi="Times New Roman" w:eastAsia="宋体" w:cs="Times New Roman"/>
          <w:b/>
          <w:color w:val="000000" w:themeColor="text1"/>
          <w:sz w:val="28"/>
          <w:szCs w:val="28"/>
          <w:highlight w:val="none"/>
          <w14:textFill>
            <w14:solidFill>
              <w14:schemeClr w14:val="tx1"/>
            </w14:solidFill>
          </w14:textFill>
        </w:rPr>
        <w:t>对土壤环境影响</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评价</w:t>
      </w:r>
    </w:p>
    <w:p w14:paraId="67C6575D">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5.6.2.1土壤污染途径</w:t>
      </w:r>
    </w:p>
    <w:p w14:paraId="4B4B473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8"/>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8"/>
          <w:highlight w:val="none"/>
          <w14:textFill>
            <w14:solidFill>
              <w14:schemeClr w14:val="tx1"/>
            </w14:solidFill>
          </w14:textFill>
        </w:rPr>
        <w:t>油田生产过程中对土壤环境的影响主要为事故状态下</w:t>
      </w:r>
      <w:r>
        <w:rPr>
          <w:rFonts w:hint="eastAsia" w:ascii="Times New Roman" w:hAnsi="Times New Roman" w:eastAsia="宋体" w:cs="Times New Roman"/>
          <w:snapToGrid w:val="0"/>
          <w:color w:val="000000" w:themeColor="text1"/>
          <w:kern w:val="0"/>
          <w:sz w:val="24"/>
          <w:szCs w:val="28"/>
          <w:highlight w:val="none"/>
          <w:lang w:eastAsia="zh-CN"/>
          <w14:textFill>
            <w14:solidFill>
              <w14:schemeClr w14:val="tx1"/>
            </w14:solidFill>
          </w14:textFill>
        </w:rPr>
        <w:t>管道泄漏</w:t>
      </w:r>
      <w:r>
        <w:rPr>
          <w:rFonts w:hint="default" w:ascii="Times New Roman" w:hAnsi="Times New Roman" w:eastAsia="宋体" w:cs="Times New Roman"/>
          <w:snapToGrid w:val="0"/>
          <w:color w:val="000000" w:themeColor="text1"/>
          <w:kern w:val="0"/>
          <w:sz w:val="24"/>
          <w:szCs w:val="28"/>
          <w:highlight w:val="none"/>
          <w14:textFill>
            <w14:solidFill>
              <w14:schemeClr w14:val="tx1"/>
            </w14:solidFill>
          </w14:textFill>
        </w:rPr>
        <w:t>的原油可能对土壤环境造成破坏，对土壤的化学、生物性质等方面造成影响。</w:t>
      </w:r>
    </w:p>
    <w:p w14:paraId="233C123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5.6.2.2对土壤环境的影响</w:t>
      </w:r>
    </w:p>
    <w:p w14:paraId="02C2F58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本项目</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管材选用内缠胶带硬质聚氨酯泡沫夹克管</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设计壁厚的腐蚀余量大于3mm，管道的外防腐等级采用加强级，管道的连接方式采用焊接，正常状况下，</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不会</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泄漏</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，污油污水对土壤不会造成影响。</w:t>
      </w:r>
    </w:p>
    <w:p w14:paraId="15896B9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8"/>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一旦发生事故，</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破损，污油污水泄漏，会污染土壤</w:t>
      </w:r>
      <w:r>
        <w:rPr>
          <w:rFonts w:hint="default" w:ascii="Times New Roman" w:hAnsi="Times New Roman" w:eastAsia="宋体" w:cs="Times New Roman"/>
          <w:color w:val="000000" w:themeColor="text1"/>
          <w:kern w:val="0"/>
          <w:sz w:val="24"/>
          <w:szCs w:val="28"/>
          <w:highlight w:val="none"/>
          <w14:textFill>
            <w14:solidFill>
              <w14:schemeClr w14:val="tx1"/>
            </w14:solidFill>
          </w14:textFill>
        </w:rPr>
        <w:t>降低土壤透气、透水性，改变土壤微生物种群结构，消耗土壤氮素，使植物生长受阻，体内残留量增加，恶化土壤</w:t>
      </w:r>
      <w:r>
        <w:rPr>
          <w:rFonts w:hint="eastAsia" w:ascii="Times New Roman" w:hAnsi="Times New Roman" w:eastAsia="宋体" w:cs="Times New Roman"/>
          <w:color w:val="000000" w:themeColor="text1"/>
          <w:kern w:val="0"/>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8"/>
          <w:highlight w:val="none"/>
          <w14:textFill>
            <w14:solidFill>
              <w14:schemeClr w14:val="tx1"/>
            </w14:solidFill>
          </w14:textFill>
        </w:rPr>
        <w:t>植物及土壤</w:t>
      </w:r>
      <w:r>
        <w:rPr>
          <w:rFonts w:hint="eastAsia" w:ascii="Times New Roman" w:hAnsi="Times New Roman" w:eastAsia="宋体" w:cs="Times New Roman"/>
          <w:color w:val="000000" w:themeColor="text1"/>
          <w:kern w:val="0"/>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8"/>
          <w:highlight w:val="none"/>
          <w14:textFill>
            <w14:solidFill>
              <w14:schemeClr w14:val="tx1"/>
            </w14:solidFill>
          </w14:textFill>
        </w:rPr>
        <w:t>食物链系统的环境质量</w:t>
      </w:r>
      <w:r>
        <w:rPr>
          <w:rFonts w:hint="default" w:ascii="Times New Roman" w:hAnsi="Times New Roman" w:eastAsia="宋体" w:cs="Times New Roman"/>
          <w:color w:val="000000" w:themeColor="text1"/>
          <w:kern w:val="0"/>
          <w:sz w:val="24"/>
          <w:szCs w:val="28"/>
          <w:highlight w:val="none"/>
          <w:lang w:eastAsia="zh-CN"/>
          <w14:textFill>
            <w14:solidFill>
              <w14:schemeClr w14:val="tx1"/>
            </w14:solidFill>
          </w14:textFill>
        </w:rPr>
        <w:t>。</w:t>
      </w:r>
    </w:p>
    <w:p w14:paraId="1F2C5D4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5.6.2.3土壤环境影响预测与评价</w:t>
      </w:r>
    </w:p>
    <w:p w14:paraId="29B651B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）评价范围</w:t>
      </w:r>
    </w:p>
    <w:p w14:paraId="385B70FF">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新建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输油管道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边界两侧向外延伸0.2km</w:t>
      </w:r>
      <w:r>
        <w:rPr>
          <w:rFonts w:hint="default" w:ascii="Times New Roman" w:hAnsi="Times New Roman" w:eastAsia="宋体" w:cs="Times New Roman"/>
          <w:color w:val="000000" w:themeColor="text1"/>
          <w:kern w:val="0"/>
          <w:sz w:val="24"/>
          <w:szCs w:val="28"/>
          <w:highlight w:val="none"/>
          <w14:textFill>
            <w14:solidFill>
              <w14:schemeClr w14:val="tx1"/>
            </w14:solidFill>
          </w14:textFill>
        </w:rPr>
        <w:t>。</w:t>
      </w:r>
    </w:p>
    <w:p w14:paraId="563696C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（2）评价时段</w:t>
      </w:r>
    </w:p>
    <w:p w14:paraId="4EFDFE0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评价时段为运营期。</w:t>
      </w:r>
    </w:p>
    <w:p w14:paraId="740279F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（3）评价因子</w:t>
      </w:r>
    </w:p>
    <w:p w14:paraId="004F100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pH、</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铬、砷、汞、铅、石油烃（C</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）、铬（六价）、铜、镉、镍</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7058C1B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（4）评价标准</w:t>
      </w:r>
    </w:p>
    <w:p w14:paraId="6815419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14:textFill>
            <w14:solidFill>
              <w14:schemeClr w14:val="tx1"/>
            </w14:solidFill>
          </w14:textFill>
        </w:rPr>
        <w:t>农用地</w:t>
      </w:r>
      <w:r>
        <w:rPr>
          <w:rFonts w:hint="default" w:ascii="Times New Roman" w:hAnsi="Times New Roman" w:eastAsia="宋体" w:cs="Times New Roman"/>
          <w:color w:val="000000" w:themeColor="text1"/>
          <w:kern w:val="0"/>
          <w:sz w:val="24"/>
          <w:szCs w:val="28"/>
          <w:highlight w:val="none"/>
          <w14:textFill>
            <w14:solidFill>
              <w14:schemeClr w14:val="tx1"/>
            </w14:solidFill>
          </w14:textFill>
        </w:rPr>
        <w:t>执行《土壤环境质量农用地土壤污染风险管控标准（试行）》（GB15618-2018）筛选值标准</w:t>
      </w:r>
      <w:r>
        <w:rPr>
          <w:rFonts w:hint="default" w:ascii="Times New Roman" w:hAnsi="Times New Roman" w:eastAsia="宋体" w:cs="Times New Roman"/>
          <w:color w:val="000000" w:themeColor="text1"/>
          <w:kern w:val="0"/>
          <w:sz w:val="24"/>
          <w:szCs w:val="28"/>
          <w:highlight w:val="none"/>
          <w:lang w:eastAsia="zh-CN"/>
          <w14:textFill>
            <w14:solidFill>
              <w14:schemeClr w14:val="tx1"/>
            </w14:solidFill>
          </w14:textFill>
        </w:rPr>
        <w:t>。</w:t>
      </w:r>
    </w:p>
    <w:p w14:paraId="736EA4A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（5）评价方法</w:t>
      </w:r>
    </w:p>
    <w:p w14:paraId="1C701D0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根据《环境影响评价技术导则土壤环境（试行）》（HJ964-2018），本工程采用类比法对土壤环境影响进行评价。选取本工程大庆油田周边区块已投产产能项目验收阶段监测数据达标情况，判定本工程拟建</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8"/>
          <w:highlight w:val="none"/>
          <w14:textFill>
            <w14:solidFill>
              <w14:schemeClr w14:val="tx1"/>
            </w14:solidFill>
          </w14:textFill>
        </w:rPr>
        <w:t>对区域内土壤环境的影响。类比项目基本情况见表5.6-1</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p>
    <w:p w14:paraId="0A895FE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表5.6-1</w:t>
      </w:r>
      <w:r>
        <w:rPr>
          <w:rFonts w:hint="eastAsia"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类比项目基本情况一览表</w:t>
      </w:r>
    </w:p>
    <w:tbl>
      <w:tblPr>
        <w:tblStyle w:val="4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141"/>
        <w:gridCol w:w="690"/>
        <w:gridCol w:w="1500"/>
        <w:gridCol w:w="1755"/>
        <w:gridCol w:w="1935"/>
        <w:gridCol w:w="1840"/>
      </w:tblGrid>
      <w:tr w14:paraId="006FD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0" w:type="auto"/>
            <w:tcBorders>
              <w:tl2br w:val="nil"/>
              <w:tr2bl w:val="nil"/>
            </w:tcBorders>
            <w:vAlign w:val="center"/>
          </w:tcPr>
          <w:p w14:paraId="7533186D">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szCs w:val="21"/>
                <w:highlight w:val="none"/>
                <w:lang w:eastAsia="zh-CN"/>
                <w14:textFill>
                  <w14:solidFill>
                    <w14:schemeClr w14:val="tx1"/>
                  </w14:solidFill>
                </w14:textFill>
              </w:rPr>
              <w:t>序号</w:t>
            </w:r>
          </w:p>
        </w:tc>
        <w:tc>
          <w:tcPr>
            <w:tcW w:w="1141" w:type="dxa"/>
            <w:tcBorders>
              <w:tl2br w:val="nil"/>
              <w:tr2bl w:val="nil"/>
            </w:tcBorders>
            <w:vAlign w:val="center"/>
          </w:tcPr>
          <w:p w14:paraId="04DD4C05">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Times New Roman" w:cs="Times New Roman"/>
                <w:b/>
                <w:color w:val="000000" w:themeColor="text1"/>
                <w:spacing w:val="1"/>
                <w:szCs w:val="21"/>
                <w:highlight w:val="none"/>
                <w14:textFill>
                  <w14:solidFill>
                    <w14:schemeClr w14:val="tx1"/>
                  </w14:solidFill>
                </w14:textFill>
              </w:rPr>
            </w:pPr>
            <w:r>
              <w:rPr>
                <w:rFonts w:hint="default" w:ascii="Times New Roman" w:hAnsi="Times New Roman" w:cs="Times New Roman"/>
                <w:b/>
                <w:color w:val="000000" w:themeColor="text1"/>
                <w:spacing w:val="-1"/>
                <w:szCs w:val="21"/>
                <w:highlight w:val="none"/>
                <w:lang w:eastAsia="zh-CN"/>
                <w14:textFill>
                  <w14:solidFill>
                    <w14:schemeClr w14:val="tx1"/>
                  </w14:solidFill>
                </w14:textFill>
              </w:rPr>
              <w:t>项目</w:t>
            </w:r>
          </w:p>
        </w:tc>
        <w:tc>
          <w:tcPr>
            <w:tcW w:w="690" w:type="dxa"/>
            <w:tcBorders>
              <w:tl2br w:val="nil"/>
              <w:tr2bl w:val="nil"/>
            </w:tcBorders>
            <w:vAlign w:val="center"/>
          </w:tcPr>
          <w:p w14:paraId="0EE06207">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地理位置</w:t>
            </w:r>
          </w:p>
        </w:tc>
        <w:tc>
          <w:tcPr>
            <w:tcW w:w="1500" w:type="dxa"/>
            <w:tcBorders>
              <w:tl2br w:val="nil"/>
              <w:tr2bl w:val="nil"/>
            </w:tcBorders>
            <w:vAlign w:val="center"/>
          </w:tcPr>
          <w:p w14:paraId="2EB7AD4B">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建设</w:t>
            </w:r>
          </w:p>
          <w:p w14:paraId="293442A7">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内容</w:t>
            </w:r>
          </w:p>
        </w:tc>
        <w:tc>
          <w:tcPr>
            <w:tcW w:w="1755" w:type="dxa"/>
            <w:tcBorders>
              <w:tl2br w:val="nil"/>
              <w:tr2bl w:val="nil"/>
            </w:tcBorders>
            <w:vAlign w:val="center"/>
          </w:tcPr>
          <w:p w14:paraId="3F4507DC">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环保手续</w:t>
            </w:r>
          </w:p>
        </w:tc>
        <w:tc>
          <w:tcPr>
            <w:tcW w:w="1935" w:type="dxa"/>
            <w:tcBorders>
              <w:tl2br w:val="nil"/>
              <w:tr2bl w:val="nil"/>
            </w:tcBorders>
            <w:vAlign w:val="center"/>
          </w:tcPr>
          <w:p w14:paraId="5D7EAFCF">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土壤影响</w:t>
            </w:r>
          </w:p>
        </w:tc>
        <w:tc>
          <w:tcPr>
            <w:tcW w:w="1840" w:type="dxa"/>
            <w:tcBorders>
              <w:tl2br w:val="nil"/>
              <w:tr2bl w:val="nil"/>
            </w:tcBorders>
            <w:vAlign w:val="center"/>
          </w:tcPr>
          <w:p w14:paraId="262C8AC7">
            <w:pPr>
              <w:pStyle w:val="3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Cs w:val="21"/>
                <w:highlight w:val="none"/>
                <w:lang w:val="en-US" w:eastAsia="zh-CN"/>
                <w14:textFill>
                  <w14:solidFill>
                    <w14:schemeClr w14:val="tx1"/>
                  </w14:solidFill>
                </w14:textFill>
              </w:rPr>
              <w:t>土壤环保措施落实情况</w:t>
            </w:r>
          </w:p>
        </w:tc>
      </w:tr>
      <w:tr w14:paraId="370C1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14:paraId="1B3F49BF">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w:t>
            </w:r>
          </w:p>
        </w:tc>
        <w:tc>
          <w:tcPr>
            <w:tcW w:w="1141" w:type="dxa"/>
            <w:tcBorders>
              <w:tl2br w:val="nil"/>
              <w:tr2bl w:val="nil"/>
            </w:tcBorders>
            <w:vAlign w:val="center"/>
          </w:tcPr>
          <w:p w14:paraId="3267B01C">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大庆油田有限责任公司第八采油厂宋芳屯油田芳167</w:t>
            </w:r>
            <w: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斜1区块产能建设工程</w:t>
            </w:r>
          </w:p>
        </w:tc>
        <w:tc>
          <w:tcPr>
            <w:tcW w:w="690" w:type="dxa"/>
            <w:tcBorders>
              <w:tl2br w:val="nil"/>
              <w:tr2bl w:val="nil"/>
            </w:tcBorders>
            <w:vAlign w:val="center"/>
          </w:tcPr>
          <w:p w14:paraId="5145E26C">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大庆市大同区</w:t>
            </w:r>
            <w:r>
              <w:rPr>
                <w:rFonts w:hint="eastAsia" w:ascii="Times New Roman" w:hAnsi="Times New Roman" w:cs="Times New Roman"/>
                <w:color w:val="000000" w:themeColor="text1"/>
                <w:highlight w:val="none"/>
                <w:lang w:val="en-US" w:eastAsia="zh-CN"/>
                <w14:textFill>
                  <w14:solidFill>
                    <w14:schemeClr w14:val="tx1"/>
                  </w14:solidFill>
                </w14:textFill>
              </w:rPr>
              <w:t>、绥化市安达市</w:t>
            </w:r>
            <w:r>
              <w:rPr>
                <w:rFonts w:hint="default" w:ascii="Times New Roman" w:hAnsi="Times New Roman" w:cs="Times New Roman"/>
                <w:color w:val="000000" w:themeColor="text1"/>
                <w:highlight w:val="none"/>
                <w:lang w:val="en-US" w:eastAsia="zh-CN"/>
                <w14:textFill>
                  <w14:solidFill>
                    <w14:schemeClr w14:val="tx1"/>
                  </w14:solidFill>
                </w14:textFill>
              </w:rPr>
              <w:t>境内</w:t>
            </w:r>
          </w:p>
        </w:tc>
        <w:tc>
          <w:tcPr>
            <w:tcW w:w="1500" w:type="dxa"/>
            <w:tcBorders>
              <w:tl2br w:val="nil"/>
              <w:tr2bl w:val="nil"/>
            </w:tcBorders>
            <w:vAlign w:val="center"/>
          </w:tcPr>
          <w:p w14:paraId="592AF9A8">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建设油水井59口，配套集输管线和供配电工程。</w:t>
            </w:r>
          </w:p>
        </w:tc>
        <w:tc>
          <w:tcPr>
            <w:tcW w:w="1755" w:type="dxa"/>
            <w:tcBorders>
              <w:tl2br w:val="nil"/>
              <w:tr2bl w:val="nil"/>
            </w:tcBorders>
            <w:vAlign w:val="center"/>
          </w:tcPr>
          <w:p w14:paraId="219FD903">
            <w:pPr>
              <w:pStyle w:val="49"/>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2"/>
                <w:highlight w:val="none"/>
                <w:lang w:val="en-US" w:eastAsia="zh-CN" w:bidi="ar-SA"/>
                <w14:textFill>
                  <w14:solidFill>
                    <w14:schemeClr w14:val="tx1"/>
                  </w14:solidFill>
                </w14:textFill>
              </w:rPr>
              <w:t>2018</w:t>
            </w: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年3月通过了大庆市环保局审批（庆环审〔2018〕77号，并于2020年4月完成企业自主验收</w:t>
            </w:r>
          </w:p>
        </w:tc>
        <w:tc>
          <w:tcPr>
            <w:tcW w:w="1935" w:type="dxa"/>
            <w:tcBorders>
              <w:tl2br w:val="nil"/>
              <w:tr2bl w:val="nil"/>
            </w:tcBorders>
            <w:vAlign w:val="center"/>
          </w:tcPr>
          <w:p w14:paraId="1311C41D">
            <w:pPr>
              <w:pStyle w:val="49"/>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施工临时占地大型、重型机械设备的碾压，施工人员的践踏、材料堆放等都会破坏地表植被，使土壤紧实度增高，对土壤产生影响</w:t>
            </w:r>
            <w:r>
              <w:rPr>
                <w:rFonts w:hint="eastAsia" w:ascii="Times New Roman" w:hAnsi="Times New Roman" w:cs="Times New Roman"/>
                <w:color w:val="000000" w:themeColor="text1"/>
                <w:highlight w:val="none"/>
                <w:lang w:val="en-US" w:eastAsia="zh-CN"/>
                <w14:textFill>
                  <w14:solidFill>
                    <w14:schemeClr w14:val="tx1"/>
                  </w14:solidFill>
                </w14:textFill>
              </w:rPr>
              <w:t>。</w:t>
            </w:r>
          </w:p>
        </w:tc>
        <w:tc>
          <w:tcPr>
            <w:tcW w:w="1840" w:type="dxa"/>
            <w:tcBorders>
              <w:tl2br w:val="nil"/>
              <w:tr2bl w:val="nil"/>
            </w:tcBorders>
            <w:vAlign w:val="center"/>
          </w:tcPr>
          <w:p w14:paraId="47A8F13A">
            <w:pPr>
              <w:pStyle w:val="49"/>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根据项目验收调查报告，项目投产运营至今，区域地表在</w:t>
            </w:r>
            <w:r>
              <w:rPr>
                <w:rFonts w:hint="eastAsia" w:ascii="Times New Roman" w:hAnsi="Times New Roman" w:cs="Times New Roman"/>
                <w:color w:val="000000" w:themeColor="text1"/>
                <w:highlight w:val="none"/>
                <w:lang w:val="en-US" w:eastAsia="zh-CN"/>
                <w14:textFill>
                  <w14:solidFill>
                    <w14:schemeClr w14:val="tx1"/>
                  </w14:solidFill>
                </w14:textFill>
              </w:rPr>
              <w:t>管道</w:t>
            </w:r>
            <w:r>
              <w:rPr>
                <w:rFonts w:hint="default" w:ascii="Times New Roman" w:hAnsi="Times New Roman" w:cs="Times New Roman"/>
                <w:color w:val="000000" w:themeColor="text1"/>
                <w:highlight w:val="none"/>
                <w:lang w:val="en-US" w:eastAsia="zh-CN"/>
                <w14:textFill>
                  <w14:solidFill>
                    <w14:schemeClr w14:val="tx1"/>
                  </w14:solidFill>
                </w14:textFill>
              </w:rPr>
              <w:t>施工阶段产生的临时占地形成的裸地基本已得到了恢复。</w:t>
            </w:r>
          </w:p>
        </w:tc>
      </w:tr>
    </w:tbl>
    <w:p w14:paraId="31C5089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表5.6-1</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内</w:t>
      </w:r>
      <w:r>
        <w:rPr>
          <w:rFonts w:hint="default" w:ascii="Times New Roman" w:hAnsi="Times New Roman" w:eastAsia="宋体" w:cs="Times New Roman"/>
          <w:color w:val="000000" w:themeColor="text1"/>
          <w:sz w:val="24"/>
          <w:szCs w:val="28"/>
          <w:highlight w:val="none"/>
          <w14:textFill>
            <w14:solidFill>
              <w14:schemeClr w14:val="tx1"/>
            </w14:solidFill>
          </w14:textFill>
        </w:rPr>
        <w:t>项目为大庆油田内实施的产能项目，</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建设内容均涉及油田内部管线改造工程等</w:t>
      </w:r>
      <w:r>
        <w:rPr>
          <w:rFonts w:hint="default" w:ascii="Times New Roman" w:hAnsi="Times New Roman" w:eastAsia="宋体" w:cs="Times New Roman"/>
          <w:color w:val="000000" w:themeColor="text1"/>
          <w:sz w:val="24"/>
          <w:szCs w:val="28"/>
          <w:highlight w:val="none"/>
          <w14:textFill>
            <w14:solidFill>
              <w14:schemeClr w14:val="tx1"/>
            </w14:solidFill>
          </w14:textFill>
        </w:rPr>
        <w:t>。</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8"/>
          <w:highlight w:val="none"/>
          <w14:textFill>
            <w14:solidFill>
              <w14:schemeClr w14:val="tx1"/>
            </w14:solidFill>
          </w14:textFill>
        </w:rPr>
        <w:t>建成投产后进行原油开采，</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管线</w:t>
      </w:r>
      <w:r>
        <w:rPr>
          <w:rFonts w:hint="default" w:ascii="Times New Roman" w:hAnsi="Times New Roman" w:eastAsia="宋体" w:cs="Times New Roman"/>
          <w:color w:val="000000" w:themeColor="text1"/>
          <w:sz w:val="24"/>
          <w:szCs w:val="28"/>
          <w:highlight w:val="none"/>
          <w14:textFill>
            <w14:solidFill>
              <w14:schemeClr w14:val="tx1"/>
            </w14:solidFill>
          </w14:textFill>
        </w:rPr>
        <w:t>集输</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为</w:t>
      </w:r>
      <w:r>
        <w:rPr>
          <w:rFonts w:hint="default" w:ascii="Times New Roman" w:hAnsi="Times New Roman" w:eastAsia="宋体" w:cs="Times New Roman"/>
          <w:color w:val="000000" w:themeColor="text1"/>
          <w:sz w:val="24"/>
          <w:szCs w:val="28"/>
          <w:highlight w:val="none"/>
          <w14:textFill>
            <w14:solidFill>
              <w14:schemeClr w14:val="tx1"/>
            </w14:solidFill>
          </w14:textFill>
        </w:rPr>
        <w:t>单管环状</w:t>
      </w:r>
      <w:r>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t>集输工艺</w:t>
      </w:r>
      <w:r>
        <w:rPr>
          <w:rFonts w:hint="default" w:ascii="Times New Roman" w:hAnsi="Times New Roman" w:eastAsia="宋体" w:cs="Times New Roman"/>
          <w:color w:val="000000" w:themeColor="text1"/>
          <w:sz w:val="24"/>
          <w:szCs w:val="28"/>
          <w:highlight w:val="none"/>
          <w14:textFill>
            <w14:solidFill>
              <w14:schemeClr w14:val="tx1"/>
            </w14:solidFill>
          </w14:textFill>
        </w:rPr>
        <w:t>。</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管线施工的</w:t>
      </w:r>
      <w:r>
        <w:rPr>
          <w:rFonts w:hint="default" w:ascii="Times New Roman" w:hAnsi="Times New Roman" w:eastAsia="宋体" w:cs="Times New Roman"/>
          <w:color w:val="000000" w:themeColor="text1"/>
          <w:sz w:val="24"/>
          <w:szCs w:val="28"/>
          <w:highlight w:val="none"/>
          <w14:textFill>
            <w14:solidFill>
              <w14:schemeClr w14:val="tx1"/>
            </w14:solidFill>
          </w14:textFill>
        </w:rPr>
        <w:t>主要产污环节与本工程基本相同。且类比</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8"/>
          <w:highlight w:val="none"/>
          <w14:textFill>
            <w14:solidFill>
              <w14:schemeClr w14:val="tx1"/>
            </w14:solidFill>
          </w14:textFill>
        </w:rPr>
        <w:t>项目均取得相关环保手续，类比的项目与本工程地理位置相近，自然环境与土壤类型均相似，在施工结束进行了地表植被恢复，因此具有类比性</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p>
    <w:p w14:paraId="69E95AF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）评价结果</w:t>
      </w:r>
    </w:p>
    <w:p w14:paraId="4708C8E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根据类比项目验收调查报告，土壤质量监测结果见表</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5.6-2。</w:t>
      </w:r>
    </w:p>
    <w:p w14:paraId="279FB803">
      <w:pPr>
        <w:pStyle w:val="44"/>
        <w:keepNext w:val="0"/>
        <w:keepLines w:val="0"/>
        <w:pageBreakBefore w:val="0"/>
        <w:widowControl w:val="0"/>
        <w:kinsoku/>
        <w:wordWrap/>
        <w:topLinePunct w:val="0"/>
        <w:bidi w:val="0"/>
        <w:ind w:firstLine="482"/>
        <w:jc w:val="center"/>
        <w:rPr>
          <w:rFonts w:hint="default" w:ascii="Times New Roman" w:hAnsi="Times New Roman" w:cs="Times New Roman"/>
          <w:bCs/>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Cs w:val="24"/>
          <w:highlight w:val="none"/>
          <w14:textFill>
            <w14:solidFill>
              <w14:schemeClr w14:val="tx1"/>
            </w14:solidFill>
          </w14:textFill>
        </w:rPr>
        <w:t>表5</w:t>
      </w:r>
      <w:r>
        <w:rPr>
          <w:rFonts w:hint="default" w:ascii="Times New Roman" w:hAnsi="Times New Roman" w:cs="Times New Roman"/>
          <w:bCs/>
          <w:color w:val="000000" w:themeColor="text1"/>
          <w:szCs w:val="24"/>
          <w:highlight w:val="none"/>
          <w:lang w:val="en-US" w:eastAsia="zh-CN"/>
          <w14:textFill>
            <w14:solidFill>
              <w14:schemeClr w14:val="tx1"/>
            </w14:solidFill>
          </w14:textFill>
        </w:rPr>
        <w:t>.6-2</w:t>
      </w:r>
      <w:r>
        <w:rPr>
          <w:rFonts w:hint="eastAsia" w:ascii="Times New Roman" w:hAnsi="Times New Roman" w:cs="Times New Roman"/>
          <w:bCs/>
          <w:color w:val="000000" w:themeColor="text1"/>
          <w:szCs w:val="24"/>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szCs w:val="24"/>
          <w:highlight w:val="none"/>
          <w:lang w:val="en-US" w:eastAsia="zh-CN"/>
          <w14:textFill>
            <w14:solidFill>
              <w14:schemeClr w14:val="tx1"/>
            </w14:solidFill>
          </w14:textFill>
        </w:rPr>
        <w:t>类比项目土壤质量监测结果一览表单位：mg/kg（除pH外）</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3"/>
        <w:gridCol w:w="749"/>
        <w:gridCol w:w="780"/>
        <w:gridCol w:w="630"/>
        <w:gridCol w:w="690"/>
        <w:gridCol w:w="660"/>
        <w:gridCol w:w="765"/>
        <w:gridCol w:w="540"/>
        <w:gridCol w:w="754"/>
        <w:gridCol w:w="661"/>
      </w:tblGrid>
      <w:tr w14:paraId="2647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restart"/>
            <w:noWrap w:val="0"/>
            <w:vAlign w:val="center"/>
          </w:tcPr>
          <w:p w14:paraId="1F612C0F">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监测点</w:t>
            </w:r>
          </w:p>
        </w:tc>
        <w:tc>
          <w:tcPr>
            <w:tcW w:w="3355" w:type="pct"/>
            <w:gridSpan w:val="9"/>
            <w:noWrap w:val="0"/>
            <w:vAlign w:val="center"/>
          </w:tcPr>
          <w:p w14:paraId="39889417">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监测因子</w:t>
            </w:r>
          </w:p>
        </w:tc>
      </w:tr>
      <w:tr w14:paraId="7B9E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continue"/>
            <w:noWrap w:val="0"/>
            <w:vAlign w:val="center"/>
          </w:tcPr>
          <w:p w14:paraId="2AABB47E">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p>
        </w:tc>
        <w:tc>
          <w:tcPr>
            <w:tcW w:w="403" w:type="pct"/>
            <w:noWrap w:val="0"/>
            <w:vAlign w:val="center"/>
          </w:tcPr>
          <w:p w14:paraId="174F0790">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pH</w:t>
            </w:r>
          </w:p>
        </w:tc>
        <w:tc>
          <w:tcPr>
            <w:tcW w:w="420" w:type="pct"/>
            <w:noWrap w:val="0"/>
            <w:vAlign w:val="center"/>
          </w:tcPr>
          <w:p w14:paraId="0F33779C">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石油烃</w:t>
            </w:r>
          </w:p>
        </w:tc>
        <w:tc>
          <w:tcPr>
            <w:tcW w:w="339" w:type="pct"/>
            <w:noWrap w:val="0"/>
            <w:vAlign w:val="center"/>
          </w:tcPr>
          <w:p w14:paraId="5814611A">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Pb</w:t>
            </w:r>
          </w:p>
        </w:tc>
        <w:tc>
          <w:tcPr>
            <w:tcW w:w="371" w:type="pct"/>
            <w:noWrap w:val="0"/>
            <w:vAlign w:val="center"/>
          </w:tcPr>
          <w:p w14:paraId="66B62E0E">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Hg</w:t>
            </w:r>
          </w:p>
        </w:tc>
        <w:tc>
          <w:tcPr>
            <w:tcW w:w="355" w:type="pct"/>
            <w:noWrap w:val="0"/>
            <w:vAlign w:val="center"/>
          </w:tcPr>
          <w:p w14:paraId="6E94FC8A">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Cr</w:t>
            </w:r>
          </w:p>
        </w:tc>
        <w:tc>
          <w:tcPr>
            <w:tcW w:w="412" w:type="pct"/>
            <w:noWrap w:val="0"/>
            <w:vAlign w:val="center"/>
          </w:tcPr>
          <w:p w14:paraId="558A50C9">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As</w:t>
            </w:r>
          </w:p>
        </w:tc>
        <w:tc>
          <w:tcPr>
            <w:tcW w:w="290" w:type="pct"/>
            <w:noWrap w:val="0"/>
            <w:vAlign w:val="center"/>
          </w:tcPr>
          <w:p w14:paraId="3B4756D6">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铜</w:t>
            </w:r>
          </w:p>
        </w:tc>
        <w:tc>
          <w:tcPr>
            <w:tcW w:w="406" w:type="pct"/>
            <w:noWrap w:val="0"/>
            <w:vAlign w:val="center"/>
          </w:tcPr>
          <w:p w14:paraId="273124E2">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镉</w:t>
            </w:r>
          </w:p>
        </w:tc>
        <w:tc>
          <w:tcPr>
            <w:tcW w:w="356" w:type="pct"/>
            <w:noWrap w:val="0"/>
            <w:vAlign w:val="center"/>
          </w:tcPr>
          <w:p w14:paraId="4630F8CF">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镍</w:t>
            </w:r>
          </w:p>
        </w:tc>
      </w:tr>
      <w:tr w14:paraId="147D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7DFCE934">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S1 芳113</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斜139 井场周围草地</w:t>
            </w:r>
          </w:p>
        </w:tc>
        <w:tc>
          <w:tcPr>
            <w:tcW w:w="403" w:type="pct"/>
            <w:noWrap w:val="0"/>
            <w:vAlign w:val="center"/>
          </w:tcPr>
          <w:p w14:paraId="1ED9F46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w:t>
            </w:r>
          </w:p>
        </w:tc>
        <w:tc>
          <w:tcPr>
            <w:tcW w:w="420" w:type="pct"/>
            <w:noWrap w:val="0"/>
            <w:vAlign w:val="center"/>
          </w:tcPr>
          <w:p w14:paraId="345DA8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1B6B6A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3.99</w:t>
            </w:r>
          </w:p>
        </w:tc>
        <w:tc>
          <w:tcPr>
            <w:tcW w:w="371" w:type="pct"/>
            <w:noWrap w:val="0"/>
            <w:vAlign w:val="center"/>
          </w:tcPr>
          <w:p w14:paraId="669246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0.153</w:t>
            </w:r>
          </w:p>
        </w:tc>
        <w:tc>
          <w:tcPr>
            <w:tcW w:w="355" w:type="pct"/>
            <w:noWrap w:val="0"/>
            <w:vAlign w:val="center"/>
          </w:tcPr>
          <w:p w14:paraId="1B9FB7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65.4</w:t>
            </w:r>
          </w:p>
        </w:tc>
        <w:tc>
          <w:tcPr>
            <w:tcW w:w="412" w:type="pct"/>
            <w:noWrap w:val="0"/>
            <w:vAlign w:val="center"/>
          </w:tcPr>
          <w:p w14:paraId="59C557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0.077</w:t>
            </w:r>
          </w:p>
        </w:tc>
        <w:tc>
          <w:tcPr>
            <w:tcW w:w="290" w:type="pct"/>
            <w:noWrap w:val="0"/>
            <w:vAlign w:val="center"/>
          </w:tcPr>
          <w:p w14:paraId="6F94D2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7EBD24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77E64F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0218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52D8504C">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S2 芳101</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斜123 井场周围草地</w:t>
            </w:r>
          </w:p>
        </w:tc>
        <w:tc>
          <w:tcPr>
            <w:tcW w:w="403" w:type="pct"/>
            <w:noWrap w:val="0"/>
            <w:vAlign w:val="center"/>
          </w:tcPr>
          <w:p w14:paraId="5C9558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w:t>
            </w:r>
          </w:p>
        </w:tc>
        <w:tc>
          <w:tcPr>
            <w:tcW w:w="420" w:type="pct"/>
            <w:noWrap w:val="0"/>
            <w:vAlign w:val="center"/>
          </w:tcPr>
          <w:p w14:paraId="5FF972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757B20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3.44</w:t>
            </w:r>
          </w:p>
        </w:tc>
        <w:tc>
          <w:tcPr>
            <w:tcW w:w="371" w:type="pct"/>
            <w:noWrap w:val="0"/>
            <w:vAlign w:val="center"/>
          </w:tcPr>
          <w:p w14:paraId="24FBD2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0.324</w:t>
            </w:r>
          </w:p>
        </w:tc>
        <w:tc>
          <w:tcPr>
            <w:tcW w:w="355" w:type="pct"/>
            <w:noWrap w:val="0"/>
            <w:vAlign w:val="center"/>
          </w:tcPr>
          <w:p w14:paraId="29B327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62.7</w:t>
            </w:r>
          </w:p>
        </w:tc>
        <w:tc>
          <w:tcPr>
            <w:tcW w:w="412" w:type="pct"/>
            <w:noWrap w:val="0"/>
            <w:vAlign w:val="center"/>
          </w:tcPr>
          <w:p w14:paraId="2A3716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0.075</w:t>
            </w:r>
          </w:p>
        </w:tc>
        <w:tc>
          <w:tcPr>
            <w:tcW w:w="290" w:type="pct"/>
            <w:noWrap w:val="0"/>
            <w:vAlign w:val="center"/>
          </w:tcPr>
          <w:p w14:paraId="1B681D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52AEB5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316DF4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5B20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56F81EB3">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S3 芳107-97 井场周围草地</w:t>
            </w:r>
          </w:p>
        </w:tc>
        <w:tc>
          <w:tcPr>
            <w:tcW w:w="403" w:type="pct"/>
            <w:noWrap w:val="0"/>
            <w:vAlign w:val="center"/>
          </w:tcPr>
          <w:p w14:paraId="43118B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420" w:type="pct"/>
            <w:noWrap w:val="0"/>
            <w:vAlign w:val="center"/>
          </w:tcPr>
          <w:p w14:paraId="2461E8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035B8F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3.21</w:t>
            </w:r>
          </w:p>
        </w:tc>
        <w:tc>
          <w:tcPr>
            <w:tcW w:w="371" w:type="pct"/>
            <w:noWrap w:val="0"/>
            <w:vAlign w:val="center"/>
          </w:tcPr>
          <w:p w14:paraId="3A295F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0.169</w:t>
            </w:r>
          </w:p>
        </w:tc>
        <w:tc>
          <w:tcPr>
            <w:tcW w:w="355" w:type="pct"/>
            <w:noWrap w:val="0"/>
            <w:vAlign w:val="center"/>
          </w:tcPr>
          <w:p w14:paraId="769335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51.5</w:t>
            </w:r>
          </w:p>
        </w:tc>
        <w:tc>
          <w:tcPr>
            <w:tcW w:w="412" w:type="pct"/>
            <w:noWrap w:val="0"/>
            <w:vAlign w:val="center"/>
          </w:tcPr>
          <w:p w14:paraId="08FA8A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0.119</w:t>
            </w:r>
          </w:p>
        </w:tc>
        <w:tc>
          <w:tcPr>
            <w:tcW w:w="290" w:type="pct"/>
            <w:noWrap w:val="0"/>
            <w:vAlign w:val="center"/>
          </w:tcPr>
          <w:p w14:paraId="720B73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6AFFAF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3D04B2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CD0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3C8058CC">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S4 芳142</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斜97 井场附近旱田</w:t>
            </w:r>
          </w:p>
        </w:tc>
        <w:tc>
          <w:tcPr>
            <w:tcW w:w="403" w:type="pct"/>
            <w:noWrap w:val="0"/>
            <w:vAlign w:val="center"/>
          </w:tcPr>
          <w:p w14:paraId="2C2316C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w:t>
            </w:r>
          </w:p>
        </w:tc>
        <w:tc>
          <w:tcPr>
            <w:tcW w:w="420" w:type="pct"/>
            <w:noWrap w:val="0"/>
            <w:vAlign w:val="center"/>
          </w:tcPr>
          <w:p w14:paraId="273247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003C9E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3.67</w:t>
            </w:r>
          </w:p>
        </w:tc>
        <w:tc>
          <w:tcPr>
            <w:tcW w:w="371" w:type="pct"/>
            <w:noWrap w:val="0"/>
            <w:vAlign w:val="center"/>
          </w:tcPr>
          <w:p w14:paraId="302CE8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0.365</w:t>
            </w:r>
          </w:p>
        </w:tc>
        <w:tc>
          <w:tcPr>
            <w:tcW w:w="355" w:type="pct"/>
            <w:noWrap w:val="0"/>
            <w:vAlign w:val="center"/>
          </w:tcPr>
          <w:p w14:paraId="6FCE08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62.8</w:t>
            </w:r>
          </w:p>
        </w:tc>
        <w:tc>
          <w:tcPr>
            <w:tcW w:w="412" w:type="pct"/>
            <w:noWrap w:val="0"/>
            <w:vAlign w:val="center"/>
          </w:tcPr>
          <w:p w14:paraId="6F3F3A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0.134</w:t>
            </w:r>
          </w:p>
        </w:tc>
        <w:tc>
          <w:tcPr>
            <w:tcW w:w="290" w:type="pct"/>
            <w:noWrap w:val="0"/>
            <w:vAlign w:val="center"/>
          </w:tcPr>
          <w:p w14:paraId="386232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072FF2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7D77D3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3C8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2C86D6AC">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S5 芳161</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斜113 井场</w:t>
            </w:r>
          </w:p>
        </w:tc>
        <w:tc>
          <w:tcPr>
            <w:tcW w:w="403" w:type="pct"/>
            <w:noWrap w:val="0"/>
            <w:vAlign w:val="center"/>
          </w:tcPr>
          <w:p w14:paraId="664D28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7.22</w:t>
            </w:r>
          </w:p>
        </w:tc>
        <w:tc>
          <w:tcPr>
            <w:tcW w:w="420" w:type="pct"/>
            <w:noWrap w:val="0"/>
            <w:vAlign w:val="center"/>
          </w:tcPr>
          <w:p w14:paraId="00D00C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138366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2.51</w:t>
            </w:r>
          </w:p>
        </w:tc>
        <w:tc>
          <w:tcPr>
            <w:tcW w:w="371" w:type="pct"/>
            <w:noWrap w:val="0"/>
            <w:vAlign w:val="center"/>
          </w:tcPr>
          <w:p w14:paraId="4F4CB8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0.318</w:t>
            </w:r>
          </w:p>
        </w:tc>
        <w:tc>
          <w:tcPr>
            <w:tcW w:w="355" w:type="pct"/>
            <w:noWrap w:val="0"/>
            <w:vAlign w:val="center"/>
          </w:tcPr>
          <w:p w14:paraId="3D8E48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47.0</w:t>
            </w:r>
          </w:p>
        </w:tc>
        <w:tc>
          <w:tcPr>
            <w:tcW w:w="412" w:type="pct"/>
            <w:noWrap w:val="0"/>
            <w:vAlign w:val="center"/>
          </w:tcPr>
          <w:p w14:paraId="17F662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0.113</w:t>
            </w:r>
          </w:p>
        </w:tc>
        <w:tc>
          <w:tcPr>
            <w:tcW w:w="290" w:type="pct"/>
            <w:noWrap w:val="0"/>
            <w:vAlign w:val="center"/>
          </w:tcPr>
          <w:p w14:paraId="74E76C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4CBD94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35A51E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536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1646307D">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S6 芳 120</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斜138 井场内</w:t>
            </w:r>
          </w:p>
        </w:tc>
        <w:tc>
          <w:tcPr>
            <w:tcW w:w="403" w:type="pct"/>
            <w:noWrap w:val="0"/>
            <w:vAlign w:val="center"/>
          </w:tcPr>
          <w:p w14:paraId="246690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9.72</w:t>
            </w:r>
          </w:p>
        </w:tc>
        <w:tc>
          <w:tcPr>
            <w:tcW w:w="420" w:type="pct"/>
            <w:noWrap w:val="0"/>
            <w:vAlign w:val="center"/>
          </w:tcPr>
          <w:p w14:paraId="4986DF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22.5</w:t>
            </w:r>
          </w:p>
        </w:tc>
        <w:tc>
          <w:tcPr>
            <w:tcW w:w="339" w:type="pct"/>
            <w:noWrap w:val="0"/>
            <w:vAlign w:val="center"/>
          </w:tcPr>
          <w:p w14:paraId="02F512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3A809E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6E064B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466584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5AFDF73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4F6F4B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259138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61E6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492F8C00">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S7 芳113-平101 井场内</w:t>
            </w:r>
          </w:p>
        </w:tc>
        <w:tc>
          <w:tcPr>
            <w:tcW w:w="403" w:type="pct"/>
            <w:noWrap w:val="0"/>
            <w:vAlign w:val="center"/>
          </w:tcPr>
          <w:p w14:paraId="176EB7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9.68</w:t>
            </w:r>
          </w:p>
        </w:tc>
        <w:tc>
          <w:tcPr>
            <w:tcW w:w="420" w:type="pct"/>
            <w:noWrap w:val="0"/>
            <w:vAlign w:val="center"/>
          </w:tcPr>
          <w:p w14:paraId="4DC6EC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50.1</w:t>
            </w:r>
          </w:p>
        </w:tc>
        <w:tc>
          <w:tcPr>
            <w:tcW w:w="339" w:type="pct"/>
            <w:noWrap w:val="0"/>
            <w:vAlign w:val="center"/>
          </w:tcPr>
          <w:p w14:paraId="4AE5E0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108338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6102A8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1BF1EF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330C17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43F305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6DF85D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4D1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1BC39D9E">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S8 芳 162</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斜106 井场内</w:t>
            </w:r>
          </w:p>
        </w:tc>
        <w:tc>
          <w:tcPr>
            <w:tcW w:w="403" w:type="pct"/>
            <w:noWrap w:val="0"/>
            <w:vAlign w:val="center"/>
          </w:tcPr>
          <w:p w14:paraId="396127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9.85</w:t>
            </w:r>
          </w:p>
        </w:tc>
        <w:tc>
          <w:tcPr>
            <w:tcW w:w="420" w:type="pct"/>
            <w:noWrap w:val="0"/>
            <w:vAlign w:val="center"/>
          </w:tcPr>
          <w:p w14:paraId="0047AF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24.3</w:t>
            </w:r>
          </w:p>
        </w:tc>
        <w:tc>
          <w:tcPr>
            <w:tcW w:w="339" w:type="pct"/>
            <w:noWrap w:val="0"/>
            <w:vAlign w:val="center"/>
          </w:tcPr>
          <w:p w14:paraId="35CDE0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3B77A9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0A95F2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667C3E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161E17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3EB758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06803D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12A3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noWrap w:val="0"/>
            <w:vAlign w:val="center"/>
          </w:tcPr>
          <w:p w14:paraId="4CC4AA87">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S9 芳 140-92 井场内</w:t>
            </w:r>
          </w:p>
        </w:tc>
        <w:tc>
          <w:tcPr>
            <w:tcW w:w="403" w:type="pct"/>
            <w:noWrap w:val="0"/>
            <w:vAlign w:val="center"/>
          </w:tcPr>
          <w:p w14:paraId="2C2C5F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420" w:type="pct"/>
            <w:noWrap w:val="0"/>
            <w:vAlign w:val="center"/>
          </w:tcPr>
          <w:p w14:paraId="085AF7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26.3</w:t>
            </w:r>
          </w:p>
        </w:tc>
        <w:tc>
          <w:tcPr>
            <w:tcW w:w="339" w:type="pct"/>
            <w:noWrap w:val="0"/>
            <w:vAlign w:val="center"/>
          </w:tcPr>
          <w:p w14:paraId="37C426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69DDF2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7A5645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2838CB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13307F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055569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2FA0E2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309C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restart"/>
            <w:noWrap w:val="0"/>
            <w:vAlign w:val="center"/>
          </w:tcPr>
          <w:p w14:paraId="5CC6B418">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芳133</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斜95 井场10m</w:t>
            </w:r>
          </w:p>
        </w:tc>
        <w:tc>
          <w:tcPr>
            <w:tcW w:w="403" w:type="pct"/>
            <w:noWrap w:val="0"/>
            <w:vAlign w:val="center"/>
          </w:tcPr>
          <w:p w14:paraId="2AE424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7.48</w:t>
            </w:r>
          </w:p>
        </w:tc>
        <w:tc>
          <w:tcPr>
            <w:tcW w:w="420" w:type="pct"/>
            <w:noWrap w:val="0"/>
            <w:vAlign w:val="center"/>
          </w:tcPr>
          <w:p w14:paraId="72BB59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0E69F4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0DFC17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063E16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1AA6F0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56335B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129AE5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3571B9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20F0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continue"/>
            <w:noWrap w:val="0"/>
            <w:vAlign w:val="center"/>
          </w:tcPr>
          <w:p w14:paraId="36120C8D">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p>
        </w:tc>
        <w:tc>
          <w:tcPr>
            <w:tcW w:w="403" w:type="pct"/>
            <w:noWrap w:val="0"/>
            <w:vAlign w:val="center"/>
          </w:tcPr>
          <w:p w14:paraId="7D4AB6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7.45</w:t>
            </w:r>
          </w:p>
        </w:tc>
        <w:tc>
          <w:tcPr>
            <w:tcW w:w="420" w:type="pct"/>
            <w:noWrap w:val="0"/>
            <w:vAlign w:val="center"/>
          </w:tcPr>
          <w:p w14:paraId="7A4F02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1BC58B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1659CB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4E1D96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64670D9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1F1E6D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3D09C6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4B1C81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20B5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restart"/>
            <w:noWrap w:val="0"/>
            <w:vAlign w:val="center"/>
          </w:tcPr>
          <w:p w14:paraId="36B586C0">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芳133</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斜95 井场20m</w:t>
            </w:r>
          </w:p>
        </w:tc>
        <w:tc>
          <w:tcPr>
            <w:tcW w:w="403" w:type="pct"/>
            <w:noWrap w:val="0"/>
            <w:vAlign w:val="center"/>
          </w:tcPr>
          <w:p w14:paraId="016960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7.39</w:t>
            </w:r>
          </w:p>
        </w:tc>
        <w:tc>
          <w:tcPr>
            <w:tcW w:w="420" w:type="pct"/>
            <w:noWrap w:val="0"/>
            <w:vAlign w:val="center"/>
          </w:tcPr>
          <w:p w14:paraId="796230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46D279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3E0AD8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5EB904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4C0EC4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44E55A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60C249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14396B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247B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continue"/>
            <w:noWrap w:val="0"/>
            <w:vAlign w:val="center"/>
          </w:tcPr>
          <w:p w14:paraId="72CE956D">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p>
        </w:tc>
        <w:tc>
          <w:tcPr>
            <w:tcW w:w="403" w:type="pct"/>
            <w:noWrap w:val="0"/>
            <w:vAlign w:val="center"/>
          </w:tcPr>
          <w:p w14:paraId="111344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7.34</w:t>
            </w:r>
          </w:p>
        </w:tc>
        <w:tc>
          <w:tcPr>
            <w:tcW w:w="420" w:type="pct"/>
            <w:noWrap w:val="0"/>
            <w:vAlign w:val="center"/>
          </w:tcPr>
          <w:p w14:paraId="6A11CB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1ED92B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7403E9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7CC13A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0C8004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5ABD2C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324AB5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144E13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DB3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restart"/>
            <w:noWrap w:val="0"/>
            <w:vAlign w:val="center"/>
          </w:tcPr>
          <w:p w14:paraId="2A558CB8">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芳133</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斜95 井场30m</w:t>
            </w:r>
          </w:p>
        </w:tc>
        <w:tc>
          <w:tcPr>
            <w:tcW w:w="403" w:type="pct"/>
            <w:noWrap w:val="0"/>
            <w:vAlign w:val="center"/>
          </w:tcPr>
          <w:p w14:paraId="054F68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7.35</w:t>
            </w:r>
          </w:p>
        </w:tc>
        <w:tc>
          <w:tcPr>
            <w:tcW w:w="420" w:type="pct"/>
            <w:noWrap w:val="0"/>
            <w:vAlign w:val="center"/>
          </w:tcPr>
          <w:p w14:paraId="427720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286D11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54164D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7B0C71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762E5E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12D772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26B75F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50C2B1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0284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continue"/>
            <w:noWrap w:val="0"/>
            <w:vAlign w:val="center"/>
          </w:tcPr>
          <w:p w14:paraId="05D999E3">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p>
        </w:tc>
        <w:tc>
          <w:tcPr>
            <w:tcW w:w="403" w:type="pct"/>
            <w:noWrap w:val="0"/>
            <w:vAlign w:val="center"/>
          </w:tcPr>
          <w:p w14:paraId="11C06A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7.38</w:t>
            </w:r>
          </w:p>
        </w:tc>
        <w:tc>
          <w:tcPr>
            <w:tcW w:w="420" w:type="pct"/>
            <w:noWrap w:val="0"/>
            <w:vAlign w:val="center"/>
          </w:tcPr>
          <w:p w14:paraId="544AC1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08CD53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730A66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78A955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51106E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0C1508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2A867B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2B2CEB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7A80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restart"/>
            <w:noWrap w:val="0"/>
            <w:vAlign w:val="center"/>
          </w:tcPr>
          <w:p w14:paraId="1C12943C">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芳133</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斜95 井场50m</w:t>
            </w:r>
          </w:p>
        </w:tc>
        <w:tc>
          <w:tcPr>
            <w:tcW w:w="403" w:type="pct"/>
            <w:noWrap w:val="0"/>
            <w:vAlign w:val="center"/>
          </w:tcPr>
          <w:p w14:paraId="3FC0C0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7.36</w:t>
            </w:r>
          </w:p>
        </w:tc>
        <w:tc>
          <w:tcPr>
            <w:tcW w:w="420" w:type="pct"/>
            <w:noWrap w:val="0"/>
            <w:vAlign w:val="center"/>
          </w:tcPr>
          <w:p w14:paraId="5BB48B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544F65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6C8775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45E547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3C93A9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6731CF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29419E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767C8C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045C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continue"/>
            <w:noWrap w:val="0"/>
            <w:vAlign w:val="center"/>
          </w:tcPr>
          <w:p w14:paraId="6146FFB1">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p>
        </w:tc>
        <w:tc>
          <w:tcPr>
            <w:tcW w:w="403" w:type="pct"/>
            <w:noWrap w:val="0"/>
            <w:vAlign w:val="center"/>
          </w:tcPr>
          <w:p w14:paraId="5C5D7D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7.37</w:t>
            </w:r>
          </w:p>
        </w:tc>
        <w:tc>
          <w:tcPr>
            <w:tcW w:w="420" w:type="pct"/>
            <w:noWrap w:val="0"/>
            <w:vAlign w:val="center"/>
          </w:tcPr>
          <w:p w14:paraId="5AC53E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0733CA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2C4576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79BF46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6271C3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001B08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754ED8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7AF5AF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6F04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restart"/>
            <w:noWrap w:val="0"/>
            <w:vAlign w:val="center"/>
          </w:tcPr>
          <w:p w14:paraId="24A18225">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芳133</w:t>
            </w:r>
            <w:r>
              <w:rPr>
                <w:rFonts w:hint="eastAsia" w:ascii="Times New Roman" w:hAnsi="Times New Roman" w:eastAsia="宋体" w:cs="Times New Roman"/>
                <w:color w:val="000000" w:themeColor="text1"/>
                <w:w w:val="99"/>
                <w:sz w:val="21"/>
                <w:szCs w:val="21"/>
                <w:lang w:eastAsia="zh-CN"/>
                <w14:textFill>
                  <w14:solidFill>
                    <w14:schemeClr w14:val="tx1"/>
                  </w14:solidFill>
                </w14:textFill>
              </w:rPr>
              <w:t>－</w:t>
            </w:r>
            <w:r>
              <w:rPr>
                <w:rFonts w:hint="default" w:ascii="Times New Roman" w:hAnsi="Times New Roman" w:eastAsia="宋体" w:cs="Times New Roman"/>
                <w:color w:val="000000" w:themeColor="text1"/>
                <w:w w:val="99"/>
                <w:sz w:val="21"/>
                <w:szCs w:val="21"/>
                <w14:textFill>
                  <w14:solidFill>
                    <w14:schemeClr w14:val="tx1"/>
                  </w14:solidFill>
                </w14:textFill>
              </w:rPr>
              <w:t>斜95 井场</w:t>
            </w:r>
          </w:p>
        </w:tc>
        <w:tc>
          <w:tcPr>
            <w:tcW w:w="403" w:type="pct"/>
            <w:noWrap w:val="0"/>
            <w:vAlign w:val="center"/>
          </w:tcPr>
          <w:p w14:paraId="62195B1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7.55</w:t>
            </w:r>
          </w:p>
        </w:tc>
        <w:tc>
          <w:tcPr>
            <w:tcW w:w="420" w:type="pct"/>
            <w:noWrap w:val="0"/>
            <w:vAlign w:val="center"/>
          </w:tcPr>
          <w:p w14:paraId="18344C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30F94D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0FE043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6A9B9B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14EE15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019002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62161C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0B4534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1568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Merge w:val="continue"/>
            <w:noWrap w:val="0"/>
            <w:vAlign w:val="center"/>
          </w:tcPr>
          <w:p w14:paraId="3128CEF1">
            <w:pPr>
              <w:keepNext w:val="0"/>
              <w:keepLines w:val="0"/>
              <w:pageBreakBefore w:val="0"/>
              <w:widowControl w:val="0"/>
              <w:kinsoku/>
              <w:wordWrap/>
              <w:overflowPunct/>
              <w:topLinePunct w:val="0"/>
              <w:autoSpaceDE/>
              <w:autoSpaceDN/>
              <w:bidi w:val="0"/>
              <w:adjustRightInd/>
              <w:snapToGrid/>
              <w:spacing w:after="0" w:line="0" w:lineRule="atLeast"/>
              <w:ind w:firstLine="0" w:firstLineChars="0"/>
              <w:jc w:val="center"/>
              <w:textAlignment w:val="auto"/>
              <w:rPr>
                <w:rFonts w:hint="default" w:ascii="Times New Roman" w:hAnsi="Times New Roman" w:eastAsia="宋体" w:cs="Times New Roman"/>
                <w:color w:val="000000" w:themeColor="text1"/>
                <w:w w:val="99"/>
                <w:sz w:val="21"/>
                <w:szCs w:val="21"/>
                <w14:textFill>
                  <w14:solidFill>
                    <w14:schemeClr w14:val="tx1"/>
                  </w14:solidFill>
                </w14:textFill>
              </w:rPr>
            </w:pPr>
          </w:p>
        </w:tc>
        <w:tc>
          <w:tcPr>
            <w:tcW w:w="403" w:type="pct"/>
            <w:noWrap w:val="0"/>
            <w:vAlign w:val="center"/>
          </w:tcPr>
          <w:p w14:paraId="5EF669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7.52</w:t>
            </w:r>
          </w:p>
        </w:tc>
        <w:tc>
          <w:tcPr>
            <w:tcW w:w="420" w:type="pct"/>
            <w:noWrap w:val="0"/>
            <w:vAlign w:val="center"/>
          </w:tcPr>
          <w:p w14:paraId="3CA42E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39" w:type="pct"/>
            <w:noWrap w:val="0"/>
            <w:vAlign w:val="center"/>
          </w:tcPr>
          <w:p w14:paraId="125416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1" w:type="pct"/>
            <w:noWrap w:val="0"/>
            <w:vAlign w:val="center"/>
          </w:tcPr>
          <w:p w14:paraId="20E42B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5" w:type="pct"/>
            <w:noWrap w:val="0"/>
            <w:vAlign w:val="center"/>
          </w:tcPr>
          <w:p w14:paraId="517742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12" w:type="pct"/>
            <w:noWrap w:val="0"/>
            <w:vAlign w:val="center"/>
          </w:tcPr>
          <w:p w14:paraId="4F3E1A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90" w:type="pct"/>
            <w:noWrap w:val="0"/>
            <w:vAlign w:val="center"/>
          </w:tcPr>
          <w:p w14:paraId="28F3E2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06" w:type="pct"/>
            <w:noWrap w:val="0"/>
            <w:vAlign w:val="center"/>
          </w:tcPr>
          <w:p w14:paraId="312B5E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56" w:type="pct"/>
            <w:noWrap w:val="0"/>
            <w:vAlign w:val="center"/>
          </w:tcPr>
          <w:p w14:paraId="19C304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14:paraId="35F1B291">
      <w:pPr>
        <w:pStyle w:val="36"/>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Times New Roman" w:cs="Times New Roman"/>
          <w:color w:val="000000" w:themeColor="text1"/>
          <w:spacing w:val="-3"/>
          <w:highlight w:val="none"/>
          <w:lang w:eastAsia="zh-CN"/>
          <w14:textFill>
            <w14:solidFill>
              <w14:schemeClr w14:val="tx1"/>
            </w14:solidFill>
          </w14:textFill>
        </w:rPr>
      </w:pPr>
      <w:r>
        <w:rPr>
          <w:rFonts w:hint="default" w:ascii="Times New Roman" w:hAnsi="Times New Roman" w:eastAsia="Times New Roman" w:cs="Times New Roman"/>
          <w:color w:val="000000" w:themeColor="text1"/>
          <w:spacing w:val="-3"/>
          <w:highlight w:val="none"/>
          <w:lang w:eastAsia="zh-CN"/>
          <w14:textFill>
            <w14:solidFill>
              <w14:schemeClr w14:val="tx1"/>
            </w14:solidFill>
          </w14:textFill>
        </w:rPr>
        <w:t>根据表5.6-2可知，占地范围内的建设用地与占地范围外的农用地土壤pH值相差不大，同时项目占地范围内土壤中的石油烃</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（C</w:t>
      </w:r>
      <w:r>
        <w:rPr>
          <w:rFonts w:hint="default" w:ascii="Times New Roman" w:hAnsi="Times New Roman" w:cs="Times New Roman"/>
          <w:b w:val="0"/>
          <w:bCs w:val="0"/>
          <w:color w:val="000000" w:themeColor="text1"/>
          <w:highlight w:val="none"/>
          <w:vertAlign w:val="subscript"/>
          <w:lang w:val="en-US" w:eastAsia="zh-CN"/>
          <w14:textFill>
            <w14:solidFill>
              <w14:schemeClr w14:val="tx1"/>
            </w14:solidFill>
          </w14:textFill>
        </w:rPr>
        <w:t>10</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-C</w:t>
      </w:r>
      <w:r>
        <w:rPr>
          <w:rFonts w:hint="default" w:ascii="Times New Roman" w:hAnsi="Times New Roman" w:cs="Times New Roman"/>
          <w:b w:val="0"/>
          <w:bCs w:val="0"/>
          <w:color w:val="000000" w:themeColor="text1"/>
          <w:highlight w:val="none"/>
          <w:vertAlign w:val="subscript"/>
          <w:lang w:val="en-US" w:eastAsia="zh-CN"/>
          <w14:textFill>
            <w14:solidFill>
              <w14:schemeClr w14:val="tx1"/>
            </w14:solidFill>
          </w14:textFill>
        </w:rPr>
        <w:t>40</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3"/>
          <w:highlight w:val="none"/>
          <w:lang w:eastAsia="zh-CN"/>
          <w14:textFill>
            <w14:solidFill>
              <w14:schemeClr w14:val="tx1"/>
            </w14:solidFill>
          </w14:textFill>
        </w:rPr>
        <w:t>、Pb、Hg、Cr、As等污染物均满足《土壤环境质量建设用地土壤污染风险管控标准（试行）》（GB36600-2018）风险筛选值中第二类用地限值要求，占地范围外的耕地土壤中Pb、Hg、Cr、As等污染物均满足《土壤环境质量农用地土壤污染风险管控标准（试行）》（GB15618-2018）筛选值标准，说明</w:t>
      </w:r>
      <w:r>
        <w:rPr>
          <w:rFonts w:hint="eastAsia" w:eastAsia="Times New Roman" w:cs="Times New Roman"/>
          <w:color w:val="000000" w:themeColor="text1"/>
          <w:spacing w:val="-3"/>
          <w:highlight w:val="none"/>
          <w:lang w:eastAsia="zh-CN"/>
          <w14:textFill>
            <w14:solidFill>
              <w14:schemeClr w14:val="tx1"/>
            </w14:solidFill>
          </w14:textFill>
        </w:rPr>
        <w:t>第八采油厂</w:t>
      </w:r>
      <w:r>
        <w:rPr>
          <w:rFonts w:hint="default" w:ascii="Times New Roman" w:hAnsi="Times New Roman" w:eastAsia="Times New Roman" w:cs="Times New Roman"/>
          <w:color w:val="000000" w:themeColor="text1"/>
          <w:spacing w:val="-3"/>
          <w:highlight w:val="none"/>
          <w:lang w:eastAsia="zh-CN"/>
          <w14:textFill>
            <w14:solidFill>
              <w14:schemeClr w14:val="tx1"/>
            </w14:solidFill>
          </w14:textFill>
        </w:rPr>
        <w:t>在项目实施之后较好的落实了污染防治措施，油田滚动开发对土壤环境影响较小。类比得出，只要</w:t>
      </w:r>
      <w:r>
        <w:rPr>
          <w:rFonts w:hint="eastAsia" w:eastAsia="Times New Roman" w:cs="Times New Roman"/>
          <w:color w:val="000000" w:themeColor="text1"/>
          <w:spacing w:val="-3"/>
          <w:highlight w:val="none"/>
          <w:lang w:eastAsia="zh-CN"/>
          <w14:textFill>
            <w14:solidFill>
              <w14:schemeClr w14:val="tx1"/>
            </w14:solidFill>
          </w14:textFill>
        </w:rPr>
        <w:t>第八采油厂</w:t>
      </w:r>
      <w:r>
        <w:rPr>
          <w:rFonts w:hint="default" w:ascii="Times New Roman" w:hAnsi="Times New Roman" w:eastAsia="Times New Roman" w:cs="Times New Roman"/>
          <w:color w:val="000000" w:themeColor="text1"/>
          <w:spacing w:val="-3"/>
          <w:highlight w:val="none"/>
          <w:lang w:eastAsia="zh-CN"/>
          <w14:textFill>
            <w14:solidFill>
              <w14:schemeClr w14:val="tx1"/>
            </w14:solidFill>
          </w14:textFill>
        </w:rPr>
        <w:t>严格落实污染防治措施，本工程对土壤环境影响较小。</w:t>
      </w:r>
    </w:p>
    <w:p w14:paraId="0C8BC67A">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5.6.</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14:textFill>
            <w14:solidFill>
              <w14:schemeClr w14:val="tx1"/>
            </w14:solidFill>
          </w14:textFill>
        </w:rPr>
        <w:t>土壤环境影响</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分析结论</w:t>
      </w:r>
    </w:p>
    <w:p w14:paraId="087C2B4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综上所述，本工程在施工期及运营期采取上述相关防治措施后，项目的开发建设对区域土壤环境</w:t>
      </w:r>
      <w:r>
        <w:rPr>
          <w:rFonts w:hint="eastAsia" w:ascii="Times New Roman" w:hAnsi="Times New Roman" w:eastAsia="宋体" w:cs="Times New Roman"/>
          <w:color w:val="000000" w:themeColor="text1"/>
          <w:sz w:val="24"/>
          <w:szCs w:val="28"/>
          <w:highlight w:val="none"/>
          <w:lang w:eastAsia="zh-CN"/>
          <w14:textFill>
            <w14:solidFill>
              <w14:schemeClr w14:val="tx1"/>
            </w14:solidFill>
          </w14:textFill>
        </w:rPr>
        <w:t>及环境保护目标</w:t>
      </w:r>
      <w:r>
        <w:rPr>
          <w:rFonts w:hint="default" w:ascii="Times New Roman" w:hAnsi="Times New Roman" w:eastAsia="宋体" w:cs="Times New Roman"/>
          <w:color w:val="000000" w:themeColor="text1"/>
          <w:sz w:val="24"/>
          <w:szCs w:val="28"/>
          <w:highlight w:val="none"/>
          <w14:textFill>
            <w14:solidFill>
              <w14:schemeClr w14:val="tx1"/>
            </w14:solidFill>
          </w14:textFill>
        </w:rPr>
        <w:t>影响较小，土壤环境影响评价自查表见</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附表</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w:t>
      </w:r>
    </w:p>
    <w:p w14:paraId="3F57F93A">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bCs w:val="0"/>
          <w:color w:val="000000" w:themeColor="text1"/>
          <w:sz w:val="28"/>
          <w:szCs w:val="28"/>
          <w:highlight w:val="none"/>
          <w14:textFill>
            <w14:solidFill>
              <w14:schemeClr w14:val="tx1"/>
            </w14:solidFill>
          </w14:textFill>
        </w:rPr>
      </w:pPr>
      <w:bookmarkStart w:id="109" w:name="_Toc83703880"/>
      <w:bookmarkStart w:id="110" w:name="_Toc83803953"/>
      <w:bookmarkStart w:id="111" w:name="_Toc17623"/>
      <w:bookmarkStart w:id="112" w:name="_Toc83703771"/>
      <w:r>
        <w:rPr>
          <w:rFonts w:hint="default" w:ascii="Times New Roman" w:hAnsi="Times New Roman" w:eastAsia="宋体" w:cs="Times New Roman"/>
          <w:b/>
          <w:bCs w:val="0"/>
          <w:color w:val="000000" w:themeColor="text1"/>
          <w:sz w:val="28"/>
          <w:szCs w:val="28"/>
          <w:highlight w:val="none"/>
          <w14:textFill>
            <w14:solidFill>
              <w14:schemeClr w14:val="tx1"/>
            </w14:solidFill>
          </w14:textFill>
        </w:rPr>
        <w:t>5.7生态环境影响分析</w:t>
      </w:r>
      <w:bookmarkEnd w:id="109"/>
      <w:bookmarkEnd w:id="110"/>
      <w:bookmarkEnd w:id="111"/>
      <w:bookmarkEnd w:id="112"/>
    </w:p>
    <w:p w14:paraId="3F421762">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5.7.1施工期生态环境影响分析</w:t>
      </w:r>
    </w:p>
    <w:p w14:paraId="79F6AFCF">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w:t>
      </w:r>
      <w:r>
        <w:rPr>
          <w:rFonts w:hint="eastAsia" w:cs="Times New Roman"/>
          <w:color w:val="000000" w:themeColor="text1"/>
          <w:highlight w:val="none"/>
          <w:lang w:eastAsia="zh-CN"/>
          <w14:textFill>
            <w14:solidFill>
              <w14:schemeClr w14:val="tx1"/>
            </w14:solidFill>
          </w14:textFill>
        </w:rPr>
        <w:t>施工场地</w:t>
      </w:r>
      <w:r>
        <w:rPr>
          <w:rFonts w:hint="default" w:ascii="Times New Roman" w:hAnsi="Times New Roman" w:cs="Times New Roman"/>
          <w:color w:val="000000" w:themeColor="text1"/>
          <w:highlight w:val="none"/>
          <w:lang w:eastAsia="zh-CN"/>
          <w14:textFill>
            <w14:solidFill>
              <w14:schemeClr w14:val="tx1"/>
            </w14:solidFill>
          </w14:textFill>
        </w:rPr>
        <w:t>平整建设、管沟开挖、管道敷设、覆土回填过程会对周围生态环境造成不同程度的影响和破坏，主要有以下几个方面：</w:t>
      </w:r>
    </w:p>
    <w:p w14:paraId="4465166D">
      <w:pPr>
        <w:keepNext w:val="0"/>
        <w:keepLines w:val="0"/>
        <w:pageBreakBefore w:val="0"/>
        <w:widowControl w:val="0"/>
        <w:kinsoku/>
        <w:wordWrap/>
        <w:overflowPunct/>
        <w:topLinePunct w:val="0"/>
        <w:autoSpaceDE/>
        <w:autoSpaceDN/>
        <w:bidi w:val="0"/>
        <w:adjustRightInd w:val="0"/>
        <w:snapToGrid w:val="0"/>
        <w:spacing w:after="0" w:line="360" w:lineRule="auto"/>
        <w:ind w:firstLine="44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对土地利用影响分析</w:t>
      </w:r>
    </w:p>
    <w:p w14:paraId="47BFC49E">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本项目生态评价范围内主要以草地、耕地</w:t>
      </w:r>
      <w:r>
        <w:rPr>
          <w:rFonts w:hint="eastAsia" w:eastAsia="宋体" w:cs="Times New Roman"/>
          <w:snapToGrid/>
          <w:color w:val="000000" w:themeColor="text1"/>
          <w:kern w:val="2"/>
          <w:sz w:val="24"/>
          <w:szCs w:val="24"/>
          <w:highlight w:val="none"/>
          <w:lang w:val="en-US" w:eastAsia="zh-CN" w:bidi="ar-SA"/>
          <w14:textFill>
            <w14:solidFill>
              <w14:schemeClr w14:val="tx1"/>
            </w14:solidFill>
          </w14:textFill>
        </w:rPr>
        <w:t>、林地</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为主。本项目不新增永久占地，对项目区域土地利用结构影响较小。该项目管道施工过程中，车辆碾压、机械推挖、人员践踏及道将会对地表植被造成很大破坏，本工程临时占地影响是短期可逆的，施工结束后，被占用的土地开始恢复。本工程</w:t>
      </w:r>
      <w:r>
        <w:rPr>
          <w:rFonts w:hint="eastAsia"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施工土方能够挖填方平衡，无取弃土产生。施工时，表层土堆放在沟附近，深层土远离沟堆放，回填时先回填深层土，再回填表层土，管沟回填后会起约20~30cm隆起，2年后自然沉平，本地优势植物2~3会自然恢复原貌。</w:t>
      </w:r>
    </w:p>
    <w:p w14:paraId="0FBF7FD5">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对植被影响分析</w:t>
      </w:r>
    </w:p>
    <w:p w14:paraId="16E4FF97">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本工程在施工期发生的临时占地是新建管道对沿线耕地</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草地</w:t>
      </w:r>
      <w:r>
        <w:rPr>
          <w:rFonts w:hint="eastAsia" w:cs="Times New Roman"/>
          <w:color w:val="000000" w:themeColor="text1"/>
          <w:highlight w:val="none"/>
          <w:lang w:val="en-US" w:eastAsia="zh-CN"/>
          <w14:textFill>
            <w14:solidFill>
              <w14:schemeClr w14:val="tx1"/>
            </w14:solidFill>
          </w14:textFill>
        </w:rPr>
        <w:t>及林地</w:t>
      </w:r>
      <w:r>
        <w:rPr>
          <w:rFonts w:hint="default" w:ascii="Times New Roman" w:hAnsi="Times New Roman" w:cs="Times New Roman"/>
          <w:color w:val="000000" w:themeColor="text1"/>
          <w:highlight w:val="none"/>
          <w14:textFill>
            <w14:solidFill>
              <w14:schemeClr w14:val="tx1"/>
            </w14:solidFill>
          </w14:textFill>
        </w:rPr>
        <w:t>产生的影响。施工过程中，车辆碾压，机械推挖、人员践踏等对地表进行的平整将会对占地地表造成很大破坏，这种影响是短期可逆的，施工结束后，被占用土地开始恢复</w:t>
      </w:r>
      <w:r>
        <w:rPr>
          <w:rFonts w:hint="default" w:ascii="Times New Roman" w:hAnsi="Times New Roman" w:cs="Times New Roman"/>
          <w:color w:val="000000" w:themeColor="text1"/>
          <w:highlight w:val="none"/>
          <w:lang w:eastAsia="zh-CN"/>
          <w14:textFill>
            <w14:solidFill>
              <w14:schemeClr w14:val="tx1"/>
            </w14:solidFill>
          </w14:textFill>
        </w:rPr>
        <w:t>。</w:t>
      </w:r>
    </w:p>
    <w:p w14:paraId="70FE6C88">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本项目临时占用耕地</w:t>
      </w:r>
      <w:r>
        <w:rPr>
          <w:rFonts w:hint="default" w:ascii="Times New Roman" w:hAnsi="Times New Roman" w:cs="Times New Roman"/>
          <w:color w:val="000000" w:themeColor="text1"/>
          <w:highlight w:val="none"/>
          <w:lang w:val="en-US" w:eastAsia="zh-CN"/>
          <w14:textFill>
            <w14:solidFill>
              <w14:schemeClr w14:val="tx1"/>
            </w14:solidFill>
          </w14:textFill>
        </w:rPr>
        <w:t>面积</w:t>
      </w:r>
      <w:r>
        <w:rPr>
          <w:rFonts w:hint="default" w:ascii="Times New Roman" w:hAnsi="Times New Roman" w:cs="Times New Roman"/>
          <w:color w:val="000000" w:themeColor="text1"/>
          <w:highlight w:val="none"/>
          <w:lang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12.12hm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，草地面积</w:t>
      </w:r>
      <w:r>
        <w:rPr>
          <w:rFonts w:hint="default" w:ascii="Times New Roman" w:hAnsi="Times New Roman" w:cs="Times New Roman"/>
          <w:color w:val="000000" w:themeColor="text1"/>
          <w:highlight w:val="none"/>
          <w:lang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12.56hm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林地面积0.1hm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37927DDD">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耕地农作物为玉米，</w:t>
      </w:r>
      <w:r>
        <w:rPr>
          <w:rFonts w:hint="default" w:ascii="Times New Roman" w:hAnsi="Times New Roman" w:cs="Times New Roman"/>
          <w:color w:val="000000" w:themeColor="text1"/>
          <w:highlight w:val="none"/>
          <w14:textFill>
            <w14:solidFill>
              <w14:schemeClr w14:val="tx1"/>
            </w14:solidFill>
          </w14:textFill>
        </w:rPr>
        <w:t>农作物当年粮食产量全部损失</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第</w:t>
      </w:r>
      <w:r>
        <w:rPr>
          <w:rFonts w:hint="default" w:ascii="Times New Roman" w:hAnsi="Times New Roman" w:cs="Times New Roman"/>
          <w:color w:val="000000" w:themeColor="text1"/>
          <w:highlight w:val="none"/>
          <w:lang w:eastAsia="zh-CN"/>
          <w14:textFill>
            <w14:solidFill>
              <w14:schemeClr w14:val="tx1"/>
            </w14:solidFill>
          </w14:textFill>
        </w:rPr>
        <w:t>二</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三</w:t>
      </w:r>
      <w:r>
        <w:rPr>
          <w:rFonts w:hint="default" w:ascii="Times New Roman" w:hAnsi="Times New Roman" w:cs="Times New Roman"/>
          <w:color w:val="000000" w:themeColor="text1"/>
          <w:highlight w:val="none"/>
          <w14:textFill>
            <w14:solidFill>
              <w14:schemeClr w14:val="tx1"/>
            </w14:solidFill>
          </w14:textFill>
        </w:rPr>
        <w:t>年产量将下降20%</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40%，随后恢复正常产量，农作物单位面积产量以玉米计，按7.5t/hm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计算，</w:t>
      </w:r>
      <w:r>
        <w:rPr>
          <w:rFonts w:hint="default" w:ascii="Times New Roman" w:hAnsi="Times New Roman" w:cs="Times New Roman"/>
          <w:color w:val="000000" w:themeColor="text1"/>
          <w:highlight w:val="none"/>
          <w:lang w:eastAsia="zh-CN"/>
          <w14:textFill>
            <w14:solidFill>
              <w14:schemeClr w14:val="tx1"/>
            </w14:solidFill>
          </w14:textFill>
        </w:rPr>
        <w:t>三</w:t>
      </w:r>
      <w:r>
        <w:rPr>
          <w:rFonts w:hint="default" w:ascii="Times New Roman" w:hAnsi="Times New Roman" w:cs="Times New Roman"/>
          <w:color w:val="000000" w:themeColor="text1"/>
          <w:highlight w:val="none"/>
          <w14:textFill>
            <w14:solidFill>
              <w14:schemeClr w14:val="tx1"/>
            </w14:solidFill>
          </w14:textFill>
        </w:rPr>
        <w:t>年间</w:t>
      </w:r>
      <w:r>
        <w:rPr>
          <w:rFonts w:hint="default" w:ascii="Times New Roman" w:hAnsi="Times New Roman" w:cs="Times New Roman"/>
          <w:color w:val="000000" w:themeColor="text1"/>
          <w:highlight w:val="none"/>
          <w:lang w:eastAsia="zh-CN"/>
          <w14:textFill>
            <w14:solidFill>
              <w14:schemeClr w14:val="tx1"/>
            </w14:solidFill>
          </w14:textFill>
        </w:rPr>
        <w:t>临时占地</w:t>
      </w:r>
      <w:r>
        <w:rPr>
          <w:rFonts w:hint="default" w:ascii="Times New Roman" w:hAnsi="Times New Roman" w:cs="Times New Roman"/>
          <w:color w:val="000000" w:themeColor="text1"/>
          <w:highlight w:val="none"/>
          <w14:textFill>
            <w14:solidFill>
              <w14:schemeClr w14:val="tx1"/>
            </w14:solidFill>
          </w14:textFill>
        </w:rPr>
        <w:t>总共损失粮食产量为</w:t>
      </w:r>
      <w:r>
        <w:rPr>
          <w:rFonts w:hint="eastAsia" w:cs="Times New Roman"/>
          <w:color w:val="000000" w:themeColor="text1"/>
          <w:highlight w:val="none"/>
          <w:lang w:val="en-US" w:eastAsia="zh-CN"/>
          <w14:textFill>
            <w14:solidFill>
              <w14:schemeClr w14:val="tx1"/>
            </w14:solidFill>
          </w14:textFill>
        </w:rPr>
        <w:t>163t</w:t>
      </w:r>
      <w:r>
        <w:rPr>
          <w:rFonts w:hint="default" w:ascii="Times New Roman" w:hAnsi="Times New Roman" w:cs="Times New Roman"/>
          <w:color w:val="000000" w:themeColor="text1"/>
          <w:highlight w:val="none"/>
          <w:lang w:eastAsia="zh-CN"/>
          <w14:textFill>
            <w14:solidFill>
              <w14:schemeClr w14:val="tx1"/>
            </w14:solidFill>
          </w14:textFill>
        </w:rPr>
        <w:t>，价格按照</w:t>
      </w:r>
      <w:r>
        <w:rPr>
          <w:rFonts w:hint="default" w:ascii="Times New Roman" w:hAnsi="Times New Roman" w:cs="Times New Roman"/>
          <w:color w:val="000000" w:themeColor="text1"/>
          <w:highlight w:val="none"/>
          <w:lang w:val="en-US" w:eastAsia="zh-CN"/>
          <w14:textFill>
            <w14:solidFill>
              <w14:schemeClr w14:val="tx1"/>
            </w14:solidFill>
          </w14:textFill>
        </w:rPr>
        <w:t>1500元/t计，</w:t>
      </w:r>
      <w:r>
        <w:rPr>
          <w:rFonts w:hint="default" w:ascii="Times New Roman" w:hAnsi="Times New Roman" w:cs="Times New Roman"/>
          <w:color w:val="000000" w:themeColor="text1"/>
          <w:highlight w:val="none"/>
          <w14:textFill>
            <w14:solidFill>
              <w14:schemeClr w14:val="tx1"/>
            </w14:solidFill>
          </w14:textFill>
        </w:rPr>
        <w:t>则临时占用耕地损失</w:t>
      </w:r>
      <w:r>
        <w:rPr>
          <w:rFonts w:hint="eastAsia" w:cs="Times New Roman"/>
          <w:color w:val="000000" w:themeColor="text1"/>
          <w:highlight w:val="none"/>
          <w:lang w:val="en-US" w:eastAsia="zh-CN"/>
          <w14:textFill>
            <w14:solidFill>
              <w14:schemeClr w14:val="tx1"/>
            </w14:solidFill>
          </w14:textFill>
        </w:rPr>
        <w:t>24.5</w:t>
      </w:r>
      <w:r>
        <w:rPr>
          <w:rFonts w:hint="default" w:ascii="Times New Roman" w:hAnsi="Times New Roman" w:cs="Times New Roman"/>
          <w:color w:val="000000" w:themeColor="text1"/>
          <w:highlight w:val="none"/>
          <w14:textFill>
            <w14:solidFill>
              <w14:schemeClr w14:val="tx1"/>
            </w14:solidFill>
          </w14:textFill>
        </w:rPr>
        <w:t>万元</w:t>
      </w:r>
      <w:r>
        <w:rPr>
          <w:rFonts w:hint="default" w:ascii="Times New Roman" w:hAnsi="Times New Roman" w:cs="Times New Roman"/>
          <w:color w:val="000000" w:themeColor="text1"/>
          <w:highlight w:val="none"/>
          <w:lang w:eastAsia="zh-CN"/>
          <w14:textFill>
            <w14:solidFill>
              <w14:schemeClr w14:val="tx1"/>
            </w14:solidFill>
          </w14:textFill>
        </w:rPr>
        <w:t>。</w:t>
      </w:r>
    </w:p>
    <w:p w14:paraId="1C78AFCA">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u w:val="none"/>
          <w14:textFill>
            <w14:solidFill>
              <w14:schemeClr w14:val="tx1"/>
            </w14:solidFill>
          </w14:textFill>
        </w:rPr>
        <w:t>临时占地自然植被演替的规律是先是一、二年生的植物，3</w:t>
      </w:r>
      <w:r>
        <w:rPr>
          <w:rFonts w:hint="eastAsia" w:cs="Times New Roman"/>
          <w:color w:val="000000" w:themeColor="text1"/>
          <w:highlight w:val="none"/>
          <w:u w:val="none"/>
          <w:lang w:eastAsia="zh-CN"/>
          <w14:textFill>
            <w14:solidFill>
              <w14:schemeClr w14:val="tx1"/>
            </w14:solidFill>
          </w14:textFill>
        </w:rPr>
        <w:t>—</w:t>
      </w:r>
      <w:r>
        <w:rPr>
          <w:rFonts w:hint="default" w:ascii="Times New Roman" w:hAnsi="Times New Roman" w:cs="Times New Roman"/>
          <w:color w:val="000000" w:themeColor="text1"/>
          <w:highlight w:val="none"/>
          <w:u w:val="none"/>
          <w14:textFill>
            <w14:solidFill>
              <w14:schemeClr w14:val="tx1"/>
            </w14:solidFill>
          </w14:textFill>
        </w:rPr>
        <w:t>5年后可恢复到冷篙、杂草类</w:t>
      </w:r>
      <w:r>
        <w:rPr>
          <w:rFonts w:hint="default" w:ascii="Times New Roman" w:hAnsi="Times New Roman" w:cs="Times New Roman"/>
          <w:color w:val="000000" w:themeColor="text1"/>
          <w:highlight w:val="none"/>
          <w:u w:val="none"/>
          <w:lang w:eastAsia="zh-CN"/>
          <w14:textFill>
            <w14:solidFill>
              <w14:schemeClr w14:val="tx1"/>
            </w14:solidFill>
          </w14:textFill>
        </w:rPr>
        <w:t>，</w:t>
      </w:r>
      <w:r>
        <w:rPr>
          <w:rFonts w:hint="default" w:ascii="Times New Roman" w:hAnsi="Times New Roman" w:cs="Times New Roman"/>
          <w:color w:val="000000" w:themeColor="text1"/>
          <w:highlight w:val="none"/>
          <w:u w:val="none"/>
          <w14:textFill>
            <w14:solidFill>
              <w14:schemeClr w14:val="tx1"/>
            </w14:solidFill>
          </w14:textFill>
        </w:rPr>
        <w:t>草地损失草量按1125kg/hm</w:t>
      </w:r>
      <w:r>
        <w:rPr>
          <w:rFonts w:hint="default" w:ascii="Times New Roman" w:hAnsi="Times New Roman" w:cs="Times New Roman"/>
          <w:color w:val="000000" w:themeColor="text1"/>
          <w:highlight w:val="none"/>
          <w:u w:val="none"/>
          <w:vertAlign w:val="superscript"/>
          <w14:textFill>
            <w14:solidFill>
              <w14:schemeClr w14:val="tx1"/>
            </w14:solidFill>
          </w14:textFill>
        </w:rPr>
        <w:t>2</w:t>
      </w:r>
      <w:r>
        <w:rPr>
          <w:rFonts w:hint="default" w:ascii="Times New Roman" w:hAnsi="Times New Roman" w:cs="Times New Roman"/>
          <w:color w:val="000000" w:themeColor="text1"/>
          <w:highlight w:val="none"/>
          <w:u w:val="none"/>
          <w14:textFill>
            <w14:solidFill>
              <w14:schemeClr w14:val="tx1"/>
            </w14:solidFill>
          </w14:textFill>
        </w:rPr>
        <w:t>计算，</w:t>
      </w:r>
      <w:r>
        <w:rPr>
          <w:rFonts w:hint="default" w:ascii="Times New Roman" w:hAnsi="Times New Roman" w:cs="Times New Roman"/>
          <w:color w:val="000000" w:themeColor="text1"/>
          <w:highlight w:val="none"/>
          <w:u w:val="none"/>
          <w:lang w:val="en-US" w:eastAsia="zh-CN"/>
          <w14:textFill>
            <w14:solidFill>
              <w14:schemeClr w14:val="tx1"/>
            </w14:solidFill>
          </w14:textFill>
        </w:rPr>
        <w:t>三年损失草量为</w:t>
      </w:r>
      <w:r>
        <w:rPr>
          <w:rFonts w:hint="eastAsia" w:cs="Times New Roman"/>
          <w:color w:val="000000" w:themeColor="text1"/>
          <w:highlight w:val="none"/>
          <w:u w:val="none"/>
          <w:lang w:val="en-US" w:eastAsia="zh-CN"/>
          <w14:textFill>
            <w14:solidFill>
              <w14:schemeClr w14:val="tx1"/>
            </w14:solidFill>
          </w14:textFill>
        </w:rPr>
        <w:t>42</w:t>
      </w:r>
      <w:r>
        <w:rPr>
          <w:rFonts w:hint="default" w:ascii="Times New Roman" w:hAnsi="Times New Roman" w:cs="Times New Roman"/>
          <w:color w:val="000000" w:themeColor="text1"/>
          <w:highlight w:val="none"/>
          <w:u w:val="none"/>
          <w:lang w:val="en-US" w:eastAsia="zh-CN"/>
          <w14:textFill>
            <w14:solidFill>
              <w14:schemeClr w14:val="tx1"/>
            </w14:solidFill>
          </w14:textFill>
        </w:rPr>
        <w:t>t，</w:t>
      </w:r>
      <w:r>
        <w:rPr>
          <w:rFonts w:hint="default" w:ascii="Times New Roman" w:hAnsi="Times New Roman" w:cs="Times New Roman"/>
          <w:color w:val="000000" w:themeColor="text1"/>
          <w:highlight w:val="none"/>
          <w:u w:val="none"/>
          <w14:textFill>
            <w14:solidFill>
              <w14:schemeClr w14:val="tx1"/>
            </w14:solidFill>
          </w14:textFill>
        </w:rPr>
        <w:t>价格按700元/t计，</w:t>
      </w:r>
      <w:r>
        <w:rPr>
          <w:rFonts w:hint="default" w:ascii="Times New Roman" w:hAnsi="Times New Roman" w:cs="Times New Roman"/>
          <w:color w:val="000000" w:themeColor="text1"/>
          <w:highlight w:val="none"/>
          <w:u w:val="none"/>
          <w:lang w:val="en-US" w:eastAsia="zh-CN"/>
          <w14:textFill>
            <w14:solidFill>
              <w14:schemeClr w14:val="tx1"/>
            </w14:solidFill>
          </w14:textFill>
        </w:rPr>
        <w:t>则临时占地草地损失为</w:t>
      </w:r>
      <w:r>
        <w:rPr>
          <w:rFonts w:hint="eastAsia" w:cs="Times New Roman"/>
          <w:color w:val="000000" w:themeColor="text1"/>
          <w:highlight w:val="none"/>
          <w:u w:val="none"/>
          <w:lang w:val="en-US" w:eastAsia="zh-CN"/>
          <w14:textFill>
            <w14:solidFill>
              <w14:schemeClr w14:val="tx1"/>
            </w14:solidFill>
          </w14:textFill>
        </w:rPr>
        <w:t>2.9</w:t>
      </w:r>
      <w:r>
        <w:rPr>
          <w:rFonts w:hint="default" w:ascii="Times New Roman" w:hAnsi="Times New Roman" w:cs="Times New Roman"/>
          <w:color w:val="000000" w:themeColor="text1"/>
          <w:highlight w:val="none"/>
          <w:u w:val="none"/>
          <w:lang w:val="en-US" w:eastAsia="zh-CN"/>
          <w14:textFill>
            <w14:solidFill>
              <w14:schemeClr w14:val="tx1"/>
            </w14:solidFill>
          </w14:textFill>
        </w:rPr>
        <w:t>万元。</w:t>
      </w:r>
    </w:p>
    <w:p w14:paraId="6B0F1B01">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项目</w:t>
      </w:r>
      <w:r>
        <w:rPr>
          <w:rFonts w:hint="eastAsia"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临时</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占用林地</w:t>
      </w:r>
      <w:r>
        <w:rPr>
          <w:rFonts w:hint="eastAsia"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0.1hm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，主要为杨树，植被恢复费用按照10</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元/m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，则林地植被恢复费</w:t>
      </w:r>
      <w:r>
        <w:rPr>
          <w:rFonts w:hint="eastAsia"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1</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万元。</w:t>
      </w:r>
    </w:p>
    <w:p w14:paraId="4BA903B5">
      <w:pPr>
        <w:pStyle w:val="36"/>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根据《中华人民共和国土地管理法》第四十七条规定：征收土地的，按照被征收土地的原用途给予补偿。被征收土地上的附着物和青苗的补偿标准，由省、自治区、直辖市规定</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由于本工程临时占地的占用期限很短（</w:t>
      </w:r>
      <w:r>
        <w:rPr>
          <w:rFonts w:hint="eastAsia"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lang w:eastAsia="zh-CN"/>
          <w14:textFill>
            <w14:solidFill>
              <w14:schemeClr w14:val="tx1"/>
            </w14:solidFill>
          </w14:textFill>
        </w:rPr>
        <w:t>施工约</w:t>
      </w:r>
      <w:r>
        <w:rPr>
          <w:rFonts w:hint="default" w:ascii="Times New Roman" w:hAnsi="Times New Roman" w:cs="Times New Roman"/>
          <w:color w:val="000000" w:themeColor="text1"/>
          <w:highlight w:val="none"/>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30天</w:t>
      </w:r>
      <w:r>
        <w:rPr>
          <w:rFonts w:hint="default" w:ascii="Times New Roman" w:hAnsi="Times New Roman" w:cs="Times New Roman"/>
          <w:color w:val="000000" w:themeColor="text1"/>
          <w:highlight w:val="none"/>
          <w14:textFill>
            <w14:solidFill>
              <w14:schemeClr w14:val="tx1"/>
            </w14:solidFill>
          </w14:textFill>
        </w:rPr>
        <w:t>），在完工后可以及时恢复，所以不会对当地植被产生大的影响。生态影响减缓及恢复见表5.7-1</w:t>
      </w:r>
      <w:r>
        <w:rPr>
          <w:rFonts w:hint="default" w:ascii="Times New Roman" w:hAnsi="Times New Roman" w:cs="Times New Roman"/>
          <w:color w:val="000000" w:themeColor="text1"/>
          <w:highlight w:val="none"/>
          <w:lang w:eastAsia="zh-CN"/>
          <w14:textFill>
            <w14:solidFill>
              <w14:schemeClr w14:val="tx1"/>
            </w14:solidFill>
          </w14:textFill>
        </w:rPr>
        <w:t>。</w:t>
      </w:r>
    </w:p>
    <w:p w14:paraId="48E63204">
      <w:pPr>
        <w:pStyle w:val="38"/>
        <w:keepNext w:val="0"/>
        <w:keepLines w:val="0"/>
        <w:pageBreakBefore w:val="0"/>
        <w:widowControl w:val="0"/>
        <w:tabs>
          <w:tab w:val="left" w:pos="3960"/>
          <w:tab w:val="clear" w:pos="1686"/>
        </w:tabs>
        <w:kinsoku/>
        <w:wordWrap/>
        <w:topLinePunct w:val="0"/>
        <w:bidi w:val="0"/>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表5.7-1</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eastAsia="zh-CN"/>
          <w14:textFill>
            <w14:solidFill>
              <w14:schemeClr w14:val="tx1"/>
            </w14:solidFill>
          </w14:textFill>
        </w:rPr>
        <w:t>生态影响减缓及恢复措施表</w:t>
      </w:r>
      <w:r>
        <w:rPr>
          <w:rFonts w:hint="default" w:ascii="Times New Roman" w:hAnsi="Times New Roman" w:cs="Times New Roman"/>
          <w:color w:val="000000" w:themeColor="text1"/>
          <w:highlight w:val="none"/>
          <w:lang w:val="en-US" w:eastAsia="zh-CN"/>
          <w14:textFill>
            <w14:solidFill>
              <w14:schemeClr w14:val="tx1"/>
            </w14:solidFill>
          </w14:textFill>
        </w:rPr>
        <w:t>单位：hm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p>
    <w:tbl>
      <w:tblPr>
        <w:tblStyle w:val="58"/>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55"/>
        <w:gridCol w:w="973"/>
        <w:gridCol w:w="2229"/>
        <w:gridCol w:w="2028"/>
        <w:gridCol w:w="2484"/>
        <w:gridCol w:w="1019"/>
      </w:tblGrid>
      <w:tr w14:paraId="3BAA6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0" w:type="auto"/>
            <w:tcBorders>
              <w:tl2br w:val="nil"/>
              <w:tr2bl w:val="nil"/>
            </w:tcBorders>
            <w:vAlign w:val="center"/>
          </w:tcPr>
          <w:p w14:paraId="5547F0B5">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序号</w:t>
            </w:r>
          </w:p>
        </w:tc>
        <w:tc>
          <w:tcPr>
            <w:tcW w:w="973" w:type="dxa"/>
            <w:tcBorders>
              <w:tl2br w:val="nil"/>
              <w:tr2bl w:val="nil"/>
            </w:tcBorders>
            <w:vAlign w:val="center"/>
          </w:tcPr>
          <w:p w14:paraId="2197C203">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项目</w:t>
            </w:r>
          </w:p>
        </w:tc>
        <w:tc>
          <w:tcPr>
            <w:tcW w:w="2229" w:type="dxa"/>
            <w:tcBorders>
              <w:tl2br w:val="nil"/>
              <w:tr2bl w:val="nil"/>
            </w:tcBorders>
            <w:vAlign w:val="center"/>
          </w:tcPr>
          <w:p w14:paraId="5FD05296">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占地类型</w:t>
            </w:r>
          </w:p>
        </w:tc>
        <w:tc>
          <w:tcPr>
            <w:tcW w:w="2028" w:type="dxa"/>
            <w:tcBorders>
              <w:tl2br w:val="nil"/>
              <w:tr2bl w:val="nil"/>
            </w:tcBorders>
            <w:vAlign w:val="center"/>
          </w:tcPr>
          <w:p w14:paraId="018A2B0C">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措施</w:t>
            </w:r>
          </w:p>
        </w:tc>
        <w:tc>
          <w:tcPr>
            <w:tcW w:w="2484" w:type="dxa"/>
            <w:tcBorders>
              <w:tl2br w:val="nil"/>
              <w:tr2bl w:val="nil"/>
            </w:tcBorders>
            <w:vAlign w:val="center"/>
          </w:tcPr>
          <w:p w14:paraId="3D5B28AD">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补偿恢复类型</w:t>
            </w:r>
          </w:p>
        </w:tc>
        <w:tc>
          <w:tcPr>
            <w:tcW w:w="1019" w:type="dxa"/>
            <w:tcBorders>
              <w:tl2br w:val="nil"/>
              <w:tr2bl w:val="nil"/>
            </w:tcBorders>
            <w:vAlign w:val="center"/>
          </w:tcPr>
          <w:p w14:paraId="1077B84A">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占地工程内容</w:t>
            </w:r>
          </w:p>
        </w:tc>
      </w:tr>
      <w:tr w14:paraId="10282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555" w:type="dxa"/>
            <w:vMerge w:val="restart"/>
            <w:tcBorders>
              <w:tl2br w:val="nil"/>
              <w:tr2bl w:val="nil"/>
            </w:tcBorders>
            <w:vAlign w:val="center"/>
          </w:tcPr>
          <w:p w14:paraId="46A4FC7D">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973" w:type="dxa"/>
            <w:vMerge w:val="restart"/>
            <w:tcBorders>
              <w:tl2br w:val="nil"/>
              <w:tr2bl w:val="nil"/>
            </w:tcBorders>
            <w:vAlign w:val="center"/>
          </w:tcPr>
          <w:p w14:paraId="4B444B74">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临时占地恢复</w:t>
            </w:r>
          </w:p>
        </w:tc>
        <w:tc>
          <w:tcPr>
            <w:tcW w:w="2229" w:type="dxa"/>
            <w:tcBorders>
              <w:bottom w:val="single" w:color="auto" w:sz="4" w:space="0"/>
              <w:tl2br w:val="nil"/>
              <w:tr2bl w:val="nil"/>
            </w:tcBorders>
            <w:vAlign w:val="center"/>
          </w:tcPr>
          <w:p w14:paraId="3FD08E5E">
            <w:pPr>
              <w:pStyle w:val="4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耕地（（基本农田）</w:t>
            </w:r>
          </w:p>
        </w:tc>
        <w:tc>
          <w:tcPr>
            <w:tcW w:w="2028" w:type="dxa"/>
            <w:tcBorders>
              <w:bottom w:val="single" w:color="auto" w:sz="4" w:space="0"/>
              <w:tl2br w:val="nil"/>
              <w:tr2bl w:val="nil"/>
            </w:tcBorders>
            <w:vAlign w:val="center"/>
          </w:tcPr>
          <w:p w14:paraId="174B8BE0">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平整、恢复耕地</w:t>
            </w:r>
            <w:r>
              <w:rPr>
                <w:rFonts w:hint="eastAsia" w:ascii="Times New Roman" w:hAnsi="Times New Roman" w:cs="Times New Roman"/>
                <w:color w:val="000000" w:themeColor="text1"/>
                <w:highlight w:val="none"/>
                <w:lang w:val="en-US" w:eastAsia="zh-CN"/>
                <w14:textFill>
                  <w14:solidFill>
                    <w14:schemeClr w14:val="tx1"/>
                  </w14:solidFill>
                </w14:textFill>
              </w:rPr>
              <w:t>12.12</w:t>
            </w:r>
          </w:p>
        </w:tc>
        <w:tc>
          <w:tcPr>
            <w:tcW w:w="2484" w:type="dxa"/>
            <w:tcBorders>
              <w:bottom w:val="single" w:color="auto" w:sz="4" w:space="0"/>
              <w:tl2br w:val="nil"/>
              <w:tr2bl w:val="nil"/>
            </w:tcBorders>
            <w:vAlign w:val="center"/>
          </w:tcPr>
          <w:p w14:paraId="46571CB4">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恢复地表形态，及时复垦</w:t>
            </w:r>
          </w:p>
        </w:tc>
        <w:tc>
          <w:tcPr>
            <w:tcW w:w="1019" w:type="dxa"/>
            <w:vMerge w:val="restart"/>
            <w:tcBorders>
              <w:tl2br w:val="nil"/>
              <w:tr2bl w:val="nil"/>
            </w:tcBorders>
            <w:vAlign w:val="center"/>
          </w:tcPr>
          <w:p w14:paraId="11ECB1BA">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管道施工</w:t>
            </w:r>
          </w:p>
        </w:tc>
      </w:tr>
      <w:tr w14:paraId="2F696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555" w:type="dxa"/>
            <w:vMerge w:val="continue"/>
            <w:tcBorders>
              <w:tl2br w:val="nil"/>
              <w:tr2bl w:val="nil"/>
            </w:tcBorders>
            <w:vAlign w:val="center"/>
          </w:tcPr>
          <w:p w14:paraId="16E2022E">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973" w:type="dxa"/>
            <w:vMerge w:val="continue"/>
            <w:tcBorders>
              <w:tl2br w:val="nil"/>
              <w:tr2bl w:val="nil"/>
            </w:tcBorders>
            <w:vAlign w:val="center"/>
          </w:tcPr>
          <w:p w14:paraId="2446EF4E">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2229" w:type="dxa"/>
            <w:tcBorders>
              <w:top w:val="single" w:color="auto" w:sz="4" w:space="0"/>
              <w:bottom w:val="single" w:color="auto" w:sz="4" w:space="0"/>
              <w:tl2br w:val="nil"/>
              <w:tr2bl w:val="nil"/>
            </w:tcBorders>
            <w:vAlign w:val="center"/>
          </w:tcPr>
          <w:p w14:paraId="0D5DA750">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草地（非基本草原）</w:t>
            </w:r>
          </w:p>
        </w:tc>
        <w:tc>
          <w:tcPr>
            <w:tcW w:w="2028" w:type="dxa"/>
            <w:tcBorders>
              <w:top w:val="single" w:color="auto" w:sz="4" w:space="0"/>
              <w:bottom w:val="single" w:color="auto" w:sz="4" w:space="0"/>
              <w:tl2br w:val="nil"/>
              <w:tr2bl w:val="nil"/>
            </w:tcBorders>
            <w:vAlign w:val="center"/>
          </w:tcPr>
          <w:p w14:paraId="43BD0992">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草地平整</w:t>
            </w:r>
            <w:r>
              <w:rPr>
                <w:rFonts w:hint="eastAsia" w:ascii="Times New Roman" w:hAnsi="Times New Roman" w:cs="Times New Roman"/>
                <w:color w:val="000000" w:themeColor="text1"/>
                <w:highlight w:val="none"/>
                <w:lang w:val="en-US" w:eastAsia="zh-CN"/>
                <w14:textFill>
                  <w14:solidFill>
                    <w14:schemeClr w14:val="tx1"/>
                  </w14:solidFill>
                </w14:textFill>
              </w:rPr>
              <w:t>12.56</w:t>
            </w:r>
          </w:p>
        </w:tc>
        <w:tc>
          <w:tcPr>
            <w:tcW w:w="2484" w:type="dxa"/>
            <w:tcBorders>
              <w:top w:val="single" w:color="auto" w:sz="4" w:space="0"/>
              <w:bottom w:val="single" w:color="auto" w:sz="4" w:space="0"/>
              <w:tl2br w:val="nil"/>
              <w:tr2bl w:val="nil"/>
            </w:tcBorders>
            <w:vAlign w:val="center"/>
          </w:tcPr>
          <w:p w14:paraId="715236A3">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自然恢复</w:t>
            </w:r>
          </w:p>
        </w:tc>
        <w:tc>
          <w:tcPr>
            <w:tcW w:w="1019" w:type="dxa"/>
            <w:vMerge w:val="continue"/>
            <w:tcBorders>
              <w:tl2br w:val="nil"/>
              <w:tr2bl w:val="nil"/>
            </w:tcBorders>
            <w:vAlign w:val="center"/>
          </w:tcPr>
          <w:p w14:paraId="422F2F17">
            <w:pPr>
              <w:pStyle w:val="49"/>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19177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555" w:type="dxa"/>
            <w:vMerge w:val="continue"/>
            <w:tcBorders>
              <w:tl2br w:val="nil"/>
              <w:tr2bl w:val="nil"/>
            </w:tcBorders>
            <w:vAlign w:val="center"/>
          </w:tcPr>
          <w:p w14:paraId="6697FAD9">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973" w:type="dxa"/>
            <w:vMerge w:val="continue"/>
            <w:tcBorders>
              <w:tl2br w:val="nil"/>
              <w:tr2bl w:val="nil"/>
            </w:tcBorders>
            <w:vAlign w:val="center"/>
          </w:tcPr>
          <w:p w14:paraId="1991FC10">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2229" w:type="dxa"/>
            <w:tcBorders>
              <w:top w:val="single" w:color="auto" w:sz="4" w:space="0"/>
              <w:tl2br w:val="nil"/>
              <w:tr2bl w:val="nil"/>
            </w:tcBorders>
            <w:vAlign w:val="center"/>
          </w:tcPr>
          <w:p w14:paraId="3DFA26B3">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林地</w:t>
            </w:r>
          </w:p>
        </w:tc>
        <w:tc>
          <w:tcPr>
            <w:tcW w:w="2028" w:type="dxa"/>
            <w:tcBorders>
              <w:top w:val="single" w:color="auto" w:sz="4" w:space="0"/>
              <w:tl2br w:val="nil"/>
              <w:tr2bl w:val="nil"/>
            </w:tcBorders>
            <w:vAlign w:val="center"/>
          </w:tcPr>
          <w:p w14:paraId="5FC6E300">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林地平整、恢复0.1</w:t>
            </w:r>
          </w:p>
        </w:tc>
        <w:tc>
          <w:tcPr>
            <w:tcW w:w="2484" w:type="dxa"/>
            <w:tcBorders>
              <w:top w:val="single" w:color="auto" w:sz="4" w:space="0"/>
              <w:tl2br w:val="nil"/>
              <w:tr2bl w:val="nil"/>
            </w:tcBorders>
            <w:vAlign w:val="center"/>
          </w:tcPr>
          <w:p w14:paraId="6C919F3D">
            <w:pPr>
              <w:pStyle w:val="49"/>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bidi="ar-SA"/>
                <w14:textFill>
                  <w14:solidFill>
                    <w14:schemeClr w14:val="tx1"/>
                  </w14:solidFill>
                </w14:textFill>
              </w:rPr>
              <w:t>施工时进行表土留存，分层回填，整平翻松，将临时用地内移栽的林木重新栽种，一年内恢复林业生产条件</w:t>
            </w:r>
          </w:p>
        </w:tc>
        <w:tc>
          <w:tcPr>
            <w:tcW w:w="1019" w:type="dxa"/>
            <w:vMerge w:val="continue"/>
            <w:tcBorders>
              <w:tl2br w:val="nil"/>
              <w:tr2bl w:val="nil"/>
            </w:tcBorders>
            <w:vAlign w:val="center"/>
          </w:tcPr>
          <w:p w14:paraId="1CA910CB">
            <w:pPr>
              <w:pStyle w:val="49"/>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p>
        </w:tc>
      </w:tr>
    </w:tbl>
    <w:p w14:paraId="41456EBB">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）对</w:t>
      </w:r>
      <w:r>
        <w:rPr>
          <w:rFonts w:hint="default" w:ascii="Times New Roman" w:hAnsi="Times New Roman" w:cs="Times New Roman"/>
          <w:color w:val="000000" w:themeColor="text1"/>
          <w:highlight w:val="none"/>
          <w:lang w:val="en-US" w:eastAsia="zh-CN"/>
          <w14:textFill>
            <w14:solidFill>
              <w14:schemeClr w14:val="tx1"/>
            </w14:solidFill>
          </w14:textFill>
        </w:rPr>
        <w:t>野生</w:t>
      </w:r>
      <w:r>
        <w:rPr>
          <w:rFonts w:hint="default" w:ascii="Times New Roman" w:hAnsi="Times New Roman" w:cs="Times New Roman"/>
          <w:color w:val="000000" w:themeColor="text1"/>
          <w:highlight w:val="none"/>
          <w14:textFill>
            <w14:solidFill>
              <w14:schemeClr w14:val="tx1"/>
            </w14:solidFill>
          </w14:textFill>
        </w:rPr>
        <w:t>动物的影响分析</w:t>
      </w:r>
    </w:p>
    <w:p w14:paraId="2ACC18A0">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本项目所在区域</w:t>
      </w:r>
      <w:r>
        <w:rPr>
          <w:rFonts w:hint="default" w:ascii="Times New Roman" w:hAnsi="Times New Roman" w:cs="Times New Roman"/>
          <w:color w:val="000000" w:themeColor="text1"/>
          <w:highlight w:val="none"/>
          <w:lang w:eastAsia="zh-CN"/>
          <w14:textFill>
            <w14:solidFill>
              <w14:schemeClr w14:val="tx1"/>
            </w14:solidFill>
          </w14:textFill>
        </w:rPr>
        <w:t>为典型农区</w:t>
      </w:r>
      <w:r>
        <w:rPr>
          <w:rFonts w:hint="default" w:ascii="Times New Roman" w:hAnsi="Times New Roman" w:cs="Times New Roman"/>
          <w:color w:val="000000" w:themeColor="text1"/>
          <w:highlight w:val="none"/>
          <w14:textFill>
            <w14:solidFill>
              <w14:schemeClr w14:val="tx1"/>
            </w14:solidFill>
          </w14:textFill>
        </w:rPr>
        <w:t>，区内野生动物种类、数量均较少</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经调查，本项目评价区不是国家重点保护野生动物的集中栖息地和繁殖地，区内野生动物仅为一些常见种类，例如小家鼠、普通田鼠、野兔，以及喜鹊、小嘴乌鸦、麻雀、家燕等村栖型动物。区块开发占用部分土地，会对当地野生动物栖息环境产生一定的影响，栖息地的减少使动物的活动空间减少，且井间道路的阻隔，使一些小型动物的活动范围受限。</w:t>
      </w:r>
    </w:p>
    <w:p w14:paraId="56A539B8">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由于本项目占地面积较小，且区内主要为小型动物，其领地面积相对较小，整体来说，项目建设对其栖息地的影响并不十分明显。</w:t>
      </w:r>
    </w:p>
    <w:p w14:paraId="3C10618C">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对防沙治沙区的影响分析</w:t>
      </w:r>
    </w:p>
    <w:p w14:paraId="2E6523B7">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根据黑龙江省防沙治沙工作领导小组《关于印发</w:t>
      </w:r>
      <w:r>
        <w:rPr>
          <w:rFonts w:hint="eastAsia"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关于贯彻落实《沙化土地封禁保护修复制度方案》的实施意见</w:t>
      </w:r>
      <w:r>
        <w:rPr>
          <w:rFonts w:hint="eastAsia" w:eastAsia="宋体" w:cs="Times New Roman"/>
          <w:snapToGrid w:val="0"/>
          <w:color w:val="000000" w:themeColor="text1"/>
          <w:sz w:val="24"/>
          <w:szCs w:val="24"/>
          <w:highlight w:val="none"/>
          <w:lang w:eastAsia="zh-CN"/>
          <w14:textFill>
            <w14:solidFill>
              <w14:schemeClr w14:val="tx1"/>
            </w14:solidFill>
          </w14:textFill>
        </w:rPr>
        <w:t>〉的通知》</w:t>
      </w:r>
      <w:r>
        <w:rPr>
          <w:rFonts w:hint="default" w:ascii="Times New Roman" w:hAnsi="Times New Roman" w:cs="Times New Roman"/>
          <w:color w:val="000000" w:themeColor="text1"/>
          <w:highlight w:val="none"/>
          <w14:textFill>
            <w14:solidFill>
              <w14:schemeClr w14:val="tx1"/>
            </w14:solidFill>
          </w14:textFill>
        </w:rPr>
        <w:t>，大庆市大同区属于沙化土地所在县（区），要全面加强沙区环境影响评价制度的执行</w:t>
      </w:r>
      <w:r>
        <w:rPr>
          <w:rFonts w:hint="default" w:ascii="Times New Roman" w:hAnsi="Times New Roman" w:cs="Times New Roman"/>
          <w:color w:val="000000" w:themeColor="text1"/>
          <w:highlight w:val="none"/>
          <w:lang w:eastAsia="zh-CN"/>
          <w14:textFill>
            <w14:solidFill>
              <w14:schemeClr w14:val="tx1"/>
            </w14:solidFill>
          </w14:textFill>
        </w:rPr>
        <w:t>。</w:t>
      </w:r>
    </w:p>
    <w:p w14:paraId="1C32F927">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根据现场调查，项目占地区域未出现土壤沙化现象</w:t>
      </w:r>
      <w:r>
        <w:rPr>
          <w:rFonts w:hint="default" w:ascii="Times New Roman" w:hAnsi="Times New Roman" w:cs="Times New Roman"/>
          <w:color w:val="000000" w:themeColor="text1"/>
          <w:highlight w:val="none"/>
          <w:lang w:eastAsia="zh-CN"/>
          <w14:textFill>
            <w14:solidFill>
              <w14:schemeClr w14:val="tx1"/>
            </w14:solidFill>
          </w14:textFill>
        </w:rPr>
        <w:t>，主要地类为土壤性能良好的耕地</w:t>
      </w:r>
      <w:r>
        <w:rPr>
          <w:rFonts w:hint="eastAsia" w:cs="Times New Roman"/>
          <w:color w:val="000000" w:themeColor="text1"/>
          <w:highlight w:val="none"/>
          <w:lang w:eastAsia="zh-CN"/>
          <w14:textFill>
            <w14:solidFill>
              <w14:schemeClr w14:val="tx1"/>
            </w14:solidFill>
          </w14:textFill>
        </w:rPr>
        <w:t>、草地、林地</w:t>
      </w:r>
      <w:r>
        <w:rPr>
          <w:rFonts w:hint="default" w:ascii="Times New Roman" w:hAnsi="Times New Roman" w:cs="Times New Roman"/>
          <w:color w:val="000000" w:themeColor="text1"/>
          <w:highlight w:val="none"/>
          <w:lang w:eastAsia="zh-CN"/>
          <w14:textFill>
            <w14:solidFill>
              <w14:schemeClr w14:val="tx1"/>
            </w14:solidFill>
          </w14:textFill>
        </w:rPr>
        <w:t>，周边村屯、道路两侧杨树林绿化较高，</w:t>
      </w:r>
      <w:r>
        <w:rPr>
          <w:rFonts w:hint="default" w:ascii="Times New Roman" w:hAnsi="Times New Roman" w:cs="Times New Roman"/>
          <w:color w:val="000000" w:themeColor="text1"/>
          <w:highlight w:val="none"/>
          <w14:textFill>
            <w14:solidFill>
              <w14:schemeClr w14:val="tx1"/>
            </w14:solidFill>
          </w14:textFill>
        </w:rPr>
        <w:t>为保护区域生态环境，针对本工程的具体特点，应制定生态环境影响减缓措施和防沙治沙措施。</w:t>
      </w:r>
    </w:p>
    <w:p w14:paraId="0F9D3227">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t>施工结束后及时有效地对占地区域土地进行平整并压实</w:t>
      </w:r>
      <w:r>
        <w:rPr>
          <w:rFonts w:hint="eastAsia" w:cs="Times New Roman"/>
          <w:color w:val="000000" w:themeColor="text1"/>
          <w:highlight w:val="none"/>
          <w:lang w:eastAsia="zh-CN"/>
          <w14:textFill>
            <w14:solidFill>
              <w14:schemeClr w14:val="tx1"/>
            </w14:solidFill>
          </w14:textFill>
        </w:rPr>
        <w:t>，有</w:t>
      </w:r>
      <w:r>
        <w:rPr>
          <w:rFonts w:hint="default" w:ascii="Times New Roman" w:hAnsi="Times New Roman" w:cs="Times New Roman"/>
          <w:color w:val="000000" w:themeColor="text1"/>
          <w:highlight w:val="none"/>
          <w14:textFill>
            <w14:solidFill>
              <w14:schemeClr w14:val="tx1"/>
            </w14:solidFill>
          </w14:textFill>
        </w:rPr>
        <w:t>利于植被自然恢复。</w:t>
      </w:r>
    </w:p>
    <w:p w14:paraId="60CCBB5B">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t>施工时要特别注意保护原始地表与天然植被，施工尽量缩小占地面积，划定施工活动范围，严格控制和管理车辆及重型机械的运行范围，所有车辆采用“一”字型作业法，避免并行开辟新路，以减少风蚀沙化活动的范围。</w:t>
      </w:r>
    </w:p>
    <w:p w14:paraId="01A548C5">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t>施工作业避免在大风天施工。</w:t>
      </w:r>
    </w:p>
    <w:p w14:paraId="2EB79F46">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④</w:t>
      </w:r>
      <w:r>
        <w:rPr>
          <w:rFonts w:hint="default" w:ascii="Times New Roman" w:hAnsi="Times New Roman" w:cs="Times New Roman"/>
          <w:color w:val="000000" w:themeColor="text1"/>
          <w:highlight w:val="none"/>
          <w14:textFill>
            <w14:solidFill>
              <w14:schemeClr w14:val="tx1"/>
            </w14:solidFill>
          </w14:textFill>
        </w:rPr>
        <w:t>根据当</w:t>
      </w:r>
      <w:r>
        <w:rPr>
          <w:rFonts w:hint="eastAsia" w:cs="Times New Roman"/>
          <w:color w:val="000000" w:themeColor="text1"/>
          <w:highlight w:val="none"/>
          <w:lang w:eastAsia="zh-CN"/>
          <w14:textFill>
            <w14:solidFill>
              <w14:schemeClr w14:val="tx1"/>
            </w14:solidFill>
          </w14:textFill>
        </w:rPr>
        <w:t>地实实</w:t>
      </w:r>
      <w:r>
        <w:rPr>
          <w:rFonts w:hint="default" w:ascii="Times New Roman" w:hAnsi="Times New Roman" w:cs="Times New Roman"/>
          <w:color w:val="000000" w:themeColor="text1"/>
          <w:highlight w:val="none"/>
          <w14:textFill>
            <w14:solidFill>
              <w14:schemeClr w14:val="tx1"/>
            </w14:solidFill>
          </w14:textFill>
        </w:rPr>
        <w:t>际情况、环境特征及原生植被特点和生存种类，建立乔、灌、草结合，网、带、片结合的沙地植被防护体系。裸露沙地，以种植草本和灌木植物为主。</w:t>
      </w:r>
    </w:p>
    <w:p w14:paraId="57752AC7">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通过以上措施，可有效防止土地沙化。</w:t>
      </w:r>
    </w:p>
    <w:p w14:paraId="4E75C9B0">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对水土流失的影响分析</w:t>
      </w:r>
    </w:p>
    <w:p w14:paraId="39B67409">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14:textFill>
            <w14:solidFill>
              <w14:schemeClr w14:val="tx1"/>
            </w14:solidFill>
          </w14:textFill>
        </w:rPr>
        <w:t>水土流失省级重点治理区</w:t>
      </w:r>
      <w:r>
        <w:rPr>
          <w:rFonts w:hint="eastAsia"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该区域的工作重点是采取工程、林草、封育治理和耕作等措施，进行水、田、林、草、路统一规划、综合治理，增强防洪排涝、抗御干旱等自然灾害的能力。推广先进适用的科技成果，加快治理进度。治理后应强化监督管理和管护，巩固治理成果，促进区域生态环境恢复和经济发展。</w:t>
      </w:r>
    </w:p>
    <w:p w14:paraId="6D42419B">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本工程由于</w:t>
      </w:r>
      <w:r>
        <w:rPr>
          <w:rFonts w:hint="eastAsia"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施工时车辆对土壤的碾压，人员对土壤的践踏，将改变原地表地貌状况，扰动原地貌，改变原地貌的状况和性质。工程施工破坏植被，新地貌失去植物根系的固土作用，雨水直接冲刷疏松、裸露的地表土，造成水土流失；施工过程中，开挖回填后产生的弃渣松散堆积，结构疏松，胶结力差，抗侵蚀能力极低，遇暴雨产生径流，加大水土流失。为了更好</w:t>
      </w:r>
      <w:r>
        <w:rPr>
          <w:rFonts w:hint="eastAsia" w:cs="Times New Roman"/>
          <w:color w:val="000000" w:themeColor="text1"/>
          <w:highlight w:val="none"/>
          <w:lang w:eastAsia="zh-CN"/>
          <w14:textFill>
            <w14:solidFill>
              <w14:schemeClr w14:val="tx1"/>
            </w14:solidFill>
          </w14:textFill>
        </w:rPr>
        <w:t>地</w:t>
      </w:r>
      <w:r>
        <w:rPr>
          <w:rFonts w:hint="default" w:ascii="Times New Roman" w:hAnsi="Times New Roman" w:cs="Times New Roman"/>
          <w:color w:val="000000" w:themeColor="text1"/>
          <w:highlight w:val="none"/>
          <w14:textFill>
            <w14:solidFill>
              <w14:schemeClr w14:val="tx1"/>
            </w14:solidFill>
          </w14:textFill>
        </w:rPr>
        <w:t>保持水土，建议采取以下水土流失防治措施。</w:t>
      </w:r>
    </w:p>
    <w:p w14:paraId="2F8CD601">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t>严格控制各</w:t>
      </w:r>
      <w:r>
        <w:rPr>
          <w:rFonts w:hint="eastAsia"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lang w:val="en-US" w:eastAsia="zh-CN"/>
          <w14:textFill>
            <w14:solidFill>
              <w14:schemeClr w14:val="tx1"/>
            </w14:solidFill>
          </w14:textFill>
        </w:rPr>
        <w:t>施工</w:t>
      </w:r>
      <w:r>
        <w:rPr>
          <w:rFonts w:hint="default" w:ascii="Times New Roman" w:hAnsi="Times New Roman" w:cs="Times New Roman"/>
          <w:color w:val="000000" w:themeColor="text1"/>
          <w:highlight w:val="none"/>
          <w14:textFill>
            <w14:solidFill>
              <w14:schemeClr w14:val="tx1"/>
            </w14:solidFill>
          </w14:textFill>
        </w:rPr>
        <w:t>的作业面积，严格控制和管理车辆及重型机械的运行范围。</w:t>
      </w:r>
    </w:p>
    <w:p w14:paraId="59834A0C">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t>管道工程施工时，应划定施工活动范围，严格控制车辆及重型机械的运行范围，避免</w:t>
      </w:r>
      <w:r>
        <w:rPr>
          <w:rFonts w:hint="eastAsia" w:cs="Times New Roman"/>
          <w:color w:val="000000" w:themeColor="text1"/>
          <w:highlight w:val="none"/>
          <w:lang w:eastAsia="zh-CN"/>
          <w14:textFill>
            <w14:solidFill>
              <w14:schemeClr w14:val="tx1"/>
            </w14:solidFill>
          </w14:textFill>
        </w:rPr>
        <w:t>强行</w:t>
      </w:r>
      <w:r>
        <w:rPr>
          <w:rFonts w:hint="default" w:ascii="Times New Roman" w:hAnsi="Times New Roman" w:cs="Times New Roman"/>
          <w:color w:val="000000" w:themeColor="text1"/>
          <w:highlight w:val="none"/>
          <w14:textFill>
            <w14:solidFill>
              <w14:schemeClr w14:val="tx1"/>
            </w14:solidFill>
          </w14:textFill>
        </w:rPr>
        <w:t>开辟新路。管沟挖、填方应尽量做到互补平衡，以免造成弃土方堆积和过多借土，增加新的水土流失。管沟回填应按层回填，以利于施工带土壤和植被的尽早恢复。回填后应予以平整、压实，以免发生水土流失。对高出地面部分做出水土保持要求，要求高出地面部分回填土按梯形堆放于</w:t>
      </w:r>
      <w:r>
        <w:rPr>
          <w:rFonts w:hint="eastAsia"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上部，堆放后人工进行修整、拍实。</w:t>
      </w:r>
    </w:p>
    <w:p w14:paraId="25F116D9">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eastAsia="宋体" w:cs="Times New Roman"/>
          <w:color w:val="000000" w:themeColor="text1"/>
          <w:highlight w:val="none"/>
          <w:lang w:val="en-US" w:eastAsia="zh-CN"/>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t>做好原有植被恢复工作和人工绿化工作，最大程度的降低因本项目施工建设和生产运行而新增的水土流失量，保护当地较脆弱的草原生态系统。</w:t>
      </w:r>
    </w:p>
    <w:p w14:paraId="6209986A">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④</w:t>
      </w:r>
      <w:r>
        <w:rPr>
          <w:rFonts w:hint="default" w:ascii="Times New Roman" w:hAnsi="Times New Roman" w:cs="Times New Roman"/>
          <w:color w:val="000000" w:themeColor="text1"/>
          <w:highlight w:val="none"/>
          <w14:textFill>
            <w14:solidFill>
              <w14:schemeClr w14:val="tx1"/>
            </w14:solidFill>
          </w14:textFill>
        </w:rPr>
        <w:t>严禁在大风、大雨天气下施工，特别是管沟开挖、管道回填作业等。在便道出入口，竖立保护植被的警示牌，已提醒施工作业人员，减少人员随意</w:t>
      </w:r>
      <w:r>
        <w:rPr>
          <w:rFonts w:hint="eastAsia" w:cs="Times New Roman"/>
          <w:color w:val="000000" w:themeColor="text1"/>
          <w:highlight w:val="none"/>
          <w:lang w:eastAsia="zh-CN"/>
          <w14:textFill>
            <w14:solidFill>
              <w14:schemeClr w14:val="tx1"/>
            </w14:solidFill>
          </w14:textFill>
        </w:rPr>
        <w:t>踩踏</w:t>
      </w:r>
      <w:r>
        <w:rPr>
          <w:rFonts w:hint="default" w:ascii="Times New Roman" w:hAnsi="Times New Roman" w:cs="Times New Roman"/>
          <w:color w:val="000000" w:themeColor="text1"/>
          <w:highlight w:val="none"/>
          <w14:textFill>
            <w14:solidFill>
              <w14:schemeClr w14:val="tx1"/>
            </w14:solidFill>
          </w14:textFill>
        </w:rPr>
        <w:t>造成的水土流失</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严禁开发建设施工材料乱堆乱放，划定适宜的堆料场，以防对植物破坏范围的扩大，增加裸地面积而新增的水土流失</w:t>
      </w:r>
      <w:r>
        <w:rPr>
          <w:rFonts w:hint="eastAsia" w:cs="Times New Roman"/>
          <w:color w:val="000000" w:themeColor="text1"/>
          <w:highlight w:val="none"/>
          <w:lang w:eastAsia="zh-CN"/>
          <w14:textFill>
            <w14:solidFill>
              <w14:schemeClr w14:val="tx1"/>
            </w14:solidFill>
          </w14:textFill>
        </w:rPr>
        <w:t>。</w:t>
      </w:r>
    </w:p>
    <w:p w14:paraId="05771B9D">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（6）对基本农田的影响分析</w:t>
      </w:r>
    </w:p>
    <w:p w14:paraId="7B45A4E3">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本项目临时占用基本农田12.12hm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p>
    <w:p w14:paraId="4D155FC1">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油田开发工程占地完全避开基本农田的可能性较低，在不可避免的条件下需占用基本农田时，根据《基本农田保护条例（2017修正）》，国家能源、交通、水利、军事设施等重点建设项目选址确实无法避开基本农田保护区，需要占用基本农田，涉及农用地转用或者征收土地的，必须经国务院批准。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14:paraId="6FFE8172">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根据《自然资源部 农业农村部关于加强和改进永久基本农田保护工作的通知》（自然资规[2019]1号），矿业权申请人依法申请战略性矿产探矿权，开展地质勘查需临时用地的，应依法办理临时用地审批手续。石油、天然气、页岩气、煤层气等油气战略性矿产的地质勘查，经批准可临时占用永久基本农田布设探井。在试采和取得采矿权后转为开采井的，可直接依法办理农用地转用和土地征收审批手续，按规定补划永久基本农田。</w:t>
      </w:r>
    </w:p>
    <w:p w14:paraId="4F1B4472">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eastAsia="zh-CN"/>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施工完毕后1年内，临时占地全部恢复原有植被类型，即占用农田全部恢复为耕地。临时占地恢复也可在征地过程中给予农民一定的费用补偿，由农民自行进行土地恢复。</w:t>
      </w:r>
    </w:p>
    <w:p w14:paraId="213F851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）对黑土地的环境影响分析</w:t>
      </w:r>
    </w:p>
    <w:p w14:paraId="371B97B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sz w:val="24"/>
          <w:szCs w:val="20"/>
          <w:highlight w:val="none"/>
          <w:lang w:val="en-US" w:eastAsia="zh-CN"/>
          <w14:textFill>
            <w14:solidFill>
              <w14:schemeClr w14:val="tx1"/>
            </w14:solidFill>
          </w14:textFill>
        </w:rPr>
        <w:t>应在</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本工程实施前编制建设项目占用耕地耕作层土壤剥离利用方案，统筹安排剥离、储存和再利用。表土剥离和利用严格执行《建设占用耕地耕作层土壤剥离利用技术规范》（DB23/T2913-2021）。</w:t>
      </w:r>
    </w:p>
    <w:p w14:paraId="12A6D1C2">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管道施工采取机械、人工分层开挖方式，管线施工作业带除去管线一侧设置的置土带外，管沟及设备区在施工前剥离表土，剥离的表土放在置土带外侧，管沟挖方土放置在置土带内侧，置土带采取先设置编织袋压护，</w:t>
      </w:r>
      <w:r>
        <w:rPr>
          <w:rFonts w:hint="eastAsia" w:eastAsia="宋体" w:cs="Times New Roman"/>
          <w:snapToGrid w:val="0"/>
          <w:color w:val="000000" w:themeColor="text1"/>
          <w:sz w:val="24"/>
          <w:szCs w:val="24"/>
          <w:highlight w:val="none"/>
          <w:vertAlign w:val="baseline"/>
          <w:lang w:val="en-US" w:eastAsia="zh-CN" w:bidi="ar-SA"/>
          <w14:textFill>
            <w14:solidFill>
              <w14:schemeClr w14:val="tx1"/>
            </w14:solidFill>
          </w14:textFill>
        </w:rPr>
        <w:t>再</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采用单行十字形压护</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，底土层另外堆放，</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管道施工结束后，采用分层回填压实，按生、熟土顺序填放，保护耕作层，</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复原时先填心、底土，后平覆表土，</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回填后管沟上方留有自然沉降余量，管沟回填多余的土严禁大量集中弃置，应均匀分散在管道中心两侧，并使管沟与周围地表形成</w:t>
      </w:r>
      <w:r>
        <w:rPr>
          <w:rFonts w:hint="eastAsia" w:eastAsia="宋体" w:cs="Times New Roman"/>
          <w:snapToGrid w:val="0"/>
          <w:color w:val="000000" w:themeColor="text1"/>
          <w:sz w:val="24"/>
          <w:szCs w:val="24"/>
          <w:highlight w:val="none"/>
          <w:vertAlign w:val="baseline"/>
          <w:lang w:val="en-US" w:eastAsia="zh-CN" w:bidi="ar-SA"/>
          <w14:textFill>
            <w14:solidFill>
              <w14:schemeClr w14:val="tx1"/>
            </w14:solidFill>
          </w14:textFill>
        </w:rPr>
        <w:t>平滑过渡</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，不得形成汇水环境</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有效保护黑土地，有效保护黑土地</w:t>
      </w:r>
      <w:r>
        <w:rPr>
          <w:rFonts w:hint="default" w:ascii="Times New Roman" w:hAnsi="Times New Roman" w:cs="Times New Roman"/>
          <w:color w:val="000000" w:themeColor="text1"/>
          <w:highlight w:val="none"/>
          <w14:textFill>
            <w14:solidFill>
              <w14:schemeClr w14:val="tx1"/>
            </w14:solidFill>
          </w14:textFill>
        </w:rPr>
        <w:t>。</w:t>
      </w:r>
    </w:p>
    <w:p w14:paraId="221E3D0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）对</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林地</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的环境影响分析</w:t>
      </w:r>
    </w:p>
    <w:p w14:paraId="01E46309">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本项目临时占用林地</w:t>
      </w:r>
      <w:r>
        <w:rPr>
          <w:rFonts w:hint="default" w:cs="Times New Roman"/>
          <w:color w:val="000000" w:themeColor="text1"/>
          <w:highlight w:val="none"/>
          <w:lang w:val="en-US" w:eastAsia="zh-CN"/>
          <w14:textFill>
            <w14:solidFill>
              <w14:schemeClr w14:val="tx1"/>
            </w14:solidFill>
          </w14:textFill>
        </w:rPr>
        <w:t>0.1</w:t>
      </w:r>
      <w:r>
        <w:rPr>
          <w:rFonts w:hint="eastAsia" w:cs="Times New Roman"/>
          <w:color w:val="000000" w:themeColor="text1"/>
          <w:highlight w:val="none"/>
          <w:lang w:val="en-US" w:eastAsia="zh-CN"/>
          <w14:textFill>
            <w14:solidFill>
              <w14:schemeClr w14:val="tx1"/>
            </w14:solidFill>
          </w14:textFill>
        </w:rPr>
        <w:t>hm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p>
    <w:p w14:paraId="675915F4">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管线的敷设等施工会直接清除地表植被、改变林地地形地貌，破坏乔木、灌木的生长环境，导致局部林地面积缩减。挖掘、碾压等作业会破坏林地土壤结构，降低土壤肥力；雨季易引发水土流失，冲刷表土，进一步影响植被恢复。</w:t>
      </w:r>
    </w:p>
    <w:p w14:paraId="69BE08F1">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管道施工采取机械、人工分层开挖方式，管线施工作业带除去管线一侧设置的置土带外，管沟及设备区在施工前剥离表土，剥离的表土放在置土带外侧，管沟挖方土放置在置土带内侧，置土带采取先设置编织袋压护，</w:t>
      </w:r>
      <w:r>
        <w:rPr>
          <w:rFonts w:hint="eastAsia" w:eastAsia="宋体" w:cs="Times New Roman"/>
          <w:snapToGrid w:val="0"/>
          <w:color w:val="000000" w:themeColor="text1"/>
          <w:sz w:val="24"/>
          <w:szCs w:val="24"/>
          <w:highlight w:val="none"/>
          <w:vertAlign w:val="baseline"/>
          <w:lang w:val="en-US" w:eastAsia="zh-CN" w:bidi="ar-SA"/>
          <w14:textFill>
            <w14:solidFill>
              <w14:schemeClr w14:val="tx1"/>
            </w14:solidFill>
          </w14:textFill>
        </w:rPr>
        <w:t>再</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采用单行十字形压护</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，底土层另外堆放，</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施工结束后，对临时占用的林地，及时平整土壤、恢复地形，对移栽的林木进行恢复，快速建立林地生态结构。</w:t>
      </w:r>
    </w:p>
    <w:p w14:paraId="78F12D75">
      <w:pPr>
        <w:keepNext w:val="0"/>
        <w:keepLines w:val="0"/>
        <w:pageBreakBefore w:val="0"/>
        <w:widowControl w:val="0"/>
        <w:kinsoku/>
        <w:wordWrap/>
        <w:overflowPunct/>
        <w:topLinePunct w:val="0"/>
        <w:autoSpaceDE/>
        <w:autoSpaceDN/>
        <w:bidi w:val="0"/>
        <w:snapToGrid/>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13" w:name="5.6.2运行期生态环境影响分析"/>
      <w:bookmarkEnd w:id="113"/>
      <w:r>
        <w:rPr>
          <w:rFonts w:hint="default" w:ascii="Times New Roman" w:hAnsi="Times New Roman" w:eastAsia="宋体" w:cs="Times New Roman"/>
          <w:b/>
          <w:color w:val="000000" w:themeColor="text1"/>
          <w:sz w:val="28"/>
          <w:szCs w:val="28"/>
          <w:highlight w:val="none"/>
          <w14:textFill>
            <w14:solidFill>
              <w14:schemeClr w14:val="tx1"/>
            </w14:solidFill>
          </w14:textFill>
        </w:rPr>
        <w:t>5.7.2</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运营期</w:t>
      </w:r>
      <w:r>
        <w:rPr>
          <w:rFonts w:hint="default" w:ascii="Times New Roman" w:hAnsi="Times New Roman" w:eastAsia="宋体" w:cs="Times New Roman"/>
          <w:b/>
          <w:color w:val="000000" w:themeColor="text1"/>
          <w:sz w:val="28"/>
          <w:szCs w:val="28"/>
          <w:highlight w:val="none"/>
          <w14:textFill>
            <w14:solidFill>
              <w14:schemeClr w14:val="tx1"/>
            </w14:solidFill>
          </w14:textFill>
        </w:rPr>
        <w:t>生态环境影响分析</w:t>
      </w:r>
    </w:p>
    <w:p w14:paraId="62455473">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本项目生产运营期对生态环境的影响主要是事故状态下对周围生态环境产生的影响。本项目在发生油水</w:t>
      </w:r>
      <w:r>
        <w:rPr>
          <w:rFonts w:hint="eastAsia"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穿孔泄漏等事故状态下会导致油水进入周围环境，对生态环境的影响主要表现为降低土壤透气、透水性，使植物生产受阻，降低周边的耕地产量，同时如果附着在植物上会影响植物的光合作用，造成植物枯萎。因此发生事故时应及时对泄漏的油水进行回收，对被污染的土壤进行清理，清理结束后对受影响的区域进行植被恢复。</w:t>
      </w:r>
    </w:p>
    <w:p w14:paraId="7A3B1781">
      <w:pPr>
        <w:keepNext w:val="0"/>
        <w:keepLines w:val="0"/>
        <w:pageBreakBefore w:val="0"/>
        <w:widowControl w:val="0"/>
        <w:kinsoku/>
        <w:wordWrap/>
        <w:overflowPunct/>
        <w:topLinePunct w:val="0"/>
        <w:autoSpaceDE/>
        <w:autoSpaceDN/>
        <w:bidi w:val="0"/>
        <w:adjustRightInd w:val="0"/>
        <w:snapToGrid/>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bookmarkStart w:id="114" w:name="5.6.3生态环境影响评价结论"/>
      <w:bookmarkEnd w:id="114"/>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5.7.</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3退役期</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生态环境影响分析</w:t>
      </w:r>
    </w:p>
    <w:p w14:paraId="4E3241A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本项目退役期主要是本次新建的</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停止使用，采用清扫后两端封堵直埋，避免</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开挖对生态环境造成影响。</w:t>
      </w:r>
    </w:p>
    <w:p w14:paraId="2EE35D8C">
      <w:pPr>
        <w:keepNext w:val="0"/>
        <w:keepLines w:val="0"/>
        <w:pageBreakBefore w:val="0"/>
        <w:widowControl w:val="0"/>
        <w:kinsoku/>
        <w:wordWrap/>
        <w:overflowPunct/>
        <w:topLinePunct w:val="0"/>
        <w:autoSpaceDE/>
        <w:autoSpaceDN/>
        <w:bidi w:val="0"/>
        <w:snapToGrid/>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5.7.</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14:textFill>
            <w14:solidFill>
              <w14:schemeClr w14:val="tx1"/>
            </w14:solidFill>
          </w14:textFill>
        </w:rPr>
        <w:t>生态环境影响总结</w:t>
      </w:r>
    </w:p>
    <w:p w14:paraId="48EC4F5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管道泄漏含油物质会对生态产生一定的影响，运行期应加强管道巡检，减少事故发生的可能性，运行期对生态环境的影响较小。</w:t>
      </w:r>
    </w:p>
    <w:p w14:paraId="34E80747">
      <w:pPr>
        <w:pStyle w:val="36"/>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可见，只要采取必要的措施，该项目对生态环境的影响不会太大，在生态上可行，生态影响评价自查表见附表4。</w:t>
      </w:r>
    </w:p>
    <w:p w14:paraId="0570CA63">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bCs w:val="0"/>
          <w:color w:val="000000" w:themeColor="text1"/>
          <w:sz w:val="28"/>
          <w:szCs w:val="28"/>
          <w:highlight w:val="none"/>
          <w14:textFill>
            <w14:solidFill>
              <w14:schemeClr w14:val="tx1"/>
            </w14:solidFill>
          </w14:textFill>
        </w:rPr>
      </w:pPr>
      <w:bookmarkStart w:id="115" w:name="_Toc83703772"/>
      <w:bookmarkStart w:id="116" w:name="_Toc83703881"/>
      <w:bookmarkStart w:id="117" w:name="_Toc83803954"/>
      <w:bookmarkStart w:id="118" w:name="_Toc12336"/>
      <w:r>
        <w:rPr>
          <w:rFonts w:hint="default" w:ascii="Times New Roman" w:hAnsi="Times New Roman" w:eastAsia="宋体" w:cs="Times New Roman"/>
          <w:b/>
          <w:bCs w:val="0"/>
          <w:color w:val="000000" w:themeColor="text1"/>
          <w:sz w:val="28"/>
          <w:szCs w:val="28"/>
          <w:highlight w:val="none"/>
          <w14:textFill>
            <w14:solidFill>
              <w14:schemeClr w14:val="tx1"/>
            </w14:solidFill>
          </w14:textFill>
        </w:rPr>
        <w:t>5.8环境风险分析</w:t>
      </w:r>
      <w:bookmarkEnd w:id="115"/>
      <w:bookmarkEnd w:id="116"/>
      <w:bookmarkEnd w:id="117"/>
      <w:bookmarkEnd w:id="118"/>
    </w:p>
    <w:p w14:paraId="317D8141">
      <w:pPr>
        <w:keepNext w:val="0"/>
        <w:keepLines w:val="0"/>
        <w:pageBreakBefore w:val="0"/>
        <w:widowControl w:val="0"/>
        <w:kinsoku/>
        <w:wordWrap/>
        <w:overflowPunct/>
        <w:topLinePunct w:val="0"/>
        <w:autoSpaceDE/>
        <w:autoSpaceDN/>
        <w:bidi w:val="0"/>
        <w:snapToGrid/>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5.8.1风险调查</w:t>
      </w:r>
    </w:p>
    <w:p w14:paraId="18859CAF">
      <w:pPr>
        <w:keepNext w:val="0"/>
        <w:keepLines w:val="0"/>
        <w:pageBreakBefore w:val="0"/>
        <w:widowControl w:val="0"/>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本工程涉及的主要危险物质是集输管道内的原油，天然气，具有易燃、易爆的性质。物料</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的危险性如下：</w:t>
      </w:r>
    </w:p>
    <w:p w14:paraId="4CF1AB5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5.8.1.1原油</w:t>
      </w:r>
    </w:p>
    <w:p w14:paraId="19610EC1">
      <w:pPr>
        <w:pStyle w:val="34"/>
        <w:keepNext w:val="0"/>
        <w:keepLines w:val="0"/>
        <w:pageBreakBefore w:val="0"/>
        <w:widowControl w:val="0"/>
        <w:kinsoku/>
        <w:wordWrap/>
        <w:overflowPunct/>
        <w:topLinePunct w:val="0"/>
        <w:autoSpaceDE/>
        <w:autoSpaceDN/>
        <w:bidi w:val="0"/>
        <w:snapToGrid/>
        <w:spacing w:after="0" w:line="360" w:lineRule="auto"/>
        <w:ind w:firstLine="48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原油是多种碳氢化合物组成的可燃性液体，该项目开采的原油密度为</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8718</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，凝固点</w:t>
      </w:r>
      <w:r>
        <w:rPr>
          <w:rFonts w:hint="eastAsia" w:cs="Times New Roman"/>
          <w:color w:val="000000" w:themeColor="text1"/>
          <w:highlight w:val="none"/>
          <w:lang w:val="en-US" w:eastAsia="zh-CN"/>
          <w14:textFill>
            <w14:solidFill>
              <w14:schemeClr w14:val="tx1"/>
            </w14:solidFill>
          </w14:textFill>
        </w:rPr>
        <w:t>25</w:t>
      </w:r>
      <w:r>
        <w:rPr>
          <w:rFonts w:hint="default" w:ascii="Times New Roman" w:hAnsi="Times New Roman" w:cs="Times New Roman"/>
          <w:color w:val="000000" w:themeColor="text1"/>
          <w:highlight w:val="none"/>
          <w:lang w:val="en-US" w:eastAsia="zh-CN"/>
          <w14:textFill>
            <w14:solidFill>
              <w14:schemeClr w14:val="tx1"/>
            </w14:solidFill>
          </w14:textFill>
        </w:rPr>
        <w:t>℃，含蜡量25.</w:t>
      </w:r>
      <w:r>
        <w:rPr>
          <w:rFonts w:hint="eastAsia" w:cs="Times New Roman"/>
          <w:color w:val="000000" w:themeColor="text1"/>
          <w:highlight w:val="none"/>
          <w:lang w:val="en-US" w:eastAsia="zh-CN"/>
          <w14:textFill>
            <w14:solidFill>
              <w14:schemeClr w14:val="tx1"/>
            </w14:solidFill>
          </w14:textFill>
        </w:rPr>
        <w:t>36</w:t>
      </w:r>
      <w:r>
        <w:rPr>
          <w:rFonts w:hint="default" w:ascii="Times New Roman" w:hAnsi="Times New Roman" w:cs="Times New Roman"/>
          <w:color w:val="000000" w:themeColor="text1"/>
          <w:highlight w:val="none"/>
          <w:lang w:val="en-US" w:eastAsia="zh-CN"/>
          <w14:textFill>
            <w14:solidFill>
              <w14:schemeClr w14:val="tx1"/>
            </w14:solidFill>
          </w14:textFill>
        </w:rPr>
        <w:t>%，原油为低毒性物质。根据《石油化工企业设计防火规范》（GB50160-2008），其为火灾危险性甲类物质。原油的特性见表5.8-1。</w:t>
      </w:r>
    </w:p>
    <w:p w14:paraId="1408BC1E">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Style w:val="43"/>
          <w:rFonts w:hint="default" w:ascii="Times New Roman" w:hAnsi="Times New Roman" w:cs="Times New Roman"/>
          <w:b/>
          <w:color w:val="000000" w:themeColor="text1"/>
          <w:highlight w:val="none"/>
          <w14:textFill>
            <w14:solidFill>
              <w14:schemeClr w14:val="tx1"/>
            </w14:solidFill>
          </w14:textFill>
        </w:rPr>
        <w:t>表5.8</w:t>
      </w:r>
      <w:r>
        <w:rPr>
          <w:rStyle w:val="43"/>
          <w:rFonts w:hint="default" w:ascii="Times New Roman" w:hAnsi="Times New Roman" w:cs="Times New Roman"/>
          <w:b/>
          <w:color w:val="000000" w:themeColor="text1"/>
          <w:highlight w:val="none"/>
          <w:lang w:val="en-US" w:eastAsia="zh-CN"/>
          <w14:textFill>
            <w14:solidFill>
              <w14:schemeClr w14:val="tx1"/>
            </w14:solidFill>
          </w14:textFill>
        </w:rPr>
        <w:t>-1</w:t>
      </w:r>
      <w:r>
        <w:rPr>
          <w:rStyle w:val="43"/>
          <w:rFonts w:hint="eastAsia" w:cs="Times New Roman"/>
          <w:b/>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原油</w:t>
      </w:r>
      <w:r>
        <w:rPr>
          <w:rFonts w:hint="default" w:ascii="Times New Roman" w:hAnsi="Times New Roman" w:cs="Times New Roman"/>
          <w:color w:val="000000" w:themeColor="text1"/>
          <w:highlight w:val="none"/>
          <w:lang w:eastAsia="zh-CN"/>
          <w14:textFill>
            <w14:solidFill>
              <w14:schemeClr w14:val="tx1"/>
            </w14:solidFill>
          </w14:textFill>
        </w:rPr>
        <w:t>理化性质、燃烧爆炸特性和毒理性质一览表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6"/>
        <w:gridCol w:w="1081"/>
        <w:gridCol w:w="996"/>
        <w:gridCol w:w="2103"/>
        <w:gridCol w:w="2566"/>
        <w:gridCol w:w="1856"/>
      </w:tblGrid>
      <w:tr w14:paraId="2C86C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restart"/>
            <w:vAlign w:val="center"/>
          </w:tcPr>
          <w:p w14:paraId="4BDADB1C">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标识</w:t>
            </w:r>
          </w:p>
        </w:tc>
        <w:tc>
          <w:tcPr>
            <w:tcW w:w="2250" w:type="pct"/>
            <w:gridSpan w:val="3"/>
            <w:vAlign w:val="center"/>
          </w:tcPr>
          <w:p w14:paraId="6D248C7A">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中文名称：原油</w:t>
            </w:r>
          </w:p>
        </w:tc>
        <w:tc>
          <w:tcPr>
            <w:tcW w:w="2380" w:type="pct"/>
            <w:gridSpan w:val="2"/>
            <w:vAlign w:val="center"/>
          </w:tcPr>
          <w:p w14:paraId="26CB248F">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英文名：</w:t>
            </w:r>
            <w:r>
              <w:rPr>
                <w:rFonts w:hint="default" w:ascii="Times New Roman" w:hAnsi="Times New Roman" w:eastAsia="Times New Roman" w:cs="Times New Roman"/>
                <w:color w:val="000000" w:themeColor="text1"/>
                <w:highlight w:val="none"/>
                <w14:textFill>
                  <w14:solidFill>
                    <w14:schemeClr w14:val="tx1"/>
                  </w14:solidFill>
                </w14:textFill>
              </w:rPr>
              <w:t>petroleum</w:t>
            </w:r>
          </w:p>
        </w:tc>
      </w:tr>
      <w:tr w14:paraId="0AA7D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5EA862D5">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2250" w:type="pct"/>
            <w:gridSpan w:val="3"/>
            <w:vAlign w:val="center"/>
          </w:tcPr>
          <w:p w14:paraId="4691C20B">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分子式：主要是烃</w:t>
            </w:r>
          </w:p>
        </w:tc>
        <w:tc>
          <w:tcPr>
            <w:tcW w:w="1381" w:type="pct"/>
            <w:vAlign w:val="center"/>
          </w:tcPr>
          <w:p w14:paraId="4EAC6253">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Times New Roman" w:cs="Times New Roman"/>
                <w:color w:val="000000" w:themeColor="text1"/>
                <w:highlight w:val="none"/>
                <w14:textFill>
                  <w14:solidFill>
                    <w14:schemeClr w14:val="tx1"/>
                  </w14:solidFill>
                </w14:textFill>
              </w:rPr>
              <w:t>CAS</w:t>
            </w:r>
            <w:r>
              <w:rPr>
                <w:rFonts w:hint="default" w:ascii="Times New Roman" w:hAnsi="Times New Roman" w:cs="Times New Roman"/>
                <w:color w:val="000000" w:themeColor="text1"/>
                <w:highlight w:val="none"/>
                <w14:textFill>
                  <w14:solidFill>
                    <w14:schemeClr w14:val="tx1"/>
                  </w14:solidFill>
                </w14:textFill>
              </w:rPr>
              <w:t>号：</w:t>
            </w:r>
          </w:p>
        </w:tc>
        <w:tc>
          <w:tcPr>
            <w:tcW w:w="999" w:type="pct"/>
            <w:vAlign w:val="center"/>
          </w:tcPr>
          <w:p w14:paraId="5C7D225F">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14:paraId="4B3E2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2A8EAF50">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2250" w:type="pct"/>
            <w:gridSpan w:val="3"/>
            <w:vAlign w:val="center"/>
          </w:tcPr>
          <w:p w14:paraId="0AEFE42B">
            <w:pPr>
              <w:pStyle w:val="39"/>
              <w:keepNext w:val="0"/>
              <w:keepLines w:val="0"/>
              <w:pageBreakBefore w:val="0"/>
              <w:widowControl w:val="0"/>
              <w:kinsoku/>
              <w:wordWrap/>
              <w:topLinePunct w:val="0"/>
              <w:bidi w:val="0"/>
              <w:rPr>
                <w:rFonts w:hint="default" w:ascii="Times New Roman" w:hAnsi="Times New Roman" w:eastAsia="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分子量：（根据组分确定）</w:t>
            </w:r>
          </w:p>
        </w:tc>
        <w:tc>
          <w:tcPr>
            <w:tcW w:w="1381" w:type="pct"/>
            <w:vAlign w:val="center"/>
          </w:tcPr>
          <w:p w14:paraId="2C39DA3A">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危险性类别</w:t>
            </w:r>
          </w:p>
        </w:tc>
        <w:tc>
          <w:tcPr>
            <w:tcW w:w="999" w:type="pct"/>
            <w:vAlign w:val="center"/>
          </w:tcPr>
          <w:p w14:paraId="28FA994D">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易燃液体</w:t>
            </w:r>
          </w:p>
        </w:tc>
      </w:tr>
      <w:tr w14:paraId="1DD56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restart"/>
            <w:vAlign w:val="center"/>
          </w:tcPr>
          <w:p w14:paraId="1AC487B2">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理化性质</w:t>
            </w:r>
          </w:p>
        </w:tc>
        <w:tc>
          <w:tcPr>
            <w:tcW w:w="1118" w:type="pct"/>
            <w:gridSpan w:val="2"/>
            <w:vAlign w:val="center"/>
          </w:tcPr>
          <w:p w14:paraId="1CB527B0">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外观与形状</w:t>
            </w:r>
          </w:p>
        </w:tc>
        <w:tc>
          <w:tcPr>
            <w:tcW w:w="3512" w:type="pct"/>
            <w:gridSpan w:val="3"/>
            <w:vAlign w:val="center"/>
          </w:tcPr>
          <w:p w14:paraId="2D29E758">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黑</w:t>
            </w:r>
            <w:r>
              <w:rPr>
                <w:rFonts w:hint="default" w:ascii="Times New Roman" w:hAnsi="Times New Roman" w:cs="Times New Roman"/>
                <w:color w:val="000000" w:themeColor="text1"/>
                <w:highlight w:val="none"/>
                <w:lang w:eastAsia="zh-CN"/>
                <w14:textFill>
                  <w14:solidFill>
                    <w14:schemeClr w14:val="tx1"/>
                  </w14:solidFill>
                </w14:textFill>
              </w:rPr>
              <w:t>褐色</w:t>
            </w:r>
            <w:r>
              <w:rPr>
                <w:rFonts w:hint="default" w:ascii="Times New Roman" w:hAnsi="Times New Roman" w:cs="Times New Roman"/>
                <w:color w:val="000000" w:themeColor="text1"/>
                <w:highlight w:val="none"/>
                <w14:textFill>
                  <w14:solidFill>
                    <w14:schemeClr w14:val="tx1"/>
                  </w14:solidFill>
                </w14:textFill>
              </w:rPr>
              <w:t>黏稠液体</w:t>
            </w:r>
          </w:p>
        </w:tc>
      </w:tr>
      <w:tr w14:paraId="418DA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3D97E85D">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7BB37478">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熔点（℃）</w:t>
            </w:r>
          </w:p>
        </w:tc>
        <w:tc>
          <w:tcPr>
            <w:tcW w:w="1132" w:type="pct"/>
            <w:vAlign w:val="center"/>
          </w:tcPr>
          <w:p w14:paraId="6200A11D">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p>
        </w:tc>
        <w:tc>
          <w:tcPr>
            <w:tcW w:w="1381" w:type="pct"/>
            <w:vAlign w:val="center"/>
          </w:tcPr>
          <w:p w14:paraId="1A26C6B3">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闪点</w:t>
            </w:r>
            <w:r>
              <w:rPr>
                <w:rFonts w:hint="default" w:ascii="Times New Roman" w:hAnsi="Times New Roman" w:cs="Times New Roman"/>
                <w:color w:val="000000" w:themeColor="text1"/>
                <w:highlight w:val="none"/>
                <w14:textFill>
                  <w14:solidFill>
                    <w14:schemeClr w14:val="tx1"/>
                  </w14:solidFill>
                </w14:textFill>
              </w:rPr>
              <w:t>（℃）</w:t>
            </w:r>
          </w:p>
        </w:tc>
        <w:tc>
          <w:tcPr>
            <w:tcW w:w="999" w:type="pct"/>
            <w:vAlign w:val="center"/>
          </w:tcPr>
          <w:p w14:paraId="476DB5AF">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-6.67-32.2</w:t>
            </w:r>
          </w:p>
        </w:tc>
      </w:tr>
      <w:tr w14:paraId="4806B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579289B2">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08408972">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沸程（℃）</w:t>
            </w:r>
          </w:p>
        </w:tc>
        <w:tc>
          <w:tcPr>
            <w:tcW w:w="1132" w:type="pct"/>
            <w:vAlign w:val="center"/>
          </w:tcPr>
          <w:p w14:paraId="0ADEABE9">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常温至</w:t>
            </w:r>
            <w:r>
              <w:rPr>
                <w:rFonts w:hint="default" w:ascii="Times New Roman" w:hAnsi="Times New Roman" w:eastAsia="Times New Roman" w:cs="Times New Roman"/>
                <w:color w:val="000000" w:themeColor="text1"/>
                <w:highlight w:val="none"/>
                <w14:textFill>
                  <w14:solidFill>
                    <w14:schemeClr w14:val="tx1"/>
                  </w14:solidFill>
                </w14:textFill>
              </w:rPr>
              <w:t>500</w:t>
            </w:r>
            <w:r>
              <w:rPr>
                <w:rFonts w:hint="default" w:ascii="Times New Roman" w:hAnsi="Times New Roman" w:cs="Times New Roman"/>
                <w:color w:val="000000" w:themeColor="text1"/>
                <w:highlight w:val="none"/>
                <w14:textFill>
                  <w14:solidFill>
                    <w14:schemeClr w14:val="tx1"/>
                  </w14:solidFill>
                </w14:textFill>
              </w:rPr>
              <w:t>℃以上</w:t>
            </w:r>
          </w:p>
        </w:tc>
        <w:tc>
          <w:tcPr>
            <w:tcW w:w="1381" w:type="pct"/>
            <w:vAlign w:val="center"/>
          </w:tcPr>
          <w:p w14:paraId="59CF67FA">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凝固点</w:t>
            </w:r>
            <w:r>
              <w:rPr>
                <w:rFonts w:hint="default" w:ascii="Times New Roman" w:hAnsi="Times New Roman" w:cs="Times New Roman"/>
                <w:color w:val="000000" w:themeColor="text1"/>
                <w:highlight w:val="none"/>
                <w14:textFill>
                  <w14:solidFill>
                    <w14:schemeClr w14:val="tx1"/>
                  </w14:solidFill>
                </w14:textFill>
              </w:rPr>
              <w:t>（℃）</w:t>
            </w:r>
          </w:p>
        </w:tc>
        <w:tc>
          <w:tcPr>
            <w:tcW w:w="999" w:type="pct"/>
            <w:vAlign w:val="center"/>
          </w:tcPr>
          <w:p w14:paraId="2C0F7752">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18.3-19</w:t>
            </w:r>
          </w:p>
        </w:tc>
      </w:tr>
      <w:tr w14:paraId="75323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9" w:type="pct"/>
            <w:vMerge w:val="continue"/>
            <w:vAlign w:val="center"/>
          </w:tcPr>
          <w:p w14:paraId="2E7F8F24">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6688A18E">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相对密度</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水</w:t>
            </w:r>
            <w:r>
              <w:rPr>
                <w:rFonts w:hint="default" w:ascii="Times New Roman" w:hAnsi="Times New Roman" w:eastAsia="Times New Roman" w:cs="Times New Roman"/>
                <w:color w:val="000000" w:themeColor="text1"/>
                <w:highlight w:val="none"/>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1132" w:type="pct"/>
            <w:vAlign w:val="center"/>
          </w:tcPr>
          <w:p w14:paraId="222D6B50">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0.78-0.97</w:t>
            </w:r>
          </w:p>
        </w:tc>
        <w:tc>
          <w:tcPr>
            <w:tcW w:w="1381" w:type="pct"/>
            <w:vAlign w:val="center"/>
          </w:tcPr>
          <w:p w14:paraId="33F5EC7E">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最大爆炸压力</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102kPa</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999" w:type="pct"/>
            <w:vAlign w:val="center"/>
          </w:tcPr>
          <w:p w14:paraId="56DC2B39">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p>
        </w:tc>
      </w:tr>
      <w:tr w14:paraId="76259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774C2CDD">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39AA1C39">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相对密度</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空气=1</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1132" w:type="pct"/>
            <w:vAlign w:val="center"/>
          </w:tcPr>
          <w:p w14:paraId="1E43C10F">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p>
        </w:tc>
        <w:tc>
          <w:tcPr>
            <w:tcW w:w="1381" w:type="pct"/>
            <w:vAlign w:val="center"/>
          </w:tcPr>
          <w:p w14:paraId="299FC9C6">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最大爆炸压力上升</w:t>
            </w:r>
          </w:p>
          <w:p w14:paraId="7C110AAA">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速率</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102kPa/c</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999" w:type="pct"/>
            <w:vAlign w:val="center"/>
          </w:tcPr>
          <w:p w14:paraId="44B00CA8">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p>
        </w:tc>
      </w:tr>
      <w:tr w14:paraId="26AAF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34971A59">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35F3067C">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燃烧热</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kcal/kg</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1132" w:type="pct"/>
            <w:vAlign w:val="center"/>
          </w:tcPr>
          <w:p w14:paraId="3B849790">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p>
        </w:tc>
        <w:tc>
          <w:tcPr>
            <w:tcW w:w="1381" w:type="pct"/>
            <w:vAlign w:val="center"/>
          </w:tcPr>
          <w:p w14:paraId="616E543D">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爆炸下限</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V%</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999" w:type="pct"/>
            <w:vAlign w:val="center"/>
          </w:tcPr>
          <w:p w14:paraId="24657AC7">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1.1</w:t>
            </w:r>
          </w:p>
        </w:tc>
      </w:tr>
      <w:tr w14:paraId="700D4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5EEFB052">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0B4F35E7">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自燃温度</w:t>
            </w:r>
            <w:r>
              <w:rPr>
                <w:rFonts w:hint="default" w:ascii="Times New Roman" w:hAnsi="Times New Roman" w:cs="Times New Roman"/>
                <w:color w:val="000000" w:themeColor="text1"/>
                <w:highlight w:val="none"/>
                <w14:textFill>
                  <w14:solidFill>
                    <w14:schemeClr w14:val="tx1"/>
                  </w14:solidFill>
                </w14:textFill>
              </w:rPr>
              <w:t>（℃）</w:t>
            </w:r>
          </w:p>
        </w:tc>
        <w:tc>
          <w:tcPr>
            <w:tcW w:w="1132" w:type="pct"/>
            <w:vAlign w:val="center"/>
          </w:tcPr>
          <w:p w14:paraId="215EF5F8">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350</w:t>
            </w:r>
          </w:p>
        </w:tc>
        <w:tc>
          <w:tcPr>
            <w:tcW w:w="1381" w:type="pct"/>
            <w:vAlign w:val="center"/>
          </w:tcPr>
          <w:p w14:paraId="37D3039F">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爆炸上限</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V%</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999" w:type="pct"/>
            <w:vAlign w:val="center"/>
          </w:tcPr>
          <w:p w14:paraId="67CB0C38">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8.7</w:t>
            </w:r>
          </w:p>
        </w:tc>
      </w:tr>
      <w:tr w14:paraId="2A4F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10CFBDE0">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0DA26A54">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燃烧分解产物</w:t>
            </w:r>
          </w:p>
        </w:tc>
        <w:tc>
          <w:tcPr>
            <w:tcW w:w="3512" w:type="pct"/>
            <w:gridSpan w:val="3"/>
            <w:vAlign w:val="center"/>
          </w:tcPr>
          <w:p w14:paraId="7B79DC10">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一氧化碳、二氧化碳</w:t>
            </w:r>
          </w:p>
        </w:tc>
      </w:tr>
      <w:tr w14:paraId="23B72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1893DA25">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1118" w:type="pct"/>
            <w:gridSpan w:val="2"/>
            <w:vAlign w:val="center"/>
          </w:tcPr>
          <w:p w14:paraId="04A0B72E">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溶解性</w:t>
            </w:r>
          </w:p>
        </w:tc>
        <w:tc>
          <w:tcPr>
            <w:tcW w:w="3512" w:type="pct"/>
            <w:gridSpan w:val="3"/>
            <w:vAlign w:val="center"/>
          </w:tcPr>
          <w:p w14:paraId="024F4DBB">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不溶于水，溶于多数有机溶剂</w:t>
            </w:r>
          </w:p>
        </w:tc>
      </w:tr>
      <w:tr w14:paraId="3F379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restart"/>
            <w:vAlign w:val="center"/>
          </w:tcPr>
          <w:p w14:paraId="08579C4C">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毒性及健康危害</w:t>
            </w:r>
          </w:p>
        </w:tc>
        <w:tc>
          <w:tcPr>
            <w:tcW w:w="582" w:type="pct"/>
            <w:vAlign w:val="center"/>
          </w:tcPr>
          <w:p w14:paraId="533103BE">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毒性</w:t>
            </w:r>
          </w:p>
        </w:tc>
        <w:tc>
          <w:tcPr>
            <w:tcW w:w="4048" w:type="pct"/>
            <w:gridSpan w:val="4"/>
            <w:vAlign w:val="center"/>
          </w:tcPr>
          <w:p w14:paraId="75415D96">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LD50：500</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5000mg/kg（哺乳动物吸入）</w:t>
            </w:r>
          </w:p>
        </w:tc>
      </w:tr>
      <w:tr w14:paraId="60B84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13823202">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63D90DA6">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侵入途径</w:t>
            </w:r>
          </w:p>
        </w:tc>
        <w:tc>
          <w:tcPr>
            <w:tcW w:w="4048" w:type="pct"/>
            <w:gridSpan w:val="4"/>
            <w:vAlign w:val="center"/>
          </w:tcPr>
          <w:p w14:paraId="140B476E">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吸入、食入、经皮吸收</w:t>
            </w:r>
          </w:p>
        </w:tc>
      </w:tr>
      <w:tr w14:paraId="718F3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1B8EAFD1">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1EF80D21">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健康危害</w:t>
            </w:r>
          </w:p>
        </w:tc>
        <w:tc>
          <w:tcPr>
            <w:tcW w:w="4048" w:type="pct"/>
            <w:gridSpan w:val="4"/>
            <w:vAlign w:val="center"/>
          </w:tcPr>
          <w:p w14:paraId="2BBB54B1">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原油本身无明显毒性，其不同的产品和中间产品表现出不同的毒</w:t>
            </w:r>
            <w:r>
              <w:rPr>
                <w:rFonts w:hint="default" w:ascii="Times New Roman" w:hAnsi="Times New Roman" w:cs="Times New Roman"/>
                <w:color w:val="000000" w:themeColor="text1"/>
                <w:spacing w:val="-11"/>
                <w:highlight w:val="none"/>
                <w14:textFill>
                  <w14:solidFill>
                    <w14:schemeClr w14:val="tx1"/>
                  </w14:solidFill>
                </w14:textFill>
              </w:rPr>
              <w:t>性，遇热分解释放出有毒的烟雾，吸入大量蒸气能引起神经麻痹</w:t>
            </w:r>
          </w:p>
        </w:tc>
      </w:tr>
      <w:tr w14:paraId="34AF9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restart"/>
            <w:tcBorders>
              <w:top w:val="single" w:color="000000" w:sz="4" w:space="0"/>
            </w:tcBorders>
            <w:vAlign w:val="center"/>
          </w:tcPr>
          <w:p w14:paraId="42636848">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危险特性</w:t>
            </w:r>
          </w:p>
        </w:tc>
        <w:tc>
          <w:tcPr>
            <w:tcW w:w="582" w:type="pct"/>
            <w:tcBorders>
              <w:top w:val="single" w:color="000000" w:sz="4" w:space="0"/>
            </w:tcBorders>
            <w:vAlign w:val="center"/>
          </w:tcPr>
          <w:p w14:paraId="165D227F">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危险特性</w:t>
            </w:r>
          </w:p>
        </w:tc>
        <w:tc>
          <w:tcPr>
            <w:tcW w:w="4048" w:type="pct"/>
            <w:gridSpan w:val="4"/>
            <w:vAlign w:val="center"/>
          </w:tcPr>
          <w:p w14:paraId="736F8B16">
            <w:pPr>
              <w:pStyle w:val="39"/>
              <w:keepNext w:val="0"/>
              <w:keepLines w:val="0"/>
              <w:pageBreakBefore w:val="0"/>
              <w:widowControl w:val="0"/>
              <w:kinsoku/>
              <w:wordWrap/>
              <w:overflowPunct/>
              <w:topLinePunct w:val="0"/>
              <w:autoSpaceDE/>
              <w:autoSpaceDN/>
              <w:bidi w:val="0"/>
              <w:adjustRightInd/>
              <w:snapToGrid/>
              <w:ind w:firstLine="396"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6"/>
                <w:highlight w:val="none"/>
                <w14:textFill>
                  <w14:solidFill>
                    <w14:schemeClr w14:val="tx1"/>
                  </w14:solidFill>
                </w14:textFill>
              </w:rPr>
              <w:t>其蒸气与空气混合能形成爆炸性混合物，遇明火、高热能引起燃烧爆炸。与氧</w:t>
            </w:r>
            <w:r>
              <w:rPr>
                <w:rFonts w:hint="default" w:ascii="Times New Roman" w:hAnsi="Times New Roman" w:cs="Times New Roman"/>
                <w:color w:val="000000" w:themeColor="text1"/>
                <w:spacing w:val="-8"/>
                <w:highlight w:val="none"/>
                <w14:textFill>
                  <w14:solidFill>
                    <w14:schemeClr w14:val="tx1"/>
                  </w14:solidFill>
                </w14:textFill>
              </w:rPr>
              <w:t>化剂能发生剧烈反应。遇高热分解出有毒的烟雾。其燃烧、爆炸危险性与轻汽</w:t>
            </w:r>
            <w:r>
              <w:rPr>
                <w:rFonts w:hint="default" w:ascii="Times New Roman" w:hAnsi="Times New Roman" w:cs="Times New Roman"/>
                <w:color w:val="000000" w:themeColor="text1"/>
                <w:highlight w:val="none"/>
                <w14:textFill>
                  <w14:solidFill>
                    <w14:schemeClr w14:val="tx1"/>
                  </w14:solidFill>
                </w14:textFill>
              </w:rPr>
              <w:t>油相似</w:t>
            </w:r>
          </w:p>
        </w:tc>
      </w:tr>
      <w:tr w14:paraId="26248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1C5E74A6">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4646B5C5">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泄漏处理</w:t>
            </w:r>
          </w:p>
        </w:tc>
        <w:tc>
          <w:tcPr>
            <w:tcW w:w="4048" w:type="pct"/>
            <w:gridSpan w:val="4"/>
            <w:vAlign w:val="center"/>
          </w:tcPr>
          <w:p w14:paraId="2613DE51">
            <w:pPr>
              <w:pStyle w:val="39"/>
              <w:keepNext w:val="0"/>
              <w:keepLines w:val="0"/>
              <w:pageBreakBefore w:val="0"/>
              <w:widowControl w:val="0"/>
              <w:kinsoku/>
              <w:wordWrap/>
              <w:overflowPunct/>
              <w:topLinePunct w:val="0"/>
              <w:autoSpaceDE/>
              <w:autoSpaceDN/>
              <w:bidi w:val="0"/>
              <w:adjustRightInd/>
              <w:snapToGrid/>
              <w:ind w:firstLine="396"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6"/>
                <w:highlight w:val="none"/>
                <w14:textFill>
                  <w14:solidFill>
                    <w14:schemeClr w14:val="tx1"/>
                  </w14:solidFill>
                </w14:textFill>
              </w:rPr>
              <w:t>根据液体流动和蒸气扩散的影响区域划定警戒区，无关人员从侧风、上风向撤离至安全区。消除所有点火源。应急人员应佩戴正压式空气呼吸机，穿防火服，使用防爆等级达到要求的通讯工具。采取关闭阀门或堵漏等措施切断泄漏源。如果槽车或储罐发生泄漏，可通过倒罐转移尚未泄漏的液体。构筑围堤或挖坑收容泄漏物，防止流入河流、下水道、排洪沟等地方。收容的泄漏液用防爆泵转移至槽车或专用收集器内。用砂土吸收残液</w:t>
            </w:r>
          </w:p>
        </w:tc>
      </w:tr>
      <w:tr w14:paraId="2ADFB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7CFF7FB5">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3F7C84FF">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储运</w:t>
            </w:r>
          </w:p>
        </w:tc>
        <w:tc>
          <w:tcPr>
            <w:tcW w:w="4048" w:type="pct"/>
            <w:gridSpan w:val="4"/>
            <w:vAlign w:val="center"/>
          </w:tcPr>
          <w:p w14:paraId="375AFFEA">
            <w:pPr>
              <w:pStyle w:val="39"/>
              <w:keepNext w:val="0"/>
              <w:keepLines w:val="0"/>
              <w:pageBreakBefore w:val="0"/>
              <w:widowControl w:val="0"/>
              <w:kinsoku/>
              <w:wordWrap/>
              <w:overflowPunct/>
              <w:topLinePunct w:val="0"/>
              <w:autoSpaceDE/>
              <w:autoSpaceDN/>
              <w:bidi w:val="0"/>
              <w:adjustRightInd/>
              <w:snapToGrid/>
              <w:ind w:firstLine="408"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pacing w:val="-3"/>
                <w:highlight w:val="none"/>
                <w14:textFill>
                  <w14:solidFill>
                    <w14:schemeClr w14:val="tx1"/>
                  </w14:solidFill>
                </w14:textFill>
              </w:rPr>
              <w:t>存于密闭容器内，置于通风、远离火种、热源，避免阳光直射处；严禁烟火，</w:t>
            </w:r>
            <w:r>
              <w:rPr>
                <w:rFonts w:hint="default" w:ascii="Times New Roman" w:hAnsi="Times New Roman" w:cs="Times New Roman"/>
                <w:color w:val="000000" w:themeColor="text1"/>
                <w:spacing w:val="-7"/>
                <w:highlight w:val="none"/>
                <w14:textFill>
                  <w14:solidFill>
                    <w14:schemeClr w14:val="tx1"/>
                  </w14:solidFill>
                </w14:textFill>
              </w:rPr>
              <w:t>应与氧化剂分开存放，操作时使用专用工具，禁止采用易产生火花的机械设备</w:t>
            </w:r>
            <w:r>
              <w:rPr>
                <w:rFonts w:hint="default" w:ascii="Times New Roman" w:hAnsi="Times New Roman" w:cs="Times New Roman"/>
                <w:color w:val="000000" w:themeColor="text1"/>
                <w:spacing w:val="-5"/>
                <w:highlight w:val="none"/>
                <w14:textFill>
                  <w14:solidFill>
                    <w14:schemeClr w14:val="tx1"/>
                  </w14:solidFill>
                </w14:textFill>
              </w:rPr>
              <w:t>和工具；罐装应注意流速，且有接地装置，防止静电积聚</w:t>
            </w:r>
          </w:p>
        </w:tc>
      </w:tr>
      <w:tr w14:paraId="770D1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2F53F143">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5ED1F066">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稳定性</w:t>
            </w:r>
          </w:p>
        </w:tc>
        <w:tc>
          <w:tcPr>
            <w:tcW w:w="4048" w:type="pct"/>
            <w:gridSpan w:val="4"/>
            <w:vAlign w:val="center"/>
          </w:tcPr>
          <w:p w14:paraId="3F1367F9">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稳定</w:t>
            </w:r>
          </w:p>
        </w:tc>
      </w:tr>
      <w:tr w14:paraId="2C0F3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21E27882">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17952FBB">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急救措施</w:t>
            </w:r>
          </w:p>
        </w:tc>
        <w:tc>
          <w:tcPr>
            <w:tcW w:w="4048" w:type="pct"/>
            <w:gridSpan w:val="4"/>
            <w:vAlign w:val="center"/>
          </w:tcPr>
          <w:p w14:paraId="02F4F977">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皮肤接触：脱去污染的衣着，用肥皂水及清水彻底冲洗。眼睛接触：立即提起眼睑，用流动清水冲洗。吸入：迅速脱离现场至空气新鲜处。注意保暖，呼吸困难时给输氧。呼吸停止时，立即进行人工呼吸。就医。食入：误服者给充分漱口、饮水，就医</w:t>
            </w:r>
          </w:p>
        </w:tc>
      </w:tr>
      <w:tr w14:paraId="533DA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9" w:type="pct"/>
            <w:vMerge w:val="continue"/>
            <w:vAlign w:val="center"/>
          </w:tcPr>
          <w:p w14:paraId="3A361ADA">
            <w:pPr>
              <w:pStyle w:val="39"/>
              <w:keepNext w:val="0"/>
              <w:keepLines w:val="0"/>
              <w:pageBreakBefore w:val="0"/>
              <w:widowControl w:val="0"/>
              <w:kinsoku/>
              <w:wordWrap/>
              <w:topLinePunct w:val="0"/>
              <w:bidi w:val="0"/>
              <w:rPr>
                <w:rFonts w:hint="default" w:ascii="Times New Roman" w:hAnsi="Times New Roman" w:cs="Times New Roman"/>
                <w:color w:val="000000" w:themeColor="text1"/>
                <w:sz w:val="2"/>
                <w:szCs w:val="2"/>
                <w:highlight w:val="none"/>
                <w14:textFill>
                  <w14:solidFill>
                    <w14:schemeClr w14:val="tx1"/>
                  </w14:solidFill>
                </w14:textFill>
              </w:rPr>
            </w:pPr>
          </w:p>
        </w:tc>
        <w:tc>
          <w:tcPr>
            <w:tcW w:w="582" w:type="pct"/>
            <w:vAlign w:val="center"/>
          </w:tcPr>
          <w:p w14:paraId="76671219">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灭火方法</w:t>
            </w:r>
          </w:p>
        </w:tc>
        <w:tc>
          <w:tcPr>
            <w:tcW w:w="4048" w:type="pct"/>
            <w:gridSpan w:val="4"/>
            <w:vAlign w:val="center"/>
          </w:tcPr>
          <w:p w14:paraId="2F17F77C">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消防人员须穿全身防火防毒服，佩戴空气呼吸器，在上风向灭火。喷水冷却燃烧罐和临近罐，直至灭火结束。处在火场中若发生异常变化或发出异常声音，须马上撤离。</w:t>
            </w:r>
          </w:p>
          <w:p w14:paraId="35E67593">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灭火剂：泡沫、干粉、砂土、二氧化碳。</w:t>
            </w:r>
          </w:p>
        </w:tc>
      </w:tr>
    </w:tbl>
    <w:p w14:paraId="4DC964D0">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原油火灾爆炸危险性主要表现在以下几方面：</w:t>
      </w:r>
    </w:p>
    <w:p w14:paraId="178F54B7">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14:textFill>
            <w14:solidFill>
              <w14:schemeClr w14:val="tx1"/>
            </w14:solidFill>
          </w14:textFill>
        </w:rPr>
        <w:t>属易燃液体；</w:t>
      </w:r>
    </w:p>
    <w:p w14:paraId="57E788D1">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②</w:t>
      </w:r>
      <w:r>
        <w:rPr>
          <w:rFonts w:hint="default" w:ascii="Times New Roman" w:hAnsi="Times New Roman" w:cs="Times New Roman"/>
          <w:color w:val="000000" w:themeColor="text1"/>
          <w:highlight w:val="none"/>
          <w14:textFill>
            <w14:solidFill>
              <w14:schemeClr w14:val="tx1"/>
            </w14:solidFill>
          </w14:textFill>
        </w:rPr>
        <w:t>原油的油蒸汽和空气混合达到一定浓度时，遇火即能爆炸；</w:t>
      </w:r>
    </w:p>
    <w:p w14:paraId="480720ED">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t>易蒸发</w:t>
      </w:r>
    </w:p>
    <w:p w14:paraId="7FF3B226">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原油容器内压力每降低0.1MPa一般有0.8-10m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油蒸气析出。新蒸发出的油蒸气，由于密度比较大、不易扩散，往往在储存处或作业场地空间地面弥漫飘荡，在低洼处积聚不散，这就大大增加了火灾爆炸危险程度；</w:t>
      </w:r>
    </w:p>
    <w:p w14:paraId="674B46C4">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④</w:t>
      </w:r>
      <w:r>
        <w:rPr>
          <w:rFonts w:hint="default" w:ascii="Times New Roman" w:hAnsi="Times New Roman" w:cs="Times New Roman"/>
          <w:color w:val="000000" w:themeColor="text1"/>
          <w:highlight w:val="none"/>
          <w14:textFill>
            <w14:solidFill>
              <w14:schemeClr w14:val="tx1"/>
            </w14:solidFill>
          </w14:textFill>
        </w:rPr>
        <w:t>容易产生静电</w:t>
      </w:r>
    </w:p>
    <w:p w14:paraId="67A014C4">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在易燃液体中石油产品的电阻率一般在10</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12Ω·cm左右。电阻率越高，电导率越小，积累电荷的能力越强。因此，石油产品在泵送、运输等作业中，流动摩擦、喷射、冲击、过滤都会产生静电。当能量达到或大于油品蒸气最小引燃能量时，就可能点燃可燃性混合气，引起爆炸或燃烧；</w:t>
      </w:r>
    </w:p>
    <w:p w14:paraId="0B7675B7">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⑤</w:t>
      </w:r>
      <w:r>
        <w:rPr>
          <w:rFonts w:hint="default" w:ascii="Times New Roman" w:hAnsi="Times New Roman" w:cs="Times New Roman"/>
          <w:color w:val="000000" w:themeColor="text1"/>
          <w:highlight w:val="none"/>
          <w14:textFill>
            <w14:solidFill>
              <w14:schemeClr w14:val="tx1"/>
            </w14:solidFill>
          </w14:textFill>
        </w:rPr>
        <w:t>容易受热膨胀、沸溢。原油受热膨胀，蒸气压升高，会造成储存容器鼓凸现象。相反，高温油品在储存中冷却，又会造成油品收缩而使储油容器产生负压，使容器被大气压瘪而损坏。含水油品着火受热还会发生沸溢，燃烧的油品大量外溢，甚至从罐中喷出，引燃</w:t>
      </w:r>
      <w:r>
        <w:rPr>
          <w:rFonts w:hint="eastAsia" w:cs="Times New Roman"/>
          <w:color w:val="000000" w:themeColor="text1"/>
          <w:highlight w:val="none"/>
          <w:lang w:eastAsia="zh-CN"/>
          <w14:textFill>
            <w14:solidFill>
              <w14:schemeClr w14:val="tx1"/>
            </w14:solidFill>
          </w14:textFill>
        </w:rPr>
        <w:t>其他</w:t>
      </w:r>
      <w:r>
        <w:rPr>
          <w:rFonts w:hint="default" w:ascii="Times New Roman" w:hAnsi="Times New Roman" w:cs="Times New Roman"/>
          <w:color w:val="000000" w:themeColor="text1"/>
          <w:highlight w:val="none"/>
          <w14:textFill>
            <w14:solidFill>
              <w14:schemeClr w14:val="tx1"/>
            </w14:solidFill>
          </w14:textFill>
        </w:rPr>
        <w:t>物品而造成重大火灾和人身伤亡事故。</w:t>
      </w:r>
    </w:p>
    <w:p w14:paraId="14998FFD">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5.8.1.2伴生气（天然气）</w:t>
      </w:r>
    </w:p>
    <w:p w14:paraId="7A276891">
      <w:pPr>
        <w:keepNext w:val="0"/>
        <w:keepLines w:val="0"/>
        <w:pageBreakBefore w:val="0"/>
        <w:widowControl w:val="0"/>
        <w:kinsoku/>
        <w:wordWrap/>
        <w:overflowPunct/>
        <w:topLinePunct w:val="0"/>
        <w:autoSpaceDE/>
        <w:autoSpaceDN/>
        <w:bidi w:val="0"/>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天然气以甲烷（CH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）气为主，并含有总量不多、各自数量不等的轻烃（C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）气。其危险特性见表5.8-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属甲B类易燃易爆气体，含有大量的低分子烷烃混合物，其与空气混合形成爆炸性混合物遇明火极易燃烧爆炸。如果出现泄漏，易与空气形成爆炸性混合物，而且能顺风飘动，形成着火爆炸和蔓延扩散的重要条件，遇明火回燃。天然气主要成分为甲烷，甲烷对人基本无毒，但浓度过高时，使空气中氧含量明显降低，使人窒息。当空气中甲烷达25%～30%时，可引起头痛、头晕、乏力、注意力不集中、呼吸和心跳加速、共济失调，若不及时脱离，可致窒息死亡。其危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特性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见表5.8-2。</w:t>
      </w:r>
    </w:p>
    <w:p w14:paraId="4BEE17AC">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表5.</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eastAsia="zh-CN"/>
          <w14:textFill>
            <w14:solidFill>
              <w14:schemeClr w14:val="tx1"/>
            </w14:solidFill>
          </w14:textFill>
        </w:rPr>
        <w:t>烃类物质理化性质、燃烧爆炸特性和毒理性质一览表</w:t>
      </w:r>
    </w:p>
    <w:tbl>
      <w:tblPr>
        <w:tblStyle w:val="18"/>
        <w:tblW w:w="928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750"/>
        <w:gridCol w:w="1491"/>
        <w:gridCol w:w="2355"/>
        <w:gridCol w:w="1553"/>
      </w:tblGrid>
      <w:tr w14:paraId="5BDD4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7E7B22D5">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中文名称</w:t>
            </w:r>
          </w:p>
        </w:tc>
        <w:tc>
          <w:tcPr>
            <w:tcW w:w="2750" w:type="dxa"/>
            <w:tcBorders>
              <w:tl2br w:val="nil"/>
              <w:tr2bl w:val="nil"/>
            </w:tcBorders>
            <w:noWrap w:val="0"/>
            <w:vAlign w:val="center"/>
          </w:tcPr>
          <w:p w14:paraId="4EBE0EDF">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甲烷</w:t>
            </w:r>
          </w:p>
        </w:tc>
        <w:tc>
          <w:tcPr>
            <w:tcW w:w="1491" w:type="dxa"/>
            <w:tcBorders>
              <w:tl2br w:val="nil"/>
              <w:tr2bl w:val="nil"/>
            </w:tcBorders>
            <w:noWrap w:val="0"/>
            <w:vAlign w:val="center"/>
          </w:tcPr>
          <w:p w14:paraId="5F9110DD">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英文名</w:t>
            </w:r>
          </w:p>
        </w:tc>
        <w:tc>
          <w:tcPr>
            <w:tcW w:w="3908" w:type="dxa"/>
            <w:gridSpan w:val="2"/>
            <w:tcBorders>
              <w:tl2br w:val="nil"/>
              <w:tr2bl w:val="nil"/>
            </w:tcBorders>
            <w:noWrap w:val="0"/>
            <w:vAlign w:val="center"/>
          </w:tcPr>
          <w:p w14:paraId="418C0F57">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methane</w:t>
            </w:r>
          </w:p>
        </w:tc>
      </w:tr>
      <w:tr w14:paraId="7D02E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7245D5EA">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分子式</w:t>
            </w:r>
          </w:p>
        </w:tc>
        <w:tc>
          <w:tcPr>
            <w:tcW w:w="2750" w:type="dxa"/>
            <w:tcBorders>
              <w:tl2br w:val="nil"/>
              <w:tr2bl w:val="nil"/>
            </w:tcBorders>
            <w:noWrap w:val="0"/>
            <w:vAlign w:val="center"/>
          </w:tcPr>
          <w:p w14:paraId="41C9CAEA">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CH</w:t>
            </w:r>
            <w:r>
              <w:rPr>
                <w:rFonts w:hint="default" w:ascii="Times New Roman" w:hAnsi="Times New Roman" w:cs="Times New Roman"/>
                <w:b w:val="0"/>
                <w:bCs/>
                <w:color w:val="000000" w:themeColor="text1"/>
                <w:sz w:val="21"/>
                <w:szCs w:val="21"/>
                <w:highlight w:val="none"/>
                <w:vertAlign w:val="subscript"/>
                <w14:textFill>
                  <w14:solidFill>
                    <w14:schemeClr w14:val="tx1"/>
                  </w14:solidFill>
                </w14:textFill>
              </w:rPr>
              <w:t>4</w:t>
            </w:r>
          </w:p>
        </w:tc>
        <w:tc>
          <w:tcPr>
            <w:tcW w:w="1491" w:type="dxa"/>
            <w:tcBorders>
              <w:tl2br w:val="nil"/>
              <w:tr2bl w:val="nil"/>
            </w:tcBorders>
            <w:noWrap w:val="0"/>
            <w:vAlign w:val="center"/>
          </w:tcPr>
          <w:p w14:paraId="1316F897">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分子量</w:t>
            </w:r>
          </w:p>
        </w:tc>
        <w:tc>
          <w:tcPr>
            <w:tcW w:w="3908" w:type="dxa"/>
            <w:gridSpan w:val="2"/>
            <w:tcBorders>
              <w:tl2br w:val="nil"/>
              <w:tr2bl w:val="nil"/>
            </w:tcBorders>
            <w:noWrap w:val="0"/>
            <w:vAlign w:val="center"/>
          </w:tcPr>
          <w:p w14:paraId="13D24F7B">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16.04</w:t>
            </w:r>
          </w:p>
        </w:tc>
      </w:tr>
      <w:tr w14:paraId="52FD5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545B17F0">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CAS号</w:t>
            </w:r>
          </w:p>
        </w:tc>
        <w:tc>
          <w:tcPr>
            <w:tcW w:w="2750" w:type="dxa"/>
            <w:tcBorders>
              <w:tl2br w:val="nil"/>
              <w:tr2bl w:val="nil"/>
            </w:tcBorders>
            <w:noWrap w:val="0"/>
            <w:vAlign w:val="center"/>
          </w:tcPr>
          <w:p w14:paraId="5CECB38C">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74-82-8</w:t>
            </w:r>
          </w:p>
        </w:tc>
        <w:tc>
          <w:tcPr>
            <w:tcW w:w="1491" w:type="dxa"/>
            <w:tcBorders>
              <w:tl2br w:val="nil"/>
              <w:tr2bl w:val="nil"/>
            </w:tcBorders>
            <w:noWrap w:val="0"/>
            <w:vAlign w:val="center"/>
          </w:tcPr>
          <w:p w14:paraId="6DFADD6F">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危险性类别</w:t>
            </w:r>
          </w:p>
        </w:tc>
        <w:tc>
          <w:tcPr>
            <w:tcW w:w="3908" w:type="dxa"/>
            <w:gridSpan w:val="2"/>
            <w:tcBorders>
              <w:tl2br w:val="nil"/>
              <w:tr2bl w:val="nil"/>
            </w:tcBorders>
            <w:noWrap w:val="0"/>
            <w:vAlign w:val="center"/>
          </w:tcPr>
          <w:p w14:paraId="182EB72E">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易燃气体</w:t>
            </w:r>
          </w:p>
        </w:tc>
      </w:tr>
      <w:tr w14:paraId="65AD5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restart"/>
            <w:tcBorders>
              <w:tl2br w:val="nil"/>
              <w:tr2bl w:val="nil"/>
            </w:tcBorders>
            <w:noWrap w:val="0"/>
            <w:vAlign w:val="center"/>
          </w:tcPr>
          <w:p w14:paraId="7EF3C6D7">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理化性质</w:t>
            </w:r>
          </w:p>
        </w:tc>
        <w:tc>
          <w:tcPr>
            <w:tcW w:w="2750" w:type="dxa"/>
            <w:tcBorders>
              <w:tl2br w:val="nil"/>
              <w:tr2bl w:val="nil"/>
            </w:tcBorders>
            <w:noWrap w:val="0"/>
            <w:vAlign w:val="center"/>
          </w:tcPr>
          <w:p w14:paraId="7DCE45E3">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外观及性状</w:t>
            </w:r>
          </w:p>
        </w:tc>
        <w:tc>
          <w:tcPr>
            <w:tcW w:w="5399" w:type="dxa"/>
            <w:gridSpan w:val="3"/>
            <w:tcBorders>
              <w:tl2br w:val="nil"/>
              <w:tr2bl w:val="nil"/>
            </w:tcBorders>
            <w:noWrap w:val="0"/>
            <w:vAlign w:val="center"/>
          </w:tcPr>
          <w:p w14:paraId="492FF283">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无色无臭气体</w:t>
            </w:r>
          </w:p>
        </w:tc>
      </w:tr>
      <w:tr w14:paraId="594E1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64EB19D4">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2A02A469">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沸点</w:t>
            </w:r>
          </w:p>
        </w:tc>
        <w:tc>
          <w:tcPr>
            <w:tcW w:w="1491" w:type="dxa"/>
            <w:tcBorders>
              <w:tl2br w:val="nil"/>
              <w:tr2bl w:val="nil"/>
            </w:tcBorders>
            <w:noWrap w:val="0"/>
            <w:vAlign w:val="center"/>
          </w:tcPr>
          <w:p w14:paraId="1523DA30">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-161.5</w:t>
            </w:r>
          </w:p>
        </w:tc>
        <w:tc>
          <w:tcPr>
            <w:tcW w:w="2355" w:type="dxa"/>
            <w:tcBorders>
              <w:tl2br w:val="nil"/>
              <w:tr2bl w:val="nil"/>
            </w:tcBorders>
            <w:noWrap w:val="0"/>
            <w:vAlign w:val="center"/>
          </w:tcPr>
          <w:p w14:paraId="2D79AEFC">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闪点</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553" w:type="dxa"/>
            <w:tcBorders>
              <w:tl2br w:val="nil"/>
              <w:tr2bl w:val="nil"/>
            </w:tcBorders>
            <w:noWrap w:val="0"/>
            <w:vAlign w:val="center"/>
          </w:tcPr>
          <w:p w14:paraId="6D16CD90">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-188</w:t>
            </w:r>
          </w:p>
        </w:tc>
      </w:tr>
      <w:tr w14:paraId="06966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4BA4D25B">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55B88463">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熔点</w:t>
            </w:r>
          </w:p>
        </w:tc>
        <w:tc>
          <w:tcPr>
            <w:tcW w:w="1491" w:type="dxa"/>
            <w:tcBorders>
              <w:tl2br w:val="nil"/>
              <w:tr2bl w:val="nil"/>
            </w:tcBorders>
            <w:noWrap w:val="0"/>
            <w:vAlign w:val="center"/>
          </w:tcPr>
          <w:p w14:paraId="752981F7">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-178.9</w:t>
            </w:r>
          </w:p>
        </w:tc>
        <w:tc>
          <w:tcPr>
            <w:tcW w:w="2355" w:type="dxa"/>
            <w:tcBorders>
              <w:tl2br w:val="nil"/>
              <w:tr2bl w:val="nil"/>
            </w:tcBorders>
            <w:noWrap w:val="0"/>
            <w:vAlign w:val="center"/>
          </w:tcPr>
          <w:p w14:paraId="51F5719D">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最大爆炸压力</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102kPa</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553" w:type="dxa"/>
            <w:tcBorders>
              <w:tl2br w:val="nil"/>
              <w:tr2bl w:val="nil"/>
            </w:tcBorders>
            <w:noWrap w:val="0"/>
            <w:vAlign w:val="center"/>
          </w:tcPr>
          <w:p w14:paraId="4A7284D9">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r>
      <w:tr w14:paraId="3FD70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5BA85E5D">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633A1EAA">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相对密度（水=1）</w:t>
            </w:r>
          </w:p>
        </w:tc>
        <w:tc>
          <w:tcPr>
            <w:tcW w:w="1491" w:type="dxa"/>
            <w:tcBorders>
              <w:tl2br w:val="nil"/>
              <w:tr2bl w:val="nil"/>
            </w:tcBorders>
            <w:noWrap w:val="0"/>
            <w:vAlign w:val="center"/>
          </w:tcPr>
          <w:p w14:paraId="019D3F3F">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0.76</w:t>
            </w:r>
          </w:p>
        </w:tc>
        <w:tc>
          <w:tcPr>
            <w:tcW w:w="2355" w:type="dxa"/>
            <w:tcBorders>
              <w:tl2br w:val="nil"/>
              <w:tr2bl w:val="nil"/>
            </w:tcBorders>
            <w:noWrap w:val="0"/>
            <w:vAlign w:val="center"/>
          </w:tcPr>
          <w:p w14:paraId="7438938C">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最大爆炸压力上升</w:t>
            </w:r>
          </w:p>
          <w:p w14:paraId="459359E3">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速率</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102kPa/c</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553" w:type="dxa"/>
            <w:tcBorders>
              <w:tl2br w:val="nil"/>
              <w:tr2bl w:val="nil"/>
            </w:tcBorders>
            <w:noWrap w:val="0"/>
            <w:vAlign w:val="center"/>
          </w:tcPr>
          <w:p w14:paraId="50ED2E0A">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r>
      <w:tr w14:paraId="18565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220327F1">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618E0E60">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相对密度（空气=1）</w:t>
            </w:r>
          </w:p>
        </w:tc>
        <w:tc>
          <w:tcPr>
            <w:tcW w:w="1491" w:type="dxa"/>
            <w:tcBorders>
              <w:tl2br w:val="nil"/>
              <w:tr2bl w:val="nil"/>
            </w:tcBorders>
            <w:noWrap w:val="0"/>
            <w:vAlign w:val="center"/>
          </w:tcPr>
          <w:p w14:paraId="59F8081D">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0.55</w:t>
            </w:r>
          </w:p>
        </w:tc>
        <w:tc>
          <w:tcPr>
            <w:tcW w:w="2355" w:type="dxa"/>
            <w:tcBorders>
              <w:tl2br w:val="nil"/>
              <w:tr2bl w:val="nil"/>
            </w:tcBorders>
            <w:noWrap w:val="0"/>
            <w:vAlign w:val="center"/>
          </w:tcPr>
          <w:p w14:paraId="00567C37">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爆炸下限</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V%</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553" w:type="dxa"/>
            <w:tcBorders>
              <w:tl2br w:val="nil"/>
              <w:tr2bl w:val="nil"/>
            </w:tcBorders>
            <w:noWrap w:val="0"/>
            <w:vAlign w:val="center"/>
          </w:tcPr>
          <w:p w14:paraId="712512C3">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15</w:t>
            </w:r>
          </w:p>
        </w:tc>
      </w:tr>
      <w:tr w14:paraId="51429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78E54304">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077D4DFF">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燃烧热（kcal/kg）</w:t>
            </w:r>
          </w:p>
        </w:tc>
        <w:tc>
          <w:tcPr>
            <w:tcW w:w="1491" w:type="dxa"/>
            <w:tcBorders>
              <w:tl2br w:val="nil"/>
              <w:tr2bl w:val="nil"/>
            </w:tcBorders>
            <w:noWrap w:val="0"/>
            <w:vAlign w:val="center"/>
          </w:tcPr>
          <w:p w14:paraId="755796F3">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884768.6</w:t>
            </w:r>
          </w:p>
        </w:tc>
        <w:tc>
          <w:tcPr>
            <w:tcW w:w="2355" w:type="dxa"/>
            <w:tcBorders>
              <w:tl2br w:val="nil"/>
              <w:tr2bl w:val="nil"/>
            </w:tcBorders>
            <w:noWrap w:val="0"/>
            <w:vAlign w:val="center"/>
          </w:tcPr>
          <w:p w14:paraId="11CB8B51">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爆炸上限</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V%</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w:t>
            </w:r>
          </w:p>
        </w:tc>
        <w:tc>
          <w:tcPr>
            <w:tcW w:w="1553" w:type="dxa"/>
            <w:tcBorders>
              <w:tl2br w:val="nil"/>
              <w:tr2bl w:val="nil"/>
            </w:tcBorders>
            <w:noWrap w:val="0"/>
            <w:vAlign w:val="center"/>
          </w:tcPr>
          <w:p w14:paraId="4B432FE5">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56=</w:t>
            </w:r>
          </w:p>
        </w:tc>
      </w:tr>
      <w:tr w14:paraId="4A1E3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1DB9AAA5">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3B69711C">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highlight w:val="none"/>
                <w:lang w:eastAsia="zh-CN"/>
                <w14:textFill>
                  <w14:solidFill>
                    <w14:schemeClr w14:val="tx1"/>
                  </w14:solidFill>
                </w14:textFill>
              </w:rPr>
              <w:t>燃烧分解产物</w:t>
            </w:r>
          </w:p>
        </w:tc>
        <w:tc>
          <w:tcPr>
            <w:tcW w:w="5399" w:type="dxa"/>
            <w:gridSpan w:val="3"/>
            <w:tcBorders>
              <w:tl2br w:val="nil"/>
              <w:tr2bl w:val="nil"/>
            </w:tcBorders>
            <w:noWrap w:val="0"/>
            <w:vAlign w:val="center"/>
          </w:tcPr>
          <w:p w14:paraId="06BBA08B">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一氧化碳、二氧化碳</w:t>
            </w:r>
          </w:p>
        </w:tc>
      </w:tr>
      <w:tr w14:paraId="4E8E2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vMerge w:val="continue"/>
            <w:tcBorders>
              <w:tl2br w:val="nil"/>
              <w:tr2bl w:val="nil"/>
            </w:tcBorders>
            <w:noWrap w:val="0"/>
            <w:vAlign w:val="center"/>
          </w:tcPr>
          <w:p w14:paraId="7FC0C82E">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p>
        </w:tc>
        <w:tc>
          <w:tcPr>
            <w:tcW w:w="2750" w:type="dxa"/>
            <w:tcBorders>
              <w:tl2br w:val="nil"/>
              <w:tr2bl w:val="nil"/>
            </w:tcBorders>
            <w:noWrap w:val="0"/>
            <w:vAlign w:val="center"/>
          </w:tcPr>
          <w:p w14:paraId="51D90099">
            <w:pPr>
              <w:pStyle w:val="39"/>
              <w:keepNext w:val="0"/>
              <w:keepLines w:val="0"/>
              <w:pageBreakBefore w:val="0"/>
              <w:widowControl w:val="0"/>
              <w:kinsoku/>
              <w:wordWrap/>
              <w:overflowPunct/>
              <w:topLinePunct w:val="0"/>
              <w:bidi w:val="0"/>
              <w:snapToGrid/>
              <w:spacing w:after="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highlight w:val="none"/>
                <w14:textFill>
                  <w14:solidFill>
                    <w14:schemeClr w14:val="tx1"/>
                  </w14:solidFill>
                </w14:textFill>
              </w:rPr>
              <w:t>溶解性</w:t>
            </w:r>
          </w:p>
        </w:tc>
        <w:tc>
          <w:tcPr>
            <w:tcW w:w="5399" w:type="dxa"/>
            <w:gridSpan w:val="3"/>
            <w:tcBorders>
              <w:tl2br w:val="nil"/>
              <w:tr2bl w:val="nil"/>
            </w:tcBorders>
            <w:noWrap w:val="0"/>
            <w:vAlign w:val="center"/>
          </w:tcPr>
          <w:p w14:paraId="0109B62B">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微溶于水，溶于醇、乙醚</w:t>
            </w:r>
          </w:p>
        </w:tc>
      </w:tr>
      <w:tr w14:paraId="68BE2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60FDAD70">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主要用途</w:t>
            </w:r>
          </w:p>
        </w:tc>
        <w:tc>
          <w:tcPr>
            <w:tcW w:w="8149" w:type="dxa"/>
            <w:gridSpan w:val="4"/>
            <w:tcBorders>
              <w:tl2br w:val="nil"/>
              <w:tr2bl w:val="nil"/>
            </w:tcBorders>
            <w:noWrap w:val="0"/>
            <w:vAlign w:val="center"/>
          </w:tcPr>
          <w:p w14:paraId="546DB0F6">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用作燃料和用于炭黑、氢、乙炔、甲醛等的制造</w:t>
            </w:r>
          </w:p>
        </w:tc>
      </w:tr>
      <w:tr w14:paraId="44EF3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3AA80317">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危险特性</w:t>
            </w:r>
          </w:p>
        </w:tc>
        <w:tc>
          <w:tcPr>
            <w:tcW w:w="8149" w:type="dxa"/>
            <w:gridSpan w:val="4"/>
            <w:tcBorders>
              <w:tl2br w:val="nil"/>
              <w:tr2bl w:val="nil"/>
            </w:tcBorders>
            <w:noWrap w:val="0"/>
            <w:vAlign w:val="center"/>
          </w:tcPr>
          <w:p w14:paraId="489D0D57">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燃烧与爆炸特性：易燃，与空气混合能形成爆炸性混合物，遇热源和明火有燃烧爆炸的危险。与五氧化溴、氯气、次氯酸、三氟化氮、液氧、二氟化氧及</w:t>
            </w:r>
            <w:r>
              <w:rPr>
                <w:rFonts w:hint="eastAsia" w:ascii="Times New Roman" w:cs="Times New Roman"/>
                <w:b w:val="0"/>
                <w:bCs/>
                <w:color w:val="000000" w:themeColor="text1"/>
                <w:sz w:val="21"/>
                <w:szCs w:val="21"/>
                <w:highlight w:val="none"/>
                <w:lang w:eastAsia="zh-CN"/>
                <w14:textFill>
                  <w14:solidFill>
                    <w14:schemeClr w14:val="tx1"/>
                  </w14:solidFill>
                </w14:textFill>
              </w:rPr>
              <w:t>其他</w:t>
            </w:r>
            <w:r>
              <w:rPr>
                <w:rFonts w:hint="default" w:ascii="Times New Roman" w:hAnsi="Times New Roman" w:cs="Times New Roman"/>
                <w:b w:val="0"/>
                <w:bCs/>
                <w:color w:val="000000" w:themeColor="text1"/>
                <w:sz w:val="21"/>
                <w:szCs w:val="21"/>
                <w:highlight w:val="none"/>
                <w14:textFill>
                  <w14:solidFill>
                    <w14:schemeClr w14:val="tx1"/>
                  </w14:solidFill>
                </w14:textFill>
              </w:rPr>
              <w:t>强氧化剂接触剧烈反应</w:t>
            </w:r>
          </w:p>
        </w:tc>
      </w:tr>
      <w:tr w14:paraId="7F989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61267795">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健康危害</w:t>
            </w:r>
          </w:p>
        </w:tc>
        <w:tc>
          <w:tcPr>
            <w:tcW w:w="8149" w:type="dxa"/>
            <w:gridSpan w:val="4"/>
            <w:tcBorders>
              <w:tl2br w:val="nil"/>
              <w:tr2bl w:val="nil"/>
            </w:tcBorders>
            <w:noWrap w:val="0"/>
            <w:vAlign w:val="center"/>
          </w:tcPr>
          <w:p w14:paraId="64526B72">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侵入途径：吸入</w:t>
            </w:r>
          </w:p>
          <w:p w14:paraId="1B0D492D">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3E720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06AA29A6">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泄漏应急处理</w:t>
            </w:r>
          </w:p>
        </w:tc>
        <w:tc>
          <w:tcPr>
            <w:tcW w:w="8149" w:type="dxa"/>
            <w:gridSpan w:val="4"/>
            <w:tcBorders>
              <w:tl2br w:val="nil"/>
              <w:tr2bl w:val="nil"/>
            </w:tcBorders>
            <w:noWrap w:val="0"/>
            <w:vAlign w:val="center"/>
          </w:tcPr>
          <w:p w14:paraId="3759B123">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4D439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3D64FA90">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防护措施</w:t>
            </w:r>
          </w:p>
        </w:tc>
        <w:tc>
          <w:tcPr>
            <w:tcW w:w="8149" w:type="dxa"/>
            <w:gridSpan w:val="4"/>
            <w:tcBorders>
              <w:tl2br w:val="nil"/>
              <w:tr2bl w:val="nil"/>
            </w:tcBorders>
            <w:noWrap w:val="0"/>
            <w:vAlign w:val="center"/>
          </w:tcPr>
          <w:p w14:paraId="198247E9">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呼吸系统防护：一般不需要特殊防护，但建议特殊情况下，</w:t>
            </w:r>
            <w:r>
              <w:rPr>
                <w:rFonts w:hint="eastAsia" w:ascii="Times New Roman" w:cs="Times New Roman"/>
                <w:b w:val="0"/>
                <w:bCs/>
                <w:color w:val="000000" w:themeColor="text1"/>
                <w:sz w:val="21"/>
                <w:szCs w:val="21"/>
                <w:highlight w:val="none"/>
                <w:lang w:eastAsia="zh-CN"/>
                <w14:textFill>
                  <w14:solidFill>
                    <w14:schemeClr w14:val="tx1"/>
                  </w14:solidFill>
                </w14:textFill>
              </w:rPr>
              <w:t>佩戴</w:t>
            </w:r>
            <w:r>
              <w:rPr>
                <w:rFonts w:hint="default" w:ascii="Times New Roman" w:hAnsi="Times New Roman" w:cs="Times New Roman"/>
                <w:b w:val="0"/>
                <w:bCs/>
                <w:color w:val="000000" w:themeColor="text1"/>
                <w:sz w:val="21"/>
                <w:szCs w:val="21"/>
                <w:highlight w:val="none"/>
                <w14:textFill>
                  <w14:solidFill>
                    <w14:schemeClr w14:val="tx1"/>
                  </w14:solidFill>
                </w14:textFill>
              </w:rPr>
              <w:t>自吸过滤式防毒面具（半面罩）。眼睛防护：一般不需要特别防护，高浓度接触时可戴安全防护眼镜。身体防护：穿防静电工作服。手防护：戴一般作业防护手套。</w:t>
            </w:r>
            <w:r>
              <w:rPr>
                <w:rFonts w:hint="eastAsia" w:ascii="Times New Roman" w:cs="Times New Roman"/>
                <w:b w:val="0"/>
                <w:bCs/>
                <w:color w:val="000000" w:themeColor="text1"/>
                <w:sz w:val="21"/>
                <w:szCs w:val="21"/>
                <w:highlight w:val="none"/>
                <w:lang w:eastAsia="zh-CN"/>
                <w14:textFill>
                  <w14:solidFill>
                    <w14:schemeClr w14:val="tx1"/>
                  </w14:solidFill>
                </w14:textFill>
              </w:rPr>
              <w:t>其他</w:t>
            </w:r>
            <w:r>
              <w:rPr>
                <w:rFonts w:hint="default" w:ascii="Times New Roman" w:hAnsi="Times New Roman" w:cs="Times New Roman"/>
                <w:b w:val="0"/>
                <w:bCs/>
                <w:color w:val="000000" w:themeColor="text1"/>
                <w:sz w:val="21"/>
                <w:szCs w:val="21"/>
                <w:highlight w:val="none"/>
                <w14:textFill>
                  <w14:solidFill>
                    <w14:schemeClr w14:val="tx1"/>
                  </w14:solidFill>
                </w14:textFill>
              </w:rPr>
              <w:t>：工作现场严禁吸烟。避免长期反复接触。进入罐、限制性空间或</w:t>
            </w:r>
            <w:r>
              <w:rPr>
                <w:rFonts w:hint="eastAsia" w:ascii="Times New Roman" w:cs="Times New Roman"/>
                <w:b w:val="0"/>
                <w:bCs/>
                <w:color w:val="000000" w:themeColor="text1"/>
                <w:sz w:val="21"/>
                <w:szCs w:val="21"/>
                <w:highlight w:val="none"/>
                <w:lang w:eastAsia="zh-CN"/>
                <w14:textFill>
                  <w14:solidFill>
                    <w14:schemeClr w14:val="tx1"/>
                  </w14:solidFill>
                </w14:textFill>
              </w:rPr>
              <w:t>其他</w:t>
            </w:r>
            <w:r>
              <w:rPr>
                <w:rFonts w:hint="default" w:ascii="Times New Roman" w:hAnsi="Times New Roman" w:cs="Times New Roman"/>
                <w:b w:val="0"/>
                <w:bCs/>
                <w:color w:val="000000" w:themeColor="text1"/>
                <w:sz w:val="21"/>
                <w:szCs w:val="21"/>
                <w:highlight w:val="none"/>
                <w14:textFill>
                  <w14:solidFill>
                    <w14:schemeClr w14:val="tx1"/>
                  </w14:solidFill>
                </w14:textFill>
              </w:rPr>
              <w:t>高浓度区作业，须有人监护</w:t>
            </w:r>
          </w:p>
        </w:tc>
      </w:tr>
      <w:tr w14:paraId="700D6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32DDE9CE">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急救措施</w:t>
            </w:r>
          </w:p>
        </w:tc>
        <w:tc>
          <w:tcPr>
            <w:tcW w:w="8149" w:type="dxa"/>
            <w:gridSpan w:val="4"/>
            <w:tcBorders>
              <w:tl2br w:val="nil"/>
              <w:tr2bl w:val="nil"/>
            </w:tcBorders>
            <w:noWrap w:val="0"/>
            <w:vAlign w:val="center"/>
          </w:tcPr>
          <w:p w14:paraId="7205549B">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皮肤接触：若有冻伤，就医治疗。吸入：迅速脱离现场至空气新鲜处。保持呼吸道通畅。如呼吸困难，给输氧。如呼吸停止，立即进行人工呼吸，就医</w:t>
            </w:r>
          </w:p>
        </w:tc>
      </w:tr>
      <w:tr w14:paraId="49EF5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38" w:type="dxa"/>
            <w:tcBorders>
              <w:tl2br w:val="nil"/>
              <w:tr2bl w:val="nil"/>
            </w:tcBorders>
            <w:noWrap w:val="0"/>
            <w:vAlign w:val="center"/>
          </w:tcPr>
          <w:p w14:paraId="499B6733">
            <w:pPr>
              <w:pStyle w:val="28"/>
              <w:keepNext w:val="0"/>
              <w:keepLines w:val="0"/>
              <w:pageBreakBefore w:val="0"/>
              <w:widowControl w:val="0"/>
              <w:kinsoku/>
              <w:wordWrap/>
              <w:overflowPunct/>
              <w:topLinePunct w:val="0"/>
              <w:bidi w:val="0"/>
              <w:snapToGrid/>
              <w:spacing w:beforeLines="0" w:after="0" w:afterLines="0" w:line="240" w:lineRule="auto"/>
              <w:ind w:left="0" w:firstLine="0" w:firstLineChars="0"/>
              <w:jc w:val="center"/>
              <w:textAlignment w:val="auto"/>
              <w:rPr>
                <w:rFonts w:hint="default" w:ascii="Times New Roman" w:hAnsi="Times New Roman"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灭火方法</w:t>
            </w:r>
          </w:p>
        </w:tc>
        <w:tc>
          <w:tcPr>
            <w:tcW w:w="8149" w:type="dxa"/>
            <w:gridSpan w:val="4"/>
            <w:tcBorders>
              <w:tl2br w:val="nil"/>
              <w:tr2bl w:val="nil"/>
            </w:tcBorders>
            <w:noWrap w:val="0"/>
            <w:vAlign w:val="center"/>
          </w:tcPr>
          <w:p w14:paraId="277E6B76">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切断气源。若不能立即切断气源，则不允许熄灭正在燃烧的气体。喷水冷却容器，可能的话将容器从火场移至空旷处</w:t>
            </w:r>
          </w:p>
          <w:p w14:paraId="0580042F">
            <w:pPr>
              <w:pStyle w:val="28"/>
              <w:keepNext w:val="0"/>
              <w:keepLines w:val="0"/>
              <w:pageBreakBefore w:val="0"/>
              <w:widowControl w:val="0"/>
              <w:kinsoku/>
              <w:wordWrap/>
              <w:overflowPunct/>
              <w:topLinePunct w:val="0"/>
              <w:autoSpaceDE w:val="0"/>
              <w:autoSpaceDN w:val="0"/>
              <w:bidi w:val="0"/>
              <w:adjustRightInd w:val="0"/>
              <w:snapToGrid/>
              <w:spacing w:beforeLines="0" w:after="0" w:afterLines="0" w:line="240" w:lineRule="auto"/>
              <w:ind w:left="0" w:firstLine="420" w:firstLineChars="200"/>
              <w:jc w:val="both"/>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14:textFill>
                  <w14:solidFill>
                    <w14:schemeClr w14:val="tx1"/>
                  </w14:solidFill>
                </w14:textFill>
              </w:rPr>
              <w:t>灭火剂：雾状水、泡沫、二氧化碳、干粉</w:t>
            </w:r>
          </w:p>
        </w:tc>
      </w:tr>
    </w:tbl>
    <w:p w14:paraId="31D37334">
      <w:pPr>
        <w:keepNext w:val="0"/>
        <w:keepLines w:val="0"/>
        <w:pageBreakBefore w:val="0"/>
        <w:widowControl w:val="0"/>
        <w:kinsoku/>
        <w:wordWrap/>
        <w:overflowPunct/>
        <w:topLinePunct w:val="0"/>
        <w:autoSpaceDE/>
        <w:autoSpaceDN/>
        <w:bidi w:val="0"/>
        <w:snapToGrid/>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5.8.2风险识别</w:t>
      </w:r>
    </w:p>
    <w:p w14:paraId="40CBFB0A">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5.8.2.1施工期环境风险识别</w:t>
      </w:r>
    </w:p>
    <w:p w14:paraId="79F0762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施工期施工过程的环境风险主要来自废旧</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清管过程，污水泄漏事故，天然气泄漏爆炸事故。</w:t>
      </w:r>
    </w:p>
    <w:p w14:paraId="03E9B65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废旧</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如果存在穿孔等安全隐患，清洗废水可能经裂缝泄漏污染地下水，造成地下水污染。</w:t>
      </w:r>
    </w:p>
    <w:p w14:paraId="5D61569A">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5.8.2.2运营期环境风险识别</w:t>
      </w:r>
    </w:p>
    <w:p w14:paraId="6135EF4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本项目运营期涉及的危险单元主要为集输管道。</w:t>
      </w:r>
    </w:p>
    <w:p w14:paraId="7AD36CA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（1）集输管道风险因素分析</w:t>
      </w:r>
    </w:p>
    <w:p w14:paraId="0B4E742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工程管道内的介质主要是含水油、含油污水、天然气，由于管材本身的质量、施工、运行和管理等各环节都可能出现缺陷和失误，从而导致事故发生。集输管道的常见事故是管道穿孔或破裂导致管道内介质泄漏，会导致原油和含油污水外泄，对环境污染较大。泄漏的油气如遇明火将引起火灾、爆炸。导致管道事故的主要因素分析如下：</w:t>
      </w:r>
    </w:p>
    <w:p w14:paraId="359C2954">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①管道由于腐蚀造成穿孔，焊缝开裂出现裂纹；</w:t>
      </w:r>
    </w:p>
    <w:p w14:paraId="09F7C5A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②管道材料缺陷或焊接缺陷；</w:t>
      </w:r>
    </w:p>
    <w:p w14:paraId="01DE3F5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③不法分子在管道上打孔或偷油；</w:t>
      </w:r>
    </w:p>
    <w:p w14:paraId="60049FB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④由于外物撞击而造成管道破裂；</w:t>
      </w:r>
    </w:p>
    <w:p w14:paraId="06397C9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⑤由于地震、洪</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水等</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自然灾害而引起的管道破裂；</w:t>
      </w:r>
    </w:p>
    <w:p w14:paraId="5F01E0D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⑥由于误开挖造成管道破裂；</w:t>
      </w:r>
    </w:p>
    <w:p w14:paraId="0692498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⑦操作失误。</w:t>
      </w:r>
    </w:p>
    <w:p w14:paraId="5011613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根据油田的运营经验，一般在油田开发7-8年后低洼地区的管道可能发生腐蚀穿孔事故，而导致原油泄漏到环境中。</w:t>
      </w:r>
    </w:p>
    <w:p w14:paraId="57EE4D9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（2）涉及依托场站风险因素分析</w:t>
      </w:r>
    </w:p>
    <w:p w14:paraId="37C64CA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本工程涉及转油站处理的介质具有易燃性质，因此，本工程依托场站主要事故类型是火灾、爆炸和油、含油污水、天然气泄漏。</w:t>
      </w:r>
    </w:p>
    <w:p w14:paraId="7E78BEE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本工程依托场站的事故主要因素分析如下：</w:t>
      </w:r>
    </w:p>
    <w:p w14:paraId="650EEEE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①组织不严密，管理不善，违章作业导致大量的油气泄漏遇明火爆炸燃烧；</w:t>
      </w:r>
    </w:p>
    <w:p w14:paraId="25AC0A1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②设备缺陷主要包括因选材错误而引起的设备、管道的腐蚀、侵蚀等引发火灾、爆炸；</w:t>
      </w:r>
    </w:p>
    <w:p w14:paraId="7C9CCDD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③设备安装时考虑不周不细，施工时施工质量差，不符合设计要求和施工验收规范，从而导致投产后发生事故；</w:t>
      </w:r>
    </w:p>
    <w:p w14:paraId="5F3E158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④控制生产装置的仪表仪器失灵，造成设备操作失控，引发油气泄漏，形成火灾等；</w:t>
      </w:r>
    </w:p>
    <w:p w14:paraId="5CCE2A4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⑤泄漏的油气遇明火发生火灾爆炸。</w:t>
      </w:r>
    </w:p>
    <w:p w14:paraId="6CCDD1D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⑥站场储罐破损，导致含油污水、原油</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泄漏</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，污染土壤、地下水。</w:t>
      </w:r>
    </w:p>
    <w:p w14:paraId="64C9E79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根据调查，依托场站未发生过环境风险事故。</w:t>
      </w:r>
    </w:p>
    <w:p w14:paraId="04CC18C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（3）事故伴生/次生风险分析</w:t>
      </w:r>
    </w:p>
    <w:p w14:paraId="325C6BE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在原油天然气发生火灾事故情况下，各装置及储运系统主要气态伴生/次生危害物质为物质燃烧、不完全燃烧所产生的CO及黑烟、飞灰等。</w:t>
      </w:r>
    </w:p>
    <w:p w14:paraId="4339A10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CO危险特性：一种易燃易爆气体。与空气混合能形成爆炸性混合物，遇明火、高热能引起燃烧爆炸。健康危害：一氧化碳在血中与血红蛋白结合而造成组织缺氧。急性中毒：轻度中毒者出现头痛、耳鸣、心悸、呕吐、无力，血液碳氧血红蛋白浓度可高于10％；中度中毒者除上述症状外，还有皮肤粘膜呈樱红色、脉快、烦躁、步态不稳、浅至中度昏迷，血液碳氧血红蛋白浓度可高于30％；重度患者深度昏迷、瞳孔缩小、肌张力增强、频繁抽搐、大小便失禁、休克、严重心肌损害等，血液碳氧血红蛋白可高于50％。慢性影响：能否造成慢性中毒及对心血管影响无定论。环境危害：对大气可造成污染。</w:t>
      </w:r>
    </w:p>
    <w:p w14:paraId="67D1534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本工程主要生产设备设施环境风险识别见表5.8-3。</w:t>
      </w:r>
    </w:p>
    <w:p w14:paraId="288676F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表5.8-3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工程环境风险识别表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955"/>
        <w:gridCol w:w="1725"/>
        <w:gridCol w:w="3810"/>
        <w:gridCol w:w="1638"/>
      </w:tblGrid>
      <w:tr w14:paraId="46ECB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955" w:type="dxa"/>
            <w:tcBorders>
              <w:tl2br w:val="nil"/>
              <w:tr2bl w:val="nil"/>
            </w:tcBorders>
            <w:noWrap w:val="0"/>
            <w:tcMar>
              <w:left w:w="28" w:type="dxa"/>
              <w:right w:w="28" w:type="dxa"/>
            </w:tcMar>
            <w:vAlign w:val="center"/>
          </w:tcPr>
          <w:p w14:paraId="7FFD1B4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主要设备及场所名称</w:t>
            </w:r>
          </w:p>
        </w:tc>
        <w:tc>
          <w:tcPr>
            <w:tcW w:w="1725" w:type="dxa"/>
            <w:tcBorders>
              <w:tl2br w:val="nil"/>
              <w:tr2bl w:val="nil"/>
            </w:tcBorders>
            <w:noWrap w:val="0"/>
            <w:tcMar>
              <w:left w:w="28" w:type="dxa"/>
              <w:right w:w="28" w:type="dxa"/>
            </w:tcMar>
            <w:vAlign w:val="center"/>
          </w:tcPr>
          <w:p w14:paraId="44E0163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危险介质</w:t>
            </w:r>
          </w:p>
        </w:tc>
        <w:tc>
          <w:tcPr>
            <w:tcW w:w="3810" w:type="dxa"/>
            <w:tcBorders>
              <w:tl2br w:val="nil"/>
              <w:tr2bl w:val="nil"/>
            </w:tcBorders>
            <w:noWrap w:val="0"/>
            <w:tcMar>
              <w:left w:w="28" w:type="dxa"/>
              <w:right w:w="28" w:type="dxa"/>
            </w:tcMar>
            <w:vAlign w:val="center"/>
          </w:tcPr>
          <w:p w14:paraId="008505C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主要危险特性</w:t>
            </w:r>
          </w:p>
        </w:tc>
        <w:tc>
          <w:tcPr>
            <w:tcW w:w="1638" w:type="dxa"/>
            <w:tcBorders>
              <w:tl2br w:val="nil"/>
              <w:tr2bl w:val="nil"/>
            </w:tcBorders>
            <w:noWrap w:val="0"/>
            <w:tcMar>
              <w:left w:w="28" w:type="dxa"/>
              <w:right w:w="28" w:type="dxa"/>
            </w:tcMar>
            <w:vAlign w:val="center"/>
          </w:tcPr>
          <w:p w14:paraId="0C26860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影响环境</w:t>
            </w:r>
          </w:p>
        </w:tc>
      </w:tr>
      <w:tr w14:paraId="4C3BC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955" w:type="dxa"/>
            <w:tcBorders>
              <w:tl2br w:val="nil"/>
              <w:tr2bl w:val="nil"/>
            </w:tcBorders>
            <w:noWrap w:val="0"/>
            <w:tcMar>
              <w:left w:w="28" w:type="dxa"/>
              <w:right w:w="28" w:type="dxa"/>
            </w:tcMar>
            <w:vAlign w:val="center"/>
          </w:tcPr>
          <w:p w14:paraId="2A89120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集输管道</w:t>
            </w:r>
          </w:p>
        </w:tc>
        <w:tc>
          <w:tcPr>
            <w:tcW w:w="1725" w:type="dxa"/>
            <w:tcBorders>
              <w:tl2br w:val="nil"/>
              <w:tr2bl w:val="nil"/>
            </w:tcBorders>
            <w:noWrap w:val="0"/>
            <w:tcMar>
              <w:left w:w="28" w:type="dxa"/>
              <w:right w:w="28" w:type="dxa"/>
            </w:tcMar>
            <w:vAlign w:val="center"/>
          </w:tcPr>
          <w:p w14:paraId="17F1AA4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原油、天然气、含油污水</w:t>
            </w:r>
          </w:p>
        </w:tc>
        <w:tc>
          <w:tcPr>
            <w:tcW w:w="3810" w:type="dxa"/>
            <w:tcBorders>
              <w:tl2br w:val="nil"/>
              <w:tr2bl w:val="nil"/>
            </w:tcBorders>
            <w:noWrap w:val="0"/>
            <w:tcMar>
              <w:left w:w="28" w:type="dxa"/>
              <w:right w:w="28" w:type="dxa"/>
            </w:tcMar>
            <w:vAlign w:val="center"/>
          </w:tcPr>
          <w:p w14:paraId="0E350D1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火灾、爆炸、</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次生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CO、</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油水泄漏污染</w:t>
            </w:r>
          </w:p>
        </w:tc>
        <w:tc>
          <w:tcPr>
            <w:tcW w:w="1638" w:type="dxa"/>
            <w:tcBorders>
              <w:tl2br w:val="nil"/>
              <w:tr2bl w:val="nil"/>
            </w:tcBorders>
            <w:noWrap w:val="0"/>
            <w:tcMar>
              <w:left w:w="28" w:type="dxa"/>
              <w:right w:w="28" w:type="dxa"/>
            </w:tcMar>
            <w:vAlign w:val="center"/>
          </w:tcPr>
          <w:p w14:paraId="63EA495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空气</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地下水、土壤</w:t>
            </w:r>
          </w:p>
        </w:tc>
      </w:tr>
      <w:tr w14:paraId="5DB94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955" w:type="dxa"/>
            <w:tcBorders>
              <w:tl2br w:val="nil"/>
              <w:tr2bl w:val="nil"/>
            </w:tcBorders>
            <w:noWrap w:val="0"/>
            <w:tcMar>
              <w:left w:w="28" w:type="dxa"/>
              <w:right w:w="28" w:type="dxa"/>
            </w:tcMar>
            <w:vAlign w:val="center"/>
          </w:tcPr>
          <w:p w14:paraId="512493D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宋一联含油污水处理站</w:t>
            </w:r>
          </w:p>
        </w:tc>
        <w:tc>
          <w:tcPr>
            <w:tcW w:w="1725" w:type="dxa"/>
            <w:tcBorders>
              <w:tl2br w:val="nil"/>
              <w:tr2bl w:val="nil"/>
            </w:tcBorders>
            <w:noWrap w:val="0"/>
            <w:tcMar>
              <w:left w:w="28" w:type="dxa"/>
              <w:right w:w="28" w:type="dxa"/>
            </w:tcMar>
            <w:vAlign w:val="center"/>
          </w:tcPr>
          <w:p w14:paraId="2344531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原油、含油污水</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、天然气</w:t>
            </w:r>
          </w:p>
        </w:tc>
        <w:tc>
          <w:tcPr>
            <w:tcW w:w="3810" w:type="dxa"/>
            <w:tcBorders>
              <w:tl2br w:val="nil"/>
              <w:tr2bl w:val="nil"/>
            </w:tcBorders>
            <w:noWrap w:val="0"/>
            <w:tcMar>
              <w:left w:w="28" w:type="dxa"/>
              <w:right w:w="28" w:type="dxa"/>
            </w:tcMar>
            <w:vAlign w:val="center"/>
          </w:tcPr>
          <w:p w14:paraId="6556EA1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火灾、爆炸、</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次生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CO、</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中毒、</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油水泄漏污染</w:t>
            </w:r>
          </w:p>
        </w:tc>
        <w:tc>
          <w:tcPr>
            <w:tcW w:w="1638" w:type="dxa"/>
            <w:tcBorders>
              <w:tl2br w:val="nil"/>
              <w:tr2bl w:val="nil"/>
            </w:tcBorders>
            <w:noWrap w:val="0"/>
            <w:tcMar>
              <w:left w:w="28" w:type="dxa"/>
              <w:right w:w="28" w:type="dxa"/>
            </w:tcMar>
            <w:vAlign w:val="center"/>
          </w:tcPr>
          <w:p w14:paraId="41B85EF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空气、地下水、土壤</w:t>
            </w:r>
          </w:p>
        </w:tc>
      </w:tr>
    </w:tbl>
    <w:p w14:paraId="7EDF43F0">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5.8.</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14:textFill>
            <w14:solidFill>
              <w14:schemeClr w14:val="tx1"/>
            </w14:solidFill>
          </w14:textFill>
        </w:rPr>
        <w:t>环境风险分析</w:t>
      </w:r>
    </w:p>
    <w:p w14:paraId="03D6D0CC">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5.8.3.1事故状态下大气环境风险分析</w:t>
      </w:r>
    </w:p>
    <w:p w14:paraId="697D6607">
      <w:pPr>
        <w:pStyle w:val="34"/>
        <w:keepNext w:val="0"/>
        <w:keepLines w:val="0"/>
        <w:pageBreakBefore w:val="0"/>
        <w:widowControl w:val="0"/>
        <w:kinsoku/>
        <w:wordWrap/>
        <w:topLinePunct w:val="0"/>
        <w:bidi w:val="0"/>
        <w:ind w:firstLine="48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本项目运行期集油管道、天然气管道因腐蚀等原因发生原油、伴生气及天然气泄漏会直接对周围大气环境造成污染影响。</w:t>
      </w:r>
      <w:r>
        <w:rPr>
          <w:rFonts w:hint="default" w:ascii="Times New Roman" w:hAnsi="Times New Roman" w:cs="Times New Roman"/>
          <w:color w:val="000000" w:themeColor="text1"/>
          <w:highlight w:val="none"/>
          <w:lang w:val="en-US" w:eastAsia="zh-CN"/>
          <w14:textFill>
            <w14:solidFill>
              <w14:schemeClr w14:val="tx1"/>
            </w14:solidFill>
          </w14:textFill>
        </w:rPr>
        <w:t>原油泄漏对大气环境的影响主要指原油中较轻组分（包括各种烃类气体）逐渐挥发进入大气造成烃类污染。如果泄漏的原油得不到及时处理，则烃类组分的挥发过程将持续较长时间，直到剩下较重的多环芳烃及沥青等物质。经查，多环芳烃在空气中超过一定浓度范围则会致人与动物癌变，通常苯并芘在空气中的浓度为0.01~100μg/1000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，超过这个范围时，则对在其</w:t>
      </w:r>
      <w:r>
        <w:rPr>
          <w:rFonts w:hint="eastAsia" w:cs="Times New Roman"/>
          <w:color w:val="000000" w:themeColor="text1"/>
          <w:highlight w:val="none"/>
          <w:lang w:val="en-US" w:eastAsia="zh-CN"/>
          <w14:textFill>
            <w14:solidFill>
              <w14:schemeClr w14:val="tx1"/>
            </w14:solidFill>
          </w14:textFill>
        </w:rPr>
        <w:t>环境中工作的人员有致癌作用。因原油、天然气泄漏而造成的大气污染的程度，一般取决于原油成分、泄漏量、覆盖面积、气温及持续时间等。泄漏量越多、覆盖面积越大、气温越高、持续时间越长，因此而造成的烃类气体污染也越严重。反之，则污染相对较轻。原油及伴生气泄漏时局部大气中非甲烷总烃浓度可比正常情况高出数倍甚至数十倍。若遇明火引发的火灾事故可在短时间内产生大量燃烧烟气，对大气环境造成短时间的严重污染。</w:t>
      </w:r>
    </w:p>
    <w:p w14:paraId="42539202">
      <w:pPr>
        <w:pStyle w:val="34"/>
        <w:keepNext w:val="0"/>
        <w:keepLines w:val="0"/>
        <w:pageBreakBefore w:val="0"/>
        <w:widowControl w:val="0"/>
        <w:kinsoku/>
        <w:wordWrap/>
        <w:topLinePunct w:val="0"/>
        <w:bidi w:val="0"/>
        <w:ind w:firstLine="480"/>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集输管道设有压力监控装置，加强对集输管线进行巡查，可及时发现管线腐蚀、穿孔等问题，能够有效的避免泄漏、火灾爆炸事故的发生。此外，项目所在区域地势平坦，扩散条件好在一定的气象条件下一次性事故形成的局部大气污染中烃类气体聚集成高浓度的可能性较小，对周围大气环境的影响较小。</w:t>
      </w:r>
    </w:p>
    <w:p w14:paraId="2BA2A0A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事故状态下地下水环境风险分析</w:t>
      </w:r>
    </w:p>
    <w:p w14:paraId="1856050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本工程事故状态下对地下水污染途径主要是集输管道事故泄漏。</w:t>
      </w:r>
    </w:p>
    <w:p w14:paraId="1ECCFC7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一旦发生泄漏，含油污水就可能会渗透到含水层中，造成地下水环境污染。资料研究结果表明：石油类污染物在一般土壤中绝大部分集中在泄漏层以下0-10cm及10</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30cm范围，一般下渗深度在80cm以内，一般很难下渗2m以下，存在对潜水含水层造成影响的可能，但影响范围有限，一般在几百米范围。而承压含水层一般都有隔水顶板，与潜水层相互隔离，其透水性很差，因此对承压水层产生影响的可能性很小。</w:t>
      </w:r>
    </w:p>
    <w:p w14:paraId="26F09DC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集输管线采用内缠胶带硬质聚氨酯泡沫夹克管。项目在运营期定期进行巡检，定期进行集输管线壁厚检测。此外，本项目集输管线设有压力监控，一旦发生泄漏管道压力就会出现异常，工作人员可第一时间发现，发现后采取关闭机泵等措施进行控制。因此，在严格落实上述措施后，项目集输管线泄漏对周围地下水环境的影响较小。</w:t>
      </w:r>
    </w:p>
    <w:p w14:paraId="6D842145">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事故状态下对土壤环境风险分析</w:t>
      </w:r>
    </w:p>
    <w:p w14:paraId="5032E63B">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管道选用内缠胶带硬质聚氨酯泡沫夹克管，设计壁厚的腐蚀余量大于3mm，管道的外防腐等级采用加强级，管道的连接方式采用焊接，正常状况下，</w:t>
      </w:r>
      <w:r>
        <w:rPr>
          <w:rFonts w:hint="eastAsia" w:eastAsia="宋体" w:cs="Times New Roman"/>
          <w:snapToGrid w:val="0"/>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不会</w:t>
      </w:r>
      <w:r>
        <w:rPr>
          <w:rFonts w:hint="eastAsia" w:eastAsia="宋体" w:cs="Times New Roman"/>
          <w:snapToGrid w:val="0"/>
          <w:color w:val="000000" w:themeColor="text1"/>
          <w:kern w:val="0"/>
          <w:sz w:val="24"/>
          <w:szCs w:val="24"/>
          <w:highlight w:val="none"/>
          <w:lang w:val="en-US" w:eastAsia="zh-CN"/>
          <w14:textFill>
            <w14:solidFill>
              <w14:schemeClr w14:val="tx1"/>
            </w14:solidFill>
          </w14:textFill>
        </w:rPr>
        <w:t>泄漏</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，污油污水对土壤不会造成影响。一旦发生事故，</w:t>
      </w:r>
      <w:r>
        <w:rPr>
          <w:rFonts w:hint="eastAsia" w:eastAsia="宋体" w:cs="Times New Roman"/>
          <w:snapToGrid w:val="0"/>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破损，污油污水泄漏，</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石油类对土壤的污染，可使土地肥力下降，改变土壤的理化性质，影响局部区域土壤正常的结构和功能。事故性原油的大规模泄漏可影响草地的生态环境，危害植物生长。其危害最显著的表现为植物，原油黏附于枝叶，阻止植物进行光合作用，可使植物枯萎死亡；在土壤中粘附于植物根系，可阻止植物吸收水分和矿物质而死亡。</w:t>
      </w:r>
    </w:p>
    <w:p w14:paraId="6464446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5.8.3.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事故状态下对生态环境的风险分析</w:t>
      </w:r>
    </w:p>
    <w:p w14:paraId="2077734C">
      <w:pPr>
        <w:pStyle w:val="36"/>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该项目区域内的生态系统主要是耕地</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草地</w:t>
      </w:r>
      <w:r>
        <w:rPr>
          <w:rFonts w:hint="eastAsia" w:cs="Times New Roman"/>
          <w:color w:val="000000" w:themeColor="text1"/>
          <w:highlight w:val="none"/>
          <w:lang w:val="en-US" w:eastAsia="zh-CN"/>
          <w14:textFill>
            <w14:solidFill>
              <w14:schemeClr w14:val="tx1"/>
            </w14:solidFill>
          </w14:textFill>
        </w:rPr>
        <w:t>及林地</w:t>
      </w:r>
      <w:r>
        <w:rPr>
          <w:rFonts w:hint="default" w:ascii="Times New Roman" w:hAnsi="Times New Roman" w:cs="Times New Roman"/>
          <w:color w:val="000000" w:themeColor="text1"/>
          <w:highlight w:val="none"/>
          <w14:textFill>
            <w14:solidFill>
              <w14:schemeClr w14:val="tx1"/>
            </w14:solidFill>
          </w14:textFill>
        </w:rPr>
        <w:t>，大量含油污水泄漏可对耕地</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草地</w:t>
      </w:r>
      <w:r>
        <w:rPr>
          <w:rFonts w:hint="eastAsia" w:cs="Times New Roman"/>
          <w:color w:val="000000" w:themeColor="text1"/>
          <w:highlight w:val="none"/>
          <w:lang w:val="en-US" w:eastAsia="zh-CN"/>
          <w14:textFill>
            <w14:solidFill>
              <w14:schemeClr w14:val="tx1"/>
            </w14:solidFill>
          </w14:textFill>
        </w:rPr>
        <w:t>、林地</w:t>
      </w:r>
      <w:r>
        <w:rPr>
          <w:rFonts w:hint="default" w:ascii="Times New Roman" w:hAnsi="Times New Roman" w:cs="Times New Roman"/>
          <w:color w:val="000000" w:themeColor="text1"/>
          <w:highlight w:val="none"/>
          <w14:textFill>
            <w14:solidFill>
              <w14:schemeClr w14:val="tx1"/>
            </w14:solidFill>
          </w14:textFill>
        </w:rPr>
        <w:t>产生影响，减少农作物产量，其危害最大的是植物，含油物质黏附于枝叶上，就会影响植物的光合作用，可使植物枯萎死亡；含油污水喷溅到植物上或散落到土壤中，黏附于植物根系，可阻止植物吸收水分和矿物质，导致植物死亡</w:t>
      </w:r>
      <w:r>
        <w:rPr>
          <w:rFonts w:hint="default" w:ascii="Times New Roman" w:hAnsi="Times New Roman" w:cs="Times New Roman"/>
          <w:color w:val="000000" w:themeColor="text1"/>
          <w:highlight w:val="none"/>
          <w:lang w:eastAsia="zh-CN"/>
          <w14:textFill>
            <w14:solidFill>
              <w14:schemeClr w14:val="tx1"/>
            </w14:solidFill>
          </w14:textFill>
        </w:rPr>
        <w:t>。</w:t>
      </w:r>
    </w:p>
    <w:p w14:paraId="4E8E4831">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5.8.</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14:textFill>
            <w14:solidFill>
              <w14:schemeClr w14:val="tx1"/>
            </w14:solidFill>
          </w14:textFill>
        </w:rPr>
        <w:t>环境风险应急要求</w:t>
      </w:r>
    </w:p>
    <w:p w14:paraId="3AE7556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改建</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工程，目前</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已建立较完善的应急预案体系，</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制定有《</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环境突发事件专项应急预案》，主要包括应急组织机构及职责明确、监测与预警、应急处置与应急响应、恢复与重建、应急保障与培训等内容，</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并在2023年6月进行备案，备案编号230621-2023-010-L（具体见附件3）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6097FCB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境突发事件专项预案》中包含了风险分析与事件分级、应急响应等内容，而且明确了环境突发事件应急储备物资清单、应急联络单等内容。根据自然灾害、人为破坏、人为操作失误和设备缺陷等原因，在生产、使用、贮存、运输和油气处置工艺过程中易出现原油等危化品泄漏现象确定突发事件类型，主要涵盖4类风险：</w:t>
      </w:r>
    </w:p>
    <w:p w14:paraId="0666057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①油气等生产过程中输送物料</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发生泄漏。</w:t>
      </w:r>
    </w:p>
    <w:p w14:paraId="21211F2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②产品储存区等出现泄漏事故。</w:t>
      </w:r>
    </w:p>
    <w:p w14:paraId="282E761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③作业环境由于储罐、管道、阀门、法兰等容器使用、腐蚀、损伤或密封圈损坏等原因，出现泄漏。</w:t>
      </w:r>
    </w:p>
    <w:p w14:paraId="5F8376A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④装卸过程中，由于泵、法兰、管道、密闭等处发生泄漏或者由于装料过满、受热膨胀等发生泄漏。</w:t>
      </w:r>
    </w:p>
    <w:p w14:paraId="6A888C2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针对这四种风险，该《应急预案进行了组织机构及职责明确、预防与预警设置、应急响应与保障内容确定以及油气集输突发事件的联络信息公布，预案内容针对性较强，组织结构框架合理。总体上看，建设单位目前拥有的应急预案内容较为完善，已有应急预案能够满足建设项目的要求，但应加强对应急预案的定期风险应急演练及员工培训。上述制定的事故应急预案，已报当地政府备案，并定期进行演练。</w:t>
      </w:r>
    </w:p>
    <w:p w14:paraId="1B7A6177">
      <w:pPr>
        <w:pStyle w:val="34"/>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通过分析，工程在发生事故状态下可依托已经制定了相关应急预案及相关应急资源。不需对本工程提出新的应急预案，发生风险事故时按已建立的事故风险应急预案执行，在执行应急预案的同时，要加强区域应急联动体系，定期进行地企联动应急演练，提高突发事件的应急处理能力。</w:t>
      </w:r>
    </w:p>
    <w:p w14:paraId="6225A2C0">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5.8.</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highlight w:val="none"/>
          <w14:textFill>
            <w14:solidFill>
              <w14:schemeClr w14:val="tx1"/>
            </w14:solidFill>
          </w14:textFill>
        </w:rPr>
        <w:t>环境风险评价结论</w:t>
      </w:r>
    </w:p>
    <w:p w14:paraId="11E5BAE3">
      <w:pPr>
        <w:pStyle w:val="36"/>
        <w:keepNext w:val="0"/>
        <w:keepLines w:val="0"/>
        <w:pageBreakBefore w:val="0"/>
        <w:widowControl w:val="0"/>
        <w:kinsoku/>
        <w:wordWrap/>
        <w:topLinePunct w:val="0"/>
        <w:bidi w:val="0"/>
        <w:ind w:firstLine="48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通过对本工程产能建设工程的环境风险分析可知，本工程的主要环境风险是</w:t>
      </w:r>
      <w:r>
        <w:rPr>
          <w:rFonts w:hint="eastAsia" w:cs="Times New Roman"/>
          <w:color w:val="000000" w:themeColor="text1"/>
          <w:highlight w:val="none"/>
          <w:lang w:eastAsia="zh-CN"/>
          <w14:textFill>
            <w14:solidFill>
              <w14:schemeClr w14:val="tx1"/>
            </w14:solidFill>
          </w14:textFill>
        </w:rPr>
        <w:t>泄漏</w:t>
      </w:r>
      <w:r>
        <w:rPr>
          <w:rFonts w:hint="default" w:ascii="Times New Roman" w:hAnsi="Times New Roman" w:cs="Times New Roman"/>
          <w:color w:val="000000" w:themeColor="text1"/>
          <w:highlight w:val="none"/>
          <w14:textFill>
            <w14:solidFill>
              <w14:schemeClr w14:val="tx1"/>
            </w14:solidFill>
          </w14:textFill>
        </w:rPr>
        <w:t>、火灾和爆炸，对区域内的</w:t>
      </w:r>
      <w:r>
        <w:rPr>
          <w:rFonts w:hint="default" w:ascii="Times New Roman" w:hAnsi="Times New Roman" w:cs="Times New Roman"/>
          <w:color w:val="000000" w:themeColor="text1"/>
          <w:highlight w:val="none"/>
          <w:lang w:val="en-US" w:eastAsia="zh-CN"/>
          <w14:textFill>
            <w14:solidFill>
              <w14:schemeClr w14:val="tx1"/>
            </w14:solidFill>
          </w14:textFill>
        </w:rPr>
        <w:t>地表水环境、</w:t>
      </w:r>
      <w:r>
        <w:rPr>
          <w:rFonts w:hint="default" w:ascii="Times New Roman" w:hAnsi="Times New Roman" w:cs="Times New Roman"/>
          <w:color w:val="000000" w:themeColor="text1"/>
          <w:highlight w:val="none"/>
          <w14:textFill>
            <w14:solidFill>
              <w14:schemeClr w14:val="tx1"/>
            </w14:solidFill>
          </w14:textFill>
        </w:rPr>
        <w:t>地下水环境、土壤环境和空气环境有潜在危害性。在工程采取一系列风险防范措施、应急措施和建立环境风险防控体系后，火灾爆炸等事故影响可控，可以降低事故的发生率和事故情况下对周围环境的影响。但建设单位应加强员工的环保教育和培训，完善项目的事故应急预案，增加事故应急监测及事故评估等规定内容并定期演习，避免重大污染事故的发生。</w:t>
      </w:r>
      <w:r>
        <w:rPr>
          <w:rFonts w:hint="default" w:ascii="Times New Roman" w:hAnsi="Times New Roman" w:cs="Times New Roman"/>
          <w:color w:val="000000" w:themeColor="text1"/>
          <w:highlight w:val="none"/>
          <w:lang w:eastAsia="zh-CN"/>
          <w14:textFill>
            <w14:solidFill>
              <w14:schemeClr w14:val="tx1"/>
            </w14:solidFill>
          </w14:textFill>
        </w:rPr>
        <w:t>建设项目环境风险简单分析内容表见附表</w:t>
      </w:r>
      <w:r>
        <w:rPr>
          <w:rFonts w:hint="default" w:ascii="Times New Roman" w:hAnsi="Times New Roman" w:cs="Times New Roman"/>
          <w:color w:val="000000" w:themeColor="text1"/>
          <w:highlight w:val="none"/>
          <w:lang w:val="en-US" w:eastAsia="zh-CN"/>
          <w14:textFill>
            <w14:solidFill>
              <w14:schemeClr w14:val="tx1"/>
            </w14:solidFill>
          </w14:textFill>
        </w:rPr>
        <w:t>3。</w:t>
      </w:r>
    </w:p>
    <w:p w14:paraId="532E8AC2">
      <w:pPr>
        <w:pStyle w:val="37"/>
        <w:keepNext w:val="0"/>
        <w:keepLines w:val="0"/>
        <w:pageBreakBefore w:val="0"/>
        <w:widowControl w:val="0"/>
        <w:kinsoku/>
        <w:wordWrap/>
        <w:topLinePunct w:val="0"/>
        <w:bidi w:val="0"/>
        <w:ind w:left="0" w:leftChars="0" w:firstLine="0" w:firstLineChars="0"/>
        <w:rPr>
          <w:rFonts w:hint="default" w:ascii="Times New Roman" w:hAnsi="Times New Roman" w:cs="Times New Roman"/>
          <w:color w:val="000000" w:themeColor="text1"/>
          <w:highlight w:val="none"/>
          <w:lang w:eastAsia="zh-CN"/>
          <w14:textFill>
            <w14:solidFill>
              <w14:schemeClr w14:val="tx1"/>
            </w14:solidFill>
          </w14:textFill>
        </w:rPr>
        <w:sectPr>
          <w:pgSz w:w="11906" w:h="16838"/>
          <w:pgMar w:top="1417" w:right="1417" w:bottom="1417" w:left="1417" w:header="850" w:footer="1077" w:gutter="0"/>
          <w:pgBorders>
            <w:top w:val="none" w:sz="0" w:space="0"/>
            <w:left w:val="none" w:sz="0" w:space="0"/>
            <w:bottom w:val="none" w:sz="0" w:space="0"/>
            <w:right w:val="none" w:sz="0" w:space="0"/>
          </w:pgBorders>
          <w:pgNumType w:fmt="decimal"/>
          <w:cols w:space="708" w:num="1"/>
          <w:docGrid w:linePitch="360" w:charSpace="0"/>
        </w:sectPr>
      </w:pPr>
    </w:p>
    <w:p w14:paraId="69639C06">
      <w:pPr>
        <w:keepNext w:val="0"/>
        <w:keepLines w:val="0"/>
        <w:pageBreakBefore w:val="0"/>
        <w:widowControl w:val="0"/>
        <w:tabs>
          <w:tab w:val="center" w:pos="4394"/>
          <w:tab w:val="left" w:pos="5484"/>
        </w:tabs>
        <w:kinsoku/>
        <w:wordWrap/>
        <w:overflowPunct/>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119" w:name="_Toc6391"/>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六</w:t>
      </w:r>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环保措施及其可行性论证</w:t>
      </w:r>
      <w:bookmarkEnd w:id="119"/>
    </w:p>
    <w:p w14:paraId="5EC2BBC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20" w:name="_Toc11744"/>
      <w:r>
        <w:rPr>
          <w:rFonts w:hint="default" w:ascii="Times New Roman" w:hAnsi="Times New Roman" w:eastAsia="宋体" w:cs="Times New Roman"/>
          <w:b/>
          <w:color w:val="000000" w:themeColor="text1"/>
          <w:sz w:val="28"/>
          <w:szCs w:val="28"/>
          <w:highlight w:val="none"/>
          <w14:textFill>
            <w14:solidFill>
              <w14:schemeClr w14:val="tx1"/>
            </w14:solidFill>
          </w14:textFill>
        </w:rPr>
        <w:t>6.1大气污染防治措施</w:t>
      </w:r>
      <w:bookmarkEnd w:id="120"/>
    </w:p>
    <w:p w14:paraId="0F60517A">
      <w:pPr>
        <w:keepNext w:val="0"/>
        <w:keepLines w:val="0"/>
        <w:pageBreakBefore w:val="0"/>
        <w:widowControl w:val="0"/>
        <w:kinsoku/>
        <w:wordWrap/>
        <w:overflowPunct w:val="0"/>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6.1.1施工期大气污染防治措施</w:t>
      </w:r>
    </w:p>
    <w:p w14:paraId="5230CD1F">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本工程施工期的环境空气影响主要来源自地面工程施工时管沟开挖、土方堆填、车辆运输、恢复原有地面等过程中产生的粉尘、二次扬尘，管道焊接过程产生的焊接烟尘，以及施工设备和运输车辆尾气。</w:t>
      </w:r>
    </w:p>
    <w:p w14:paraId="5AF2A3DD">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6.1.1.1施工车辆尾气</w:t>
      </w:r>
    </w:p>
    <w:p w14:paraId="33BDA239">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运输车辆尾气含有NO</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、CO、THC等污染物，一般情况下，各种污染物的排放量不大，对周围环境的影响较小。运输车辆在野外作业区时有利于尾气扩散，不会对环境产生污染。</w:t>
      </w:r>
    </w:p>
    <w:p w14:paraId="290DE22C">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6.1.1.2焊接烟尘</w:t>
      </w:r>
    </w:p>
    <w:p w14:paraId="2AADF687">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highlight w:val="none"/>
          <w:lang w:val="en-US" w:eastAsia="zh-CN"/>
          <w14:textFill>
            <w14:solidFill>
              <w14:schemeClr w14:val="tx1"/>
            </w14:solidFill>
          </w14:textFill>
        </w:rPr>
        <w:t>焊接过程中会产生焊接烟尘，主要成分为金属氧化物，本工程较为分散，焊接烟尘非集中排放，经空气稀释、扩散后对周围大气环境影响较小。</w:t>
      </w:r>
    </w:p>
    <w:p w14:paraId="3EBAF491">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6.1.1.3施工扬尘</w:t>
      </w:r>
    </w:p>
    <w:p w14:paraId="3AD6FBF3">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（1）为防止因交通运输量的增加而导致的扬尘污染，应在施工初期合理规划道路运输路线，尽量利用现有公路网络。</w:t>
      </w:r>
    </w:p>
    <w:p w14:paraId="46E3EBFB">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（2）运输道路、施工场地应定时洒水抑尘，定期清扫散落在施工场地的泥土，应实行湿法吸扫，严禁干扫和吹扫，以减少扬尘对周边土壤和植被的影响。</w:t>
      </w:r>
    </w:p>
    <w:p w14:paraId="005EB53A">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（3）土方开挖应采取遮盖、围挡、洒水等防尘措施。临时</w:t>
      </w:r>
      <w:r>
        <w:rPr>
          <w:rFonts w:hint="eastAsia" w:cs="Times New Roman"/>
          <w:color w:val="000000" w:themeColor="text1"/>
          <w:highlight w:val="none"/>
          <w:lang w:val="en-US" w:eastAsia="zh-CN"/>
          <w14:textFill>
            <w14:solidFill>
              <w14:schemeClr w14:val="tx1"/>
            </w14:solidFill>
          </w14:textFill>
        </w:rPr>
        <w:t>表土</w:t>
      </w:r>
      <w:r>
        <w:rPr>
          <w:rFonts w:hint="default" w:ascii="Times New Roman" w:hAnsi="Times New Roman" w:eastAsia="宋体" w:cs="Times New Roman"/>
          <w:color w:val="000000" w:themeColor="text1"/>
          <w:highlight w:val="none"/>
          <w:lang w:val="en-US" w:eastAsia="zh-CN"/>
          <w14:textFill>
            <w14:solidFill>
              <w14:schemeClr w14:val="tx1"/>
            </w14:solidFill>
          </w14:textFill>
        </w:rPr>
        <w:t>集中堆放在背风侧，临时堆放土堆应采取覆盖、洒水等防尘措施；缩短土方裸露时间，且不宜堆积过久、过高，堆放过程中应在顶部加盖篷布；对易产生扬尘污染的建筑材料堆应覆盖到位。</w:t>
      </w:r>
    </w:p>
    <w:p w14:paraId="4E73B6DD">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）合理规划施工进度，及时开挖，及时回填，防止弃土风化失水而起沙起尘；遇大风天气应停止土方工程施工作业。</w:t>
      </w:r>
    </w:p>
    <w:p w14:paraId="68B7697E">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）施工结束后，应及时进行施工场地的清理，清除积土、堆物。对临时占地进行土地平整、植被恢复。</w:t>
      </w:r>
    </w:p>
    <w:p w14:paraId="7D1B714C">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lang w:val="en-US" w:eastAsia="zh-CN"/>
          <w14:textFill>
            <w14:solidFill>
              <w14:schemeClr w14:val="tx1"/>
            </w14:solidFill>
          </w14:textFill>
        </w:rPr>
        <w:t>）位于</w:t>
      </w:r>
      <w:r>
        <w:rPr>
          <w:rFonts w:hint="eastAsia" w:cs="Times New Roman"/>
          <w:color w:val="000000" w:themeColor="text1"/>
          <w:highlight w:val="none"/>
          <w:lang w:val="en-US" w:eastAsia="zh-CN"/>
          <w14:textFill>
            <w14:solidFill>
              <w14:schemeClr w14:val="tx1"/>
            </w14:solidFill>
          </w14:textFill>
        </w:rPr>
        <w:t>盛广和屯、宋芳屯居住区等村屯</w:t>
      </w:r>
      <w:r>
        <w:rPr>
          <w:rFonts w:hint="default" w:ascii="Times New Roman" w:hAnsi="Times New Roman" w:cs="Times New Roman"/>
          <w:color w:val="000000" w:themeColor="text1"/>
          <w:highlight w:val="none"/>
          <w:lang w:val="en-US" w:eastAsia="zh-CN"/>
          <w14:textFill>
            <w14:solidFill>
              <w14:schemeClr w14:val="tx1"/>
            </w14:solidFill>
          </w14:textFill>
        </w:rPr>
        <w:t>平房</w:t>
      </w:r>
      <w:r>
        <w:rPr>
          <w:rFonts w:hint="default" w:ascii="Times New Roman" w:hAnsi="Times New Roman" w:eastAsia="宋体" w:cs="Times New Roman"/>
          <w:color w:val="000000" w:themeColor="text1"/>
          <w:highlight w:val="none"/>
          <w:lang w:val="en-US" w:eastAsia="zh-CN"/>
          <w14:textFill>
            <w14:solidFill>
              <w14:schemeClr w14:val="tx1"/>
            </w14:solidFill>
          </w14:textFill>
        </w:rPr>
        <w:t>附近的管道施工时，应设置硬质围挡，</w:t>
      </w:r>
      <w:r>
        <w:rPr>
          <w:rFonts w:hint="eastAsia" w:cs="Times New Roman"/>
          <w:color w:val="000000" w:themeColor="text1"/>
          <w:highlight w:val="none"/>
          <w:lang w:val="en-US" w:eastAsia="zh-CN"/>
          <w14:textFill>
            <w14:solidFill>
              <w14:schemeClr w14:val="tx1"/>
            </w14:solidFill>
          </w14:textFill>
        </w:rPr>
        <w:t>合理选择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施工方式</w:t>
      </w:r>
      <w:r>
        <w:rPr>
          <w:rFonts w:hint="eastAsia" w:cs="Times New Roman"/>
          <w:color w:val="000000" w:themeColor="text1"/>
          <w:highlight w:val="none"/>
          <w:lang w:val="en-US" w:eastAsia="zh-CN"/>
          <w14:textFill>
            <w14:solidFill>
              <w14:schemeClr w14:val="tx1"/>
            </w14:solidFill>
          </w14:textFill>
        </w:rPr>
        <w:t>及施工时间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，并对施工内容进行信息公示。</w:t>
      </w:r>
    </w:p>
    <w:p w14:paraId="4A8E6EEC">
      <w:pPr>
        <w:pStyle w:val="34"/>
        <w:keepNext w:val="0"/>
        <w:keepLines w:val="0"/>
        <w:pageBreakBefore w:val="0"/>
        <w:widowControl w:val="0"/>
        <w:kinsoku/>
        <w:wordWrap/>
        <w:topLinePunct w:val="0"/>
        <w:autoSpaceDE/>
        <w:autoSpaceDN/>
        <w:bidi w:val="0"/>
        <w:spacing w:after="0" w:line="360" w:lineRule="auto"/>
        <w:ind w:firstLine="480"/>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期采取的上述技术方案是施工过程中常见的扬尘和大气污染防治措施，采取以上大气污染防治措施后，能够确保施工场地处厂界颗粒物排放浓度满足《大气污染物综合排放标准》（GB16297-1996）中表2无组织排放监控浓度限值：颗粒物周界外浓度最高点1.0mg/m3要求，不会对大气环境产生较大影响，施工期大气污染防治措施可行。</w:t>
      </w:r>
    </w:p>
    <w:p w14:paraId="388DB5FF">
      <w:pPr>
        <w:keepNext w:val="0"/>
        <w:keepLines w:val="0"/>
        <w:pageBreakBefore w:val="0"/>
        <w:widowControl w:val="0"/>
        <w:kinsoku/>
        <w:wordWrap/>
        <w:overflowPunct w:val="0"/>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6.1.2</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运营期</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大气污染防治措施</w:t>
      </w:r>
    </w:p>
    <w:p w14:paraId="1247877E">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本项目运营期集输</w:t>
      </w:r>
      <w:r>
        <w:rPr>
          <w:rFonts w:hint="eastAsia"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主要采用密闭输送方式输送含水原油和伴生气，正常运行状况下无废气产生及排放。</w:t>
      </w:r>
    </w:p>
    <w:p w14:paraId="3C0F6BC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21" w:name="_Toc21078"/>
      <w:r>
        <w:rPr>
          <w:rFonts w:hint="default" w:ascii="Times New Roman" w:hAnsi="Times New Roman" w:eastAsia="宋体" w:cs="Times New Roman"/>
          <w:b/>
          <w:color w:val="000000" w:themeColor="text1"/>
          <w:sz w:val="28"/>
          <w:szCs w:val="28"/>
          <w:highlight w:val="none"/>
          <w14:textFill>
            <w14:solidFill>
              <w14:schemeClr w14:val="tx1"/>
            </w14:solidFill>
          </w14:textFill>
        </w:rPr>
        <w:t>6.2</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地表</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水</w:t>
      </w:r>
      <w:r>
        <w:rPr>
          <w:rFonts w:hint="default" w:ascii="Times New Roman" w:hAnsi="Times New Roman" w:eastAsia="宋体" w:cs="Times New Roman"/>
          <w:b/>
          <w:color w:val="000000" w:themeColor="text1"/>
          <w:sz w:val="28"/>
          <w:szCs w:val="28"/>
          <w:highlight w:val="none"/>
          <w14:textFill>
            <w14:solidFill>
              <w14:schemeClr w14:val="tx1"/>
            </w14:solidFill>
          </w14:textFill>
        </w:rPr>
        <w:t>污染防治措施</w:t>
      </w:r>
      <w:bookmarkEnd w:id="121"/>
    </w:p>
    <w:p w14:paraId="1D736381">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6.2.1施工期</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地表</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水污染防治措施</w:t>
      </w:r>
    </w:p>
    <w:p w14:paraId="62E03F9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施工期废水包括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管道清洗废水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管道试压废水和施工人员生活污水。施工过程中采取以下污染防治措施：</w:t>
      </w:r>
    </w:p>
    <w:p w14:paraId="6FD6FD9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（1）施工车辆和设备坚持日常检查制度，控制跑、冒、滴、漏现象的发生，以杜绝环境污染事件；设备修理时，要采取相应措施，如：地面上平铺油毡、塑料布等方法，避免水、油等流体介质落在地表。</w:t>
      </w:r>
    </w:p>
    <w:p w14:paraId="37362A74">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（2）废弃管道清管废水、新建管道试压废水直接推送至罐车，</w:t>
      </w:r>
      <w:r>
        <w:rPr>
          <w:rFonts w:hint="default" w:ascii="Times New Roman" w:hAnsi="Times New Roman" w:cs="Times New Roman"/>
          <w:color w:val="000000" w:themeColor="text1"/>
          <w:highlight w:val="none"/>
          <w:lang w:val="en-US" w:eastAsia="zh-CN"/>
          <w14:textFill>
            <w14:solidFill>
              <w14:schemeClr w14:val="tx1"/>
            </w14:solidFill>
          </w14:textFill>
        </w:rPr>
        <w:t>拉运至</w:t>
      </w:r>
      <w:r>
        <w:rPr>
          <w:rFonts w:hint="eastAsia" w:cs="Times New Roman"/>
          <w:color w:val="000000" w:themeColor="text1"/>
          <w:highlight w:val="none"/>
          <w:lang w:val="en-US" w:eastAsia="zh-CN"/>
          <w14:textFill>
            <w14:solidFill>
              <w14:schemeClr w14:val="tx1"/>
            </w14:solidFill>
          </w14:textFill>
        </w:rPr>
        <w:t>宋一联含油污水处理站</w:t>
      </w:r>
      <w:r>
        <w:rPr>
          <w:rFonts w:hint="default" w:ascii="Times New Roman" w:hAnsi="Times New Roman" w:cs="Times New Roman"/>
          <w:color w:val="000000" w:themeColor="text1"/>
          <w:highlight w:val="none"/>
          <w:lang w:val="en-US" w:eastAsia="zh-CN"/>
          <w14:textFill>
            <w14:solidFill>
              <w14:schemeClr w14:val="tx1"/>
            </w14:solidFill>
          </w14:textFill>
        </w:rPr>
        <w:t>处理满足《大庆油田地面工程建设设计规定》（Q/SYDQ0639-2015）</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《碎屑岩油藏注水水质指标技术要求及分析方法》（SY/T5329-2022）</w:t>
      </w:r>
      <w:r>
        <w:rPr>
          <w:rFonts w:hint="default" w:ascii="Times New Roman" w:hAnsi="Times New Roman" w:cs="Times New Roman"/>
          <w:color w:val="000000" w:themeColor="text1"/>
          <w:highlight w:val="none"/>
          <w:lang w:val="en-US" w:eastAsia="zh-CN"/>
          <w14:textFill>
            <w14:solidFill>
              <w14:schemeClr w14:val="tx1"/>
            </w14:solidFill>
          </w14:textFill>
        </w:rPr>
        <w:t>限值：“含油量≤10mg/L、悬浮固体含量≤5</w:t>
      </w:r>
      <w:r>
        <w:rPr>
          <w:rFonts w:hint="default" w:ascii="Times New Roman" w:hAnsi="Times New Roman" w:eastAsia="宋体" w:cs="Times New Roman"/>
          <w:color w:val="000000" w:themeColor="text1"/>
          <w:highlight w:val="none"/>
          <w:lang w:val="en-US" w:eastAsia="zh-CN"/>
          <w14:textFill>
            <w14:solidFill>
              <w14:schemeClr w14:val="tx1"/>
            </w14:solidFill>
          </w14:textFill>
        </w:rPr>
        <w:t>mg/、粒径中值≤2μmL”后</w:t>
      </w:r>
      <w:r>
        <w:rPr>
          <w:rFonts w:hint="default" w:ascii="Times New Roman" w:hAnsi="Times New Roman" w:cs="Times New Roman"/>
          <w:color w:val="000000" w:themeColor="text1"/>
          <w:highlight w:val="none"/>
          <w:lang w:val="en-US" w:eastAsia="zh-CN"/>
          <w14:textFill>
            <w14:solidFill>
              <w14:schemeClr w14:val="tx1"/>
            </w14:solidFill>
          </w14:textFill>
        </w:rPr>
        <w:t>回注地下开采油层，不外排。</w:t>
      </w:r>
    </w:p>
    <w:p w14:paraId="130E5D2C">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w:t>
      </w:r>
      <w:r>
        <w:rPr>
          <w:rFonts w:hint="eastAsia"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27FC0531">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施工单位在罐车拉运各类物料应填写各项物料的转出废水台账，包括种类、数量、转出时间，运输车辆牌号、转入单位信息等，应建立台账和运行管理档案，进行备案，并向当地生态环境主管部门报备。在各类废物转出地和转入地应设置视频监控系统，车辆应安装定位系统，便于加强过程管理，</w:t>
      </w:r>
      <w:r>
        <w:rPr>
          <w:rFonts w:hint="eastAsia" w:cs="Times New Roman"/>
          <w:color w:val="000000" w:themeColor="text1"/>
          <w:highlight w:val="none"/>
          <w:lang w:eastAsia="zh-CN"/>
          <w14:textFill>
            <w14:solidFill>
              <w14:schemeClr w14:val="tx1"/>
            </w14:solidFill>
          </w14:textFill>
        </w:rPr>
        <w:t>防止各类</w:t>
      </w:r>
      <w:r>
        <w:rPr>
          <w:rFonts w:hint="default" w:ascii="Times New Roman" w:hAnsi="Times New Roman" w:cs="Times New Roman"/>
          <w:color w:val="000000" w:themeColor="text1"/>
          <w:highlight w:val="none"/>
          <w:lang w:eastAsia="zh-CN"/>
          <w14:textFill>
            <w14:solidFill>
              <w14:schemeClr w14:val="tx1"/>
            </w14:solidFill>
          </w14:textFill>
        </w:rPr>
        <w:t>废物随意倾倒入外环境。</w:t>
      </w:r>
    </w:p>
    <w:p w14:paraId="708B7D0D">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合理安排施工时间，避开雨季。施工单位严格按照有关规定安排施工作业，合理进行施工组织和场地布置。</w:t>
      </w:r>
    </w:p>
    <w:p w14:paraId="23E182B5">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eastAsia="zh-CN"/>
          <w14:textFill>
            <w14:solidFill>
              <w14:schemeClr w14:val="tx1"/>
            </w14:solidFill>
          </w14:textFill>
        </w:rPr>
        <w:t>）施工运输车辆合理规划行车路线，对施工运输合理规划、布局，利用既有道路，运输车辆按指定路线运行，尽量远离地表水体。车辆配备必要的收油工具，一旦在行驶过程中发生原油泄漏，立即停车，对泄漏的原油用接油桶和木粉及时清理带走，如发现恶性事故，要及时报告，及时处理，减轻危害。</w:t>
      </w:r>
    </w:p>
    <w:p w14:paraId="343E2E23">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eastAsia="zh-CN"/>
          <w14:textFill>
            <w14:solidFill>
              <w14:schemeClr w14:val="tx1"/>
            </w14:solidFill>
          </w14:textFill>
        </w:rPr>
        <w:t>）确保应急工具和设备齐备完好，准备围油栏、吸油毡、消油剂、接油桶等应急物资，以便在发生泄漏事故时对产生的污油污水进行及时回收和处理。避免对周围地表水环境产生大面积污染。</w:t>
      </w:r>
    </w:p>
    <w:p w14:paraId="1BAAF304">
      <w:pPr>
        <w:keepNext w:val="0"/>
        <w:keepLines w:val="0"/>
        <w:pageBreakBefore w:val="0"/>
        <w:widowControl w:val="0"/>
        <w:kinsoku/>
        <w:wordWrap/>
        <w:overflowPunct/>
        <w:topLinePunct w:val="0"/>
        <w:autoSpaceDE/>
        <w:autoSpaceDN/>
        <w:bidi w:val="0"/>
        <w:adjustRightInd w:val="0"/>
        <w:snapToGrid w:val="0"/>
        <w:spacing w:after="0" w:line="360" w:lineRule="auto"/>
        <w:ind w:firstLine="440" w:firstLineChars="200"/>
        <w:jc w:val="both"/>
        <w:textAlignment w:val="auto"/>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距离项目管线最近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地表水体为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宋芳屯排水沟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芳3转油站外输油管道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定向钻穿越）。穿渠管线敷设完毕及时回填，各类固体废物应及时清运，禁止向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宋芳屯排水沟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内倾倒固体废物，同时施工期间严禁将施工废水和生活污水直接排入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宋芳屯排水沟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内。严禁在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宋芳屯排水沟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内清洗施工机械、运输车辆。</w:t>
      </w:r>
    </w:p>
    <w:p w14:paraId="45810F4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（9）</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集油管线采用无缝钢管，内缠聚乙烯胶带硬质聚氨酯塑料夹克保温管，能有效防止管线泄漏，同时定期对管线检查、维修，确保管线的正常使用性能</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71D79D40">
      <w:pPr>
        <w:pStyle w:val="16"/>
        <w:ind w:firstLine="480" w:firstLineChars="200"/>
        <w:rPr>
          <w:rFonts w:hint="default"/>
          <w:color w:val="000000" w:themeColor="text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（10）确保施工区域的水土保持，防止泥沙进入渠道，造成淤积和水质污染。</w:t>
      </w:r>
    </w:p>
    <w:p w14:paraId="43A425D3">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综合分析，采取以上措施，施工期</w:t>
      </w:r>
      <w:r>
        <w:rPr>
          <w:rFonts w:hint="default" w:ascii="Times New Roman" w:hAnsi="Times New Roman" w:cs="Times New Roman"/>
          <w:color w:val="000000" w:themeColor="text1"/>
          <w:highlight w:val="none"/>
          <w:lang w:val="en-US" w:eastAsia="zh-CN"/>
          <w14:textFill>
            <w14:solidFill>
              <w14:schemeClr w14:val="tx1"/>
            </w14:solidFill>
          </w14:textFill>
        </w:rPr>
        <w:t>地表水</w:t>
      </w:r>
      <w:r>
        <w:rPr>
          <w:rFonts w:hint="default" w:ascii="Times New Roman" w:hAnsi="Times New Roman" w:cs="Times New Roman"/>
          <w:color w:val="000000" w:themeColor="text1"/>
          <w:highlight w:val="none"/>
          <w:lang w:eastAsia="zh-CN"/>
          <w14:textFill>
            <w14:solidFill>
              <w14:schemeClr w14:val="tx1"/>
            </w14:solidFill>
          </w14:textFill>
        </w:rPr>
        <w:t>环境污染防治措施可行。</w:t>
      </w:r>
    </w:p>
    <w:p w14:paraId="462B107D">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6.2.2</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运营期</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地表</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水污染防治措施</w:t>
      </w:r>
    </w:p>
    <w:p w14:paraId="398DF3C9">
      <w:pPr>
        <w:pStyle w:val="36"/>
        <w:keepNext w:val="0"/>
        <w:keepLines w:val="0"/>
        <w:pageBreakBefore w:val="0"/>
        <w:widowControl w:val="0"/>
        <w:kinsoku/>
        <w:wordWrap/>
        <w:topLinePunct w:val="0"/>
        <w:bidi w:val="0"/>
        <w:ind w:firstLine="48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管道采用</w:t>
      </w:r>
      <w:r>
        <w:rPr>
          <w:rFonts w:hint="eastAsia" w:cs="Times New Roman"/>
          <w:color w:val="000000" w:themeColor="text1"/>
          <w:highlight w:val="none"/>
          <w:lang w:val="en-US" w:eastAsia="zh-CN"/>
          <w14:textFill>
            <w14:solidFill>
              <w14:schemeClr w14:val="tx1"/>
            </w14:solidFill>
          </w14:textFill>
        </w:rPr>
        <w:t>内缠胶带硬质聚氨酯泡沫夹克管</w:t>
      </w:r>
      <w:r>
        <w:rPr>
          <w:rFonts w:hint="default" w:ascii="Times New Roman" w:hAnsi="Times New Roman" w:cs="Times New Roman"/>
          <w:color w:val="000000" w:themeColor="text1"/>
          <w:highlight w:val="none"/>
          <w:lang w:val="en-US" w:eastAsia="zh-CN"/>
          <w14:textFill>
            <w14:solidFill>
              <w14:schemeClr w14:val="tx1"/>
            </w14:solidFill>
          </w14:textFill>
        </w:rPr>
        <w:t>，并进行内外防腐</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，能够有效防止</w:t>
      </w:r>
      <w:r>
        <w:rPr>
          <w:rFonts w:hint="eastAsia" w:eastAsia="宋体" w:cs="Times New Roman"/>
          <w:snapToGrid w:val="0"/>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泄漏污染地表水</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48867FB6">
      <w:pPr>
        <w:keepNext w:val="0"/>
        <w:keepLines w:val="0"/>
        <w:pageBreakBefore w:val="0"/>
        <w:widowControl w:val="0"/>
        <w:numPr>
          <w:ilvl w:val="0"/>
          <w:numId w:val="0"/>
        </w:numPr>
        <w:kinsoku/>
        <w:wordWrap/>
        <w:topLinePunct w:val="0"/>
        <w:bidi w:val="0"/>
        <w:adjustRightInd/>
        <w:snapToGrid/>
        <w:spacing w:after="0" w:line="360" w:lineRule="auto"/>
        <w:ind w:left="0" w:leftChars="0"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（2）定期对集输管道腐蚀情况进行检测，定期检测管道壁厚，发现问题及时处理，可有效的防止泄漏事故发生。</w:t>
      </w:r>
    </w:p>
    <w:p w14:paraId="4DC3AB4D">
      <w:pPr>
        <w:keepNext w:val="0"/>
        <w:keepLines w:val="0"/>
        <w:pageBreakBefore w:val="0"/>
        <w:widowControl w:val="0"/>
        <w:numPr>
          <w:ilvl w:val="0"/>
          <w:numId w:val="0"/>
        </w:numPr>
        <w:kinsoku/>
        <w:wordWrap/>
        <w:topLinePunct w:val="0"/>
        <w:bidi w:val="0"/>
        <w:adjustRightInd/>
        <w:snapToGrid/>
        <w:spacing w:after="0" w:line="360" w:lineRule="auto"/>
        <w:ind w:left="0" w:leftChars="0"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（3）项目设有专职人员对集输</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进行定期巡检，雨季等特殊天气增加巡检次数。</w:t>
      </w:r>
    </w:p>
    <w:p w14:paraId="3125017A">
      <w:pPr>
        <w:pStyle w:val="36"/>
        <w:keepNext w:val="0"/>
        <w:keepLines w:val="0"/>
        <w:pageBreakBefore w:val="0"/>
        <w:widowControl w:val="0"/>
        <w:kinsoku/>
        <w:wordWrap/>
        <w:topLinePunct w:val="0"/>
        <w:bidi w:val="0"/>
        <w:ind w:firstLine="480"/>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综上所述，项目的水污染防治措施合理可行。</w:t>
      </w:r>
    </w:p>
    <w:p w14:paraId="52E766E9">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3退役期</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地表</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水污染防治措施</w:t>
      </w:r>
    </w:p>
    <w:p w14:paraId="0F5CF40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废弃管道清洗废水</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由罐车</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拉运至</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处理</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出水水质执行“10、5、2”</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标准</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满足</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《大庆油田地面工程建设设计规定》（Q/SYDQ0639-2015）</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《碎屑岩油藏注水水质指标技术要求及分析方法》（SY/T5329-2022）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标准要求后回注地下</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现役</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油层。</w:t>
      </w:r>
    </w:p>
    <w:p w14:paraId="18383548">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退役期生活污水排入附近计量间等已建防渗旱厕，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1C80FFC1">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22" w:name="_Toc2191"/>
      <w:r>
        <w:rPr>
          <w:rFonts w:hint="default" w:ascii="Times New Roman" w:hAnsi="Times New Roman" w:eastAsia="宋体" w:cs="Times New Roman"/>
          <w:b/>
          <w:color w:val="000000" w:themeColor="text1"/>
          <w:sz w:val="28"/>
          <w:szCs w:val="28"/>
          <w:highlight w:val="none"/>
          <w14:textFill>
            <w14:solidFill>
              <w14:schemeClr w14:val="tx1"/>
            </w14:solidFill>
          </w14:textFill>
        </w:rPr>
        <w:t>6.3地下水污染防治措施</w:t>
      </w:r>
      <w:bookmarkEnd w:id="122"/>
    </w:p>
    <w:p w14:paraId="7262A2E7">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本项目地下水污染防治措施按照“源头控制、分区防治、污染监控、应急响应”相结合的原则，从污染物的产生、入渗、扩散、应急响应进行控制。</w:t>
      </w:r>
    </w:p>
    <w:p w14:paraId="0A87F644">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6.3.</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施工过程地下水防治措施</w:t>
      </w:r>
    </w:p>
    <w:p w14:paraId="6196486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集输</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管道</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选址选线均已避开饮用水源保护区与补给区。</w:t>
      </w:r>
    </w:p>
    <w:p w14:paraId="26ABCEF3">
      <w:pPr>
        <w:pStyle w:val="36"/>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弃物拉运车辆须在转运过程做好转运台账，严格执行废弃物转运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FD6780A">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6.3.2运营期地下水防治措施</w:t>
      </w:r>
    </w:p>
    <w:p w14:paraId="596C3206">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（1）泄漏事故具有隐蔽性和灾难性，要加强监控，定期对集输管道腐蚀情况进行检测，定期检测管道壁厚，发现问题及时处理，可有效的防止泄漏事故发生。</w:t>
      </w:r>
    </w:p>
    <w:p w14:paraId="29131AB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（2）油田的正常开发建设对地下水造成污染的可能性较小。但原油、含油污水的跑、冒、滴、漏，如处理不及时则可能对地下水造成污染，因此对工程实施污染分区防治措施。</w:t>
      </w:r>
    </w:p>
    <w:p w14:paraId="654FF32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）做</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好预防突发性自然灾害的工作，加强与水文气象、地震部门的信息沟通，制定有关应对措施</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0150DA2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做好应急处置措施和物资准备，加强输油管道例行巡检巡护，防止人为活动导致管道损坏，特别是管道通过村屯密集区段巡检力度和教育宣传</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081E58D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以上控制措施能从源头上有效地控制和减少污染物对地下水的污染，措施可行。</w:t>
      </w:r>
    </w:p>
    <w:p w14:paraId="281A6F7B">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6.3.3分区防渗措施</w:t>
      </w:r>
    </w:p>
    <w:p w14:paraId="30777EA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《环境影响评价技术导则地下水环境》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中地下水污染防渗分区参照表见表6.3-1。</w:t>
      </w:r>
    </w:p>
    <w:p w14:paraId="26CB0021">
      <w:pPr>
        <w:pStyle w:val="38"/>
        <w:keepNext w:val="0"/>
        <w:keepLines w:val="0"/>
        <w:pageBreakBefore w:val="0"/>
        <w:widowControl w:val="0"/>
        <w:tabs>
          <w:tab w:val="left" w:pos="3735"/>
          <w:tab w:val="clear" w:pos="1686"/>
        </w:tabs>
        <w:kinsoku/>
        <w:wordWrap/>
        <w:topLinePunct w:val="0"/>
        <w:bidi w:val="0"/>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eastAsiaTheme="minorEastAsia"/>
          <w:color w:val="000000" w:themeColor="text1"/>
          <w:highlight w:val="none"/>
          <w14:textFill>
            <w14:solidFill>
              <w14:schemeClr w14:val="tx1"/>
            </w14:solidFill>
          </w14:textFill>
        </w:rPr>
        <w:t>6.3</w:t>
      </w:r>
      <w:r>
        <w:rPr>
          <w:rFonts w:hint="default" w:ascii="Times New Roman" w:hAnsi="Times New Roman" w:eastAsia="Times New Roman" w:cs="Times New Roman"/>
          <w:color w:val="000000" w:themeColor="text1"/>
          <w:spacing w:val="-2"/>
          <w:highlight w:val="none"/>
          <w14:textFill>
            <w14:solidFill>
              <w14:schemeClr w14:val="tx1"/>
            </w14:solidFill>
          </w14:textFill>
        </w:rPr>
        <w:t>-</w:t>
      </w:r>
      <w:r>
        <w:rPr>
          <w:rFonts w:hint="default" w:ascii="Times New Roman" w:hAnsi="Times New Roman" w:eastAsia="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地下水污染防渗分区参照表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autofit"/>
        <w:tblCellMar>
          <w:top w:w="0" w:type="dxa"/>
          <w:left w:w="108" w:type="dxa"/>
          <w:bottom w:w="0" w:type="dxa"/>
          <w:right w:w="108" w:type="dxa"/>
        </w:tblCellMar>
      </w:tblPr>
      <w:tblGrid>
        <w:gridCol w:w="953"/>
        <w:gridCol w:w="2006"/>
        <w:gridCol w:w="1335"/>
        <w:gridCol w:w="2249"/>
        <w:gridCol w:w="2745"/>
      </w:tblGrid>
      <w:tr w14:paraId="5B7B47A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513" w:type="pct"/>
            <w:tcBorders>
              <w:tl2br w:val="nil"/>
              <w:tr2bl w:val="nil"/>
            </w:tcBorders>
            <w:vAlign w:val="center"/>
          </w:tcPr>
          <w:p w14:paraId="44E018A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0"/>
                <w:highlight w:val="none"/>
                <w:lang w:val="en-US" w:eastAsia="zh-CN" w:bidi="ar-SA"/>
                <w14:textFill>
                  <w14:solidFill>
                    <w14:schemeClr w14:val="tx1"/>
                  </w14:solidFill>
                </w14:textFill>
              </w:rPr>
              <w:t>防渗分区</w:t>
            </w:r>
          </w:p>
        </w:tc>
        <w:tc>
          <w:tcPr>
            <w:tcW w:w="1079" w:type="pct"/>
            <w:tcBorders>
              <w:tl2br w:val="nil"/>
              <w:tr2bl w:val="nil"/>
            </w:tcBorders>
            <w:vAlign w:val="center"/>
          </w:tcPr>
          <w:p w14:paraId="1112D97A">
            <w:pPr>
              <w:keepNext w:val="0"/>
              <w:keepLines w:val="0"/>
              <w:pageBreakBefore w:val="0"/>
              <w:widowControl w:val="0"/>
              <w:kinsoku/>
              <w:wordWrap/>
              <w:topLinePunct w:val="0"/>
              <w:bidi w:val="0"/>
              <w:adjustRightInd/>
              <w:snapToGrid/>
              <w:spacing w:after="0"/>
              <w:jc w:val="cente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t>天然包气带防污性能</w:t>
            </w:r>
          </w:p>
        </w:tc>
        <w:tc>
          <w:tcPr>
            <w:tcW w:w="718" w:type="pct"/>
            <w:tcBorders>
              <w:right w:val="single" w:color="auto" w:sz="4" w:space="0"/>
              <w:tl2br w:val="nil"/>
              <w:tr2bl w:val="nil"/>
            </w:tcBorders>
            <w:vAlign w:val="center"/>
          </w:tcPr>
          <w:p w14:paraId="32159DEB">
            <w:pPr>
              <w:keepNext w:val="0"/>
              <w:keepLines w:val="0"/>
              <w:pageBreakBefore w:val="0"/>
              <w:widowControl w:val="0"/>
              <w:kinsoku/>
              <w:wordWrap/>
              <w:topLinePunct w:val="0"/>
              <w:bidi w:val="0"/>
              <w:adjustRightInd/>
              <w:snapToGrid/>
              <w:spacing w:after="0"/>
              <w:jc w:val="cente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t>污染控制难易程度</w:t>
            </w:r>
          </w:p>
        </w:tc>
        <w:tc>
          <w:tcPr>
            <w:tcW w:w="1210" w:type="pct"/>
            <w:tcBorders>
              <w:left w:val="single" w:color="auto" w:sz="4" w:space="0"/>
              <w:right w:val="single" w:color="auto" w:sz="4" w:space="0"/>
              <w:tl2br w:val="nil"/>
              <w:tr2bl w:val="nil"/>
            </w:tcBorders>
            <w:vAlign w:val="center"/>
          </w:tcPr>
          <w:p w14:paraId="6D0A9B94">
            <w:pPr>
              <w:keepNext w:val="0"/>
              <w:keepLines w:val="0"/>
              <w:pageBreakBefore w:val="0"/>
              <w:widowControl w:val="0"/>
              <w:kinsoku/>
              <w:wordWrap/>
              <w:topLinePunct w:val="0"/>
              <w:bidi w:val="0"/>
              <w:adjustRightInd/>
              <w:snapToGrid/>
              <w:spacing w:after="0"/>
              <w:jc w:val="cente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t>污染物类型</w:t>
            </w:r>
          </w:p>
        </w:tc>
        <w:tc>
          <w:tcPr>
            <w:tcW w:w="1477" w:type="pct"/>
            <w:tcBorders>
              <w:left w:val="single" w:color="auto" w:sz="4" w:space="0"/>
              <w:tl2br w:val="nil"/>
              <w:tr2bl w:val="nil"/>
            </w:tcBorders>
            <w:vAlign w:val="center"/>
          </w:tcPr>
          <w:p w14:paraId="13F40378">
            <w:pPr>
              <w:keepNext w:val="0"/>
              <w:keepLines w:val="0"/>
              <w:pageBreakBefore w:val="0"/>
              <w:widowControl w:val="0"/>
              <w:kinsoku/>
              <w:wordWrap/>
              <w:topLinePunct w:val="0"/>
              <w:bidi w:val="0"/>
              <w:adjustRightInd/>
              <w:snapToGrid/>
              <w:spacing w:after="0"/>
              <w:jc w:val="cente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highlight w:val="none"/>
                <w:lang w:val="en-US" w:eastAsia="zh-CN" w:bidi="ar-SA"/>
                <w14:textFill>
                  <w14:solidFill>
                    <w14:schemeClr w14:val="tx1"/>
                  </w14:solidFill>
                </w14:textFill>
              </w:rPr>
              <w:t>防渗技术要求</w:t>
            </w:r>
          </w:p>
        </w:tc>
      </w:tr>
      <w:tr w14:paraId="758CE658">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513" w:type="pct"/>
            <w:vMerge w:val="restart"/>
            <w:tcBorders>
              <w:tl2br w:val="nil"/>
              <w:tr2bl w:val="nil"/>
            </w:tcBorders>
            <w:vAlign w:val="center"/>
          </w:tcPr>
          <w:p w14:paraId="62CD253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重点防渗区</w:t>
            </w:r>
          </w:p>
        </w:tc>
        <w:tc>
          <w:tcPr>
            <w:tcW w:w="1079" w:type="pct"/>
            <w:tcBorders>
              <w:tl2br w:val="nil"/>
              <w:tr2bl w:val="nil"/>
            </w:tcBorders>
            <w:vAlign w:val="center"/>
          </w:tcPr>
          <w:p w14:paraId="79F476C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弱</w:t>
            </w:r>
          </w:p>
        </w:tc>
        <w:tc>
          <w:tcPr>
            <w:tcW w:w="718" w:type="pct"/>
            <w:tcBorders>
              <w:right w:val="single" w:color="auto" w:sz="4" w:space="0"/>
              <w:tl2br w:val="nil"/>
              <w:tr2bl w:val="nil"/>
            </w:tcBorders>
            <w:vAlign w:val="center"/>
          </w:tcPr>
          <w:p w14:paraId="391ED6B3">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难</w:t>
            </w:r>
          </w:p>
        </w:tc>
        <w:tc>
          <w:tcPr>
            <w:tcW w:w="1210" w:type="pct"/>
            <w:vMerge w:val="restart"/>
            <w:tcBorders>
              <w:left w:val="single" w:color="auto" w:sz="4" w:space="0"/>
              <w:right w:val="single" w:color="auto" w:sz="4" w:space="0"/>
              <w:tl2br w:val="nil"/>
              <w:tr2bl w:val="nil"/>
            </w:tcBorders>
            <w:vAlign w:val="center"/>
          </w:tcPr>
          <w:p w14:paraId="7D4D8711">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重金属、持久性有机物污染物</w:t>
            </w:r>
          </w:p>
        </w:tc>
        <w:tc>
          <w:tcPr>
            <w:tcW w:w="1477" w:type="pct"/>
            <w:vMerge w:val="restart"/>
            <w:tcBorders>
              <w:left w:val="single" w:color="auto" w:sz="4" w:space="0"/>
              <w:tl2br w:val="nil"/>
              <w:tr2bl w:val="nil"/>
            </w:tcBorders>
            <w:vAlign w:val="center"/>
          </w:tcPr>
          <w:p w14:paraId="096042B9">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等效黏土防渗层Mb≥6.0m、K≤1.0×10</w:t>
            </w:r>
            <w:r>
              <w:rPr>
                <w:rFonts w:hint="default" w:ascii="Times New Roman" w:hAnsi="Times New Roman" w:eastAsia="宋体" w:cs="Times New Roman"/>
                <w:color w:val="000000" w:themeColor="text1"/>
                <w:kern w:val="2"/>
                <w:sz w:val="21"/>
                <w:szCs w:val="20"/>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cm/s；或参照GB18598执行</w:t>
            </w:r>
          </w:p>
        </w:tc>
      </w:tr>
      <w:tr w14:paraId="7A13F80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513" w:type="pct"/>
            <w:vMerge w:val="continue"/>
            <w:tcBorders>
              <w:tl2br w:val="nil"/>
              <w:tr2bl w:val="nil"/>
            </w:tcBorders>
            <w:vAlign w:val="center"/>
          </w:tcPr>
          <w:p w14:paraId="6CE78FF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079" w:type="pct"/>
            <w:tcBorders>
              <w:tl2br w:val="nil"/>
              <w:tr2bl w:val="nil"/>
            </w:tcBorders>
            <w:vAlign w:val="center"/>
          </w:tcPr>
          <w:p w14:paraId="2143D72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中——强</w:t>
            </w:r>
          </w:p>
        </w:tc>
        <w:tc>
          <w:tcPr>
            <w:tcW w:w="718" w:type="pct"/>
            <w:tcBorders>
              <w:right w:val="single" w:color="auto" w:sz="4" w:space="0"/>
              <w:tl2br w:val="nil"/>
              <w:tr2bl w:val="nil"/>
            </w:tcBorders>
            <w:vAlign w:val="center"/>
          </w:tcPr>
          <w:p w14:paraId="2B72D7DD">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难</w:t>
            </w:r>
          </w:p>
        </w:tc>
        <w:tc>
          <w:tcPr>
            <w:tcW w:w="1210" w:type="pct"/>
            <w:vMerge w:val="continue"/>
            <w:tcBorders>
              <w:left w:val="single" w:color="auto" w:sz="4" w:space="0"/>
              <w:right w:val="single" w:color="auto" w:sz="4" w:space="0"/>
              <w:tl2br w:val="nil"/>
              <w:tr2bl w:val="nil"/>
            </w:tcBorders>
            <w:vAlign w:val="center"/>
          </w:tcPr>
          <w:p w14:paraId="679D430C">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477" w:type="pct"/>
            <w:vMerge w:val="continue"/>
            <w:tcBorders>
              <w:left w:val="single" w:color="auto" w:sz="4" w:space="0"/>
              <w:tl2br w:val="nil"/>
              <w:tr2bl w:val="nil"/>
            </w:tcBorders>
            <w:vAlign w:val="center"/>
          </w:tcPr>
          <w:p w14:paraId="4C2E102D">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r>
      <w:tr w14:paraId="0A4B9B9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513" w:type="pct"/>
            <w:vMerge w:val="continue"/>
            <w:tcBorders>
              <w:tl2br w:val="nil"/>
              <w:tr2bl w:val="nil"/>
            </w:tcBorders>
            <w:vAlign w:val="center"/>
          </w:tcPr>
          <w:p w14:paraId="6B80BBE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079" w:type="pct"/>
            <w:tcBorders>
              <w:tl2br w:val="nil"/>
              <w:tr2bl w:val="nil"/>
            </w:tcBorders>
            <w:vAlign w:val="center"/>
          </w:tcPr>
          <w:p w14:paraId="31A0410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弱</w:t>
            </w:r>
          </w:p>
        </w:tc>
        <w:tc>
          <w:tcPr>
            <w:tcW w:w="718" w:type="pct"/>
            <w:tcBorders>
              <w:right w:val="single" w:color="auto" w:sz="4" w:space="0"/>
              <w:tl2br w:val="nil"/>
              <w:tr2bl w:val="nil"/>
            </w:tcBorders>
            <w:vAlign w:val="center"/>
          </w:tcPr>
          <w:p w14:paraId="425DD35D">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易</w:t>
            </w:r>
          </w:p>
        </w:tc>
        <w:tc>
          <w:tcPr>
            <w:tcW w:w="1210" w:type="pct"/>
            <w:vMerge w:val="continue"/>
            <w:tcBorders>
              <w:left w:val="single" w:color="auto" w:sz="4" w:space="0"/>
              <w:right w:val="single" w:color="auto" w:sz="4" w:space="0"/>
              <w:tl2br w:val="nil"/>
              <w:tr2bl w:val="nil"/>
            </w:tcBorders>
            <w:vAlign w:val="center"/>
          </w:tcPr>
          <w:p w14:paraId="6F6CCA9E">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477" w:type="pct"/>
            <w:vMerge w:val="continue"/>
            <w:tcBorders>
              <w:left w:val="single" w:color="auto" w:sz="4" w:space="0"/>
              <w:tl2br w:val="nil"/>
              <w:tr2bl w:val="nil"/>
            </w:tcBorders>
            <w:vAlign w:val="center"/>
          </w:tcPr>
          <w:p w14:paraId="446969EB">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r>
      <w:tr w14:paraId="233913B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64" w:hRule="atLeast"/>
        </w:trPr>
        <w:tc>
          <w:tcPr>
            <w:tcW w:w="513" w:type="pct"/>
            <w:vMerge w:val="restart"/>
            <w:tcBorders>
              <w:tl2br w:val="nil"/>
              <w:tr2bl w:val="nil"/>
            </w:tcBorders>
            <w:vAlign w:val="center"/>
          </w:tcPr>
          <w:p w14:paraId="3FBB03D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一般防渗区</w:t>
            </w:r>
          </w:p>
        </w:tc>
        <w:tc>
          <w:tcPr>
            <w:tcW w:w="1079" w:type="pct"/>
            <w:tcBorders>
              <w:tl2br w:val="nil"/>
              <w:tr2bl w:val="nil"/>
            </w:tcBorders>
            <w:vAlign w:val="center"/>
          </w:tcPr>
          <w:p w14:paraId="56038AC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弱</w:t>
            </w:r>
          </w:p>
        </w:tc>
        <w:tc>
          <w:tcPr>
            <w:tcW w:w="718" w:type="pct"/>
            <w:tcBorders>
              <w:right w:val="single" w:color="auto" w:sz="4" w:space="0"/>
              <w:tl2br w:val="nil"/>
              <w:tr2bl w:val="nil"/>
            </w:tcBorders>
            <w:vAlign w:val="center"/>
          </w:tcPr>
          <w:p w14:paraId="5DAF08F0">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易——难</w:t>
            </w:r>
          </w:p>
        </w:tc>
        <w:tc>
          <w:tcPr>
            <w:tcW w:w="1210" w:type="pct"/>
            <w:vMerge w:val="restart"/>
            <w:tcBorders>
              <w:left w:val="single" w:color="auto" w:sz="4" w:space="0"/>
              <w:right w:val="single" w:color="auto" w:sz="4" w:space="0"/>
              <w:tl2br w:val="nil"/>
              <w:tr2bl w:val="nil"/>
            </w:tcBorders>
            <w:vAlign w:val="center"/>
          </w:tcPr>
          <w:p w14:paraId="4D09A5E1">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其他类型</w:t>
            </w:r>
          </w:p>
        </w:tc>
        <w:tc>
          <w:tcPr>
            <w:tcW w:w="1477" w:type="pct"/>
            <w:vMerge w:val="restart"/>
            <w:tcBorders>
              <w:left w:val="single" w:color="auto" w:sz="4" w:space="0"/>
              <w:tl2br w:val="nil"/>
              <w:tr2bl w:val="nil"/>
            </w:tcBorders>
            <w:vAlign w:val="center"/>
          </w:tcPr>
          <w:p w14:paraId="68090ABA">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等效黏土防渗层Mb≥2.0m、K≤1.0×10</w:t>
            </w:r>
            <w:r>
              <w:rPr>
                <w:rFonts w:hint="default" w:ascii="Times New Roman" w:hAnsi="Times New Roman" w:eastAsia="宋体" w:cs="Times New Roman"/>
                <w:color w:val="000000" w:themeColor="text1"/>
                <w:kern w:val="2"/>
                <w:sz w:val="21"/>
                <w:szCs w:val="20"/>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cm/s；或参照GB16889执行</w:t>
            </w:r>
          </w:p>
        </w:tc>
      </w:tr>
      <w:tr w14:paraId="712115A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52" w:hRule="atLeast"/>
        </w:trPr>
        <w:tc>
          <w:tcPr>
            <w:tcW w:w="513" w:type="pct"/>
            <w:vMerge w:val="continue"/>
            <w:tcBorders>
              <w:tl2br w:val="nil"/>
              <w:tr2bl w:val="nil"/>
            </w:tcBorders>
            <w:vAlign w:val="center"/>
          </w:tcPr>
          <w:p w14:paraId="6CC4361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079" w:type="pct"/>
            <w:tcBorders>
              <w:tl2br w:val="nil"/>
              <w:tr2bl w:val="nil"/>
            </w:tcBorders>
            <w:vAlign w:val="center"/>
          </w:tcPr>
          <w:p w14:paraId="14A019F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中——强</w:t>
            </w:r>
          </w:p>
        </w:tc>
        <w:tc>
          <w:tcPr>
            <w:tcW w:w="718" w:type="pct"/>
            <w:tcBorders>
              <w:right w:val="single" w:color="auto" w:sz="4" w:space="0"/>
              <w:tl2br w:val="nil"/>
              <w:tr2bl w:val="nil"/>
            </w:tcBorders>
            <w:vAlign w:val="center"/>
          </w:tcPr>
          <w:p w14:paraId="2EAF0D88">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难</w:t>
            </w:r>
          </w:p>
        </w:tc>
        <w:tc>
          <w:tcPr>
            <w:tcW w:w="1210" w:type="pct"/>
            <w:vMerge w:val="continue"/>
            <w:tcBorders>
              <w:left w:val="single" w:color="auto" w:sz="4" w:space="0"/>
              <w:right w:val="single" w:color="auto" w:sz="4" w:space="0"/>
              <w:tl2br w:val="nil"/>
              <w:tr2bl w:val="nil"/>
            </w:tcBorders>
            <w:vAlign w:val="center"/>
          </w:tcPr>
          <w:p w14:paraId="27BF9402">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477" w:type="pct"/>
            <w:vMerge w:val="continue"/>
            <w:tcBorders>
              <w:left w:val="single" w:color="auto" w:sz="4" w:space="0"/>
              <w:tl2br w:val="nil"/>
              <w:tr2bl w:val="nil"/>
            </w:tcBorders>
            <w:vAlign w:val="center"/>
          </w:tcPr>
          <w:p w14:paraId="21DEF244">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r>
      <w:tr w14:paraId="266857A4">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11" w:hRule="atLeast"/>
        </w:trPr>
        <w:tc>
          <w:tcPr>
            <w:tcW w:w="513" w:type="pct"/>
            <w:vMerge w:val="continue"/>
            <w:tcBorders>
              <w:tl2br w:val="nil"/>
              <w:tr2bl w:val="nil"/>
            </w:tcBorders>
            <w:vAlign w:val="center"/>
          </w:tcPr>
          <w:p w14:paraId="12A457F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079" w:type="pct"/>
            <w:tcBorders>
              <w:tl2br w:val="nil"/>
              <w:tr2bl w:val="nil"/>
            </w:tcBorders>
            <w:vAlign w:val="center"/>
          </w:tcPr>
          <w:p w14:paraId="3572DC6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中</w:t>
            </w:r>
          </w:p>
        </w:tc>
        <w:tc>
          <w:tcPr>
            <w:tcW w:w="718" w:type="pct"/>
            <w:tcBorders>
              <w:right w:val="single" w:color="auto" w:sz="4" w:space="0"/>
              <w:tl2br w:val="nil"/>
              <w:tr2bl w:val="nil"/>
            </w:tcBorders>
            <w:vAlign w:val="center"/>
          </w:tcPr>
          <w:p w14:paraId="779F32BB">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易</w:t>
            </w:r>
          </w:p>
        </w:tc>
        <w:tc>
          <w:tcPr>
            <w:tcW w:w="1210" w:type="pct"/>
            <w:vMerge w:val="restart"/>
            <w:tcBorders>
              <w:left w:val="single" w:color="auto" w:sz="4" w:space="0"/>
              <w:right w:val="single" w:color="auto" w:sz="4" w:space="0"/>
              <w:tl2br w:val="nil"/>
              <w:tr2bl w:val="nil"/>
            </w:tcBorders>
            <w:vAlign w:val="center"/>
          </w:tcPr>
          <w:p w14:paraId="56BF9E2F">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重金属、持久性有机物污染物</w:t>
            </w:r>
          </w:p>
        </w:tc>
        <w:tc>
          <w:tcPr>
            <w:tcW w:w="1477" w:type="pct"/>
            <w:vMerge w:val="continue"/>
            <w:tcBorders>
              <w:left w:val="single" w:color="auto" w:sz="4" w:space="0"/>
              <w:tl2br w:val="nil"/>
              <w:tr2bl w:val="nil"/>
            </w:tcBorders>
            <w:vAlign w:val="center"/>
          </w:tcPr>
          <w:p w14:paraId="3B517E4B">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r>
      <w:tr w14:paraId="259934F7">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140" w:hRule="atLeast"/>
        </w:trPr>
        <w:tc>
          <w:tcPr>
            <w:tcW w:w="513" w:type="pct"/>
            <w:vMerge w:val="continue"/>
            <w:tcBorders>
              <w:tl2br w:val="nil"/>
              <w:tr2bl w:val="nil"/>
            </w:tcBorders>
            <w:vAlign w:val="center"/>
          </w:tcPr>
          <w:p w14:paraId="5402A6F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079" w:type="pct"/>
            <w:tcBorders>
              <w:tl2br w:val="nil"/>
              <w:tr2bl w:val="nil"/>
            </w:tcBorders>
            <w:vAlign w:val="center"/>
          </w:tcPr>
          <w:p w14:paraId="71B9390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强</w:t>
            </w:r>
          </w:p>
        </w:tc>
        <w:tc>
          <w:tcPr>
            <w:tcW w:w="718" w:type="pct"/>
            <w:tcBorders>
              <w:right w:val="single" w:color="auto" w:sz="4" w:space="0"/>
              <w:tl2br w:val="nil"/>
              <w:tr2bl w:val="nil"/>
            </w:tcBorders>
            <w:vAlign w:val="center"/>
          </w:tcPr>
          <w:p w14:paraId="55F1BD02">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易</w:t>
            </w:r>
          </w:p>
        </w:tc>
        <w:tc>
          <w:tcPr>
            <w:tcW w:w="1210" w:type="pct"/>
            <w:vMerge w:val="continue"/>
            <w:tcBorders>
              <w:left w:val="single" w:color="auto" w:sz="4" w:space="0"/>
              <w:right w:val="single" w:color="auto" w:sz="4" w:space="0"/>
              <w:tl2br w:val="nil"/>
              <w:tr2bl w:val="nil"/>
            </w:tcBorders>
            <w:vAlign w:val="center"/>
          </w:tcPr>
          <w:p w14:paraId="4221F816">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c>
          <w:tcPr>
            <w:tcW w:w="1477" w:type="pct"/>
            <w:vMerge w:val="continue"/>
            <w:tcBorders>
              <w:left w:val="single" w:color="auto" w:sz="4" w:space="0"/>
              <w:tl2br w:val="nil"/>
              <w:tr2bl w:val="nil"/>
            </w:tcBorders>
            <w:vAlign w:val="center"/>
          </w:tcPr>
          <w:p w14:paraId="3634A426">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p>
        </w:tc>
      </w:tr>
      <w:tr w14:paraId="006FF91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513" w:type="pct"/>
            <w:tcBorders>
              <w:tl2br w:val="nil"/>
              <w:tr2bl w:val="nil"/>
            </w:tcBorders>
            <w:vAlign w:val="center"/>
          </w:tcPr>
          <w:p w14:paraId="42E1EAA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简单防渗区</w:t>
            </w:r>
          </w:p>
        </w:tc>
        <w:tc>
          <w:tcPr>
            <w:tcW w:w="1079" w:type="pct"/>
            <w:tcBorders>
              <w:tl2br w:val="nil"/>
              <w:tr2bl w:val="nil"/>
            </w:tcBorders>
            <w:vAlign w:val="center"/>
          </w:tcPr>
          <w:p w14:paraId="57C6C9B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中——强</w:t>
            </w:r>
          </w:p>
        </w:tc>
        <w:tc>
          <w:tcPr>
            <w:tcW w:w="718" w:type="pct"/>
            <w:tcBorders>
              <w:right w:val="single" w:color="auto" w:sz="4" w:space="0"/>
              <w:tl2br w:val="nil"/>
              <w:tr2bl w:val="nil"/>
            </w:tcBorders>
            <w:vAlign w:val="center"/>
          </w:tcPr>
          <w:p w14:paraId="1EB9844F">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易</w:t>
            </w:r>
          </w:p>
        </w:tc>
        <w:tc>
          <w:tcPr>
            <w:tcW w:w="1210" w:type="pct"/>
            <w:tcBorders>
              <w:left w:val="single" w:color="auto" w:sz="4" w:space="0"/>
              <w:right w:val="single" w:color="auto" w:sz="4" w:space="0"/>
              <w:tl2br w:val="nil"/>
              <w:tr2bl w:val="nil"/>
            </w:tcBorders>
            <w:vAlign w:val="center"/>
          </w:tcPr>
          <w:p w14:paraId="523A8F2B">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其他类型</w:t>
            </w:r>
          </w:p>
        </w:tc>
        <w:tc>
          <w:tcPr>
            <w:tcW w:w="1477" w:type="pct"/>
            <w:tcBorders>
              <w:left w:val="single" w:color="auto" w:sz="4" w:space="0"/>
              <w:tl2br w:val="nil"/>
              <w:tr2bl w:val="nil"/>
            </w:tcBorders>
            <w:vAlign w:val="center"/>
          </w:tcPr>
          <w:p w14:paraId="498544C0">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一般地面硬化</w:t>
            </w:r>
          </w:p>
        </w:tc>
      </w:tr>
    </w:tbl>
    <w:p w14:paraId="07002058">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根据《环境影响评价技术导则地下水环境》（HJ610-2016）11.2.2.1条的要求，本项目涉及区域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划分为重点污染防渗区，具体划分情况见表6.3-2。</w:t>
      </w:r>
      <w:r>
        <w:rPr>
          <w:rFonts w:hint="default" w:ascii="Times New Roman" w:hAnsi="Times New Roman" w:eastAsia="宋体" w:cs="Times New Roman"/>
          <w:color w:val="000000" w:themeColor="text1"/>
          <w:sz w:val="24"/>
          <w:szCs w:val="24"/>
          <w:highlight w:val="none"/>
          <w14:textFill>
            <w14:solidFill>
              <w14:schemeClr w14:val="tx1"/>
            </w14:solidFill>
          </w14:textFill>
        </w:rPr>
        <w:t>分区防渗图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见附图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6898443">
      <w:pPr>
        <w:pStyle w:val="38"/>
        <w:keepNext w:val="0"/>
        <w:keepLines w:val="0"/>
        <w:pageBreakBefore w:val="0"/>
        <w:widowControl w:val="0"/>
        <w:tabs>
          <w:tab w:val="left" w:pos="3735"/>
          <w:tab w:val="clear" w:pos="1686"/>
        </w:tabs>
        <w:kinsoku/>
        <w:wordWrap/>
        <w:topLinePunct w:val="0"/>
        <w:bidi w:val="0"/>
        <w:ind w:left="0" w:leftChars="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eastAsiaTheme="minorEastAsia"/>
          <w:color w:val="000000" w:themeColor="text1"/>
          <w:highlight w:val="none"/>
          <w14:textFill>
            <w14:solidFill>
              <w14:schemeClr w14:val="tx1"/>
            </w14:solidFill>
          </w14:textFill>
        </w:rPr>
        <w:t>6.3</w:t>
      </w:r>
      <w:r>
        <w:rPr>
          <w:rFonts w:hint="default" w:ascii="Times New Roman" w:hAnsi="Times New Roman" w:eastAsia="Times New Roman" w:cs="Times New Roman"/>
          <w:color w:val="000000" w:themeColor="text1"/>
          <w:spacing w:val="-2"/>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本项目地下水污染防渗分区划分情况</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730"/>
        <w:gridCol w:w="975"/>
        <w:gridCol w:w="7583"/>
      </w:tblGrid>
      <w:tr w14:paraId="03BB67E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0" w:hRule="atLeast"/>
        </w:trPr>
        <w:tc>
          <w:tcPr>
            <w:tcW w:w="392" w:type="pct"/>
            <w:tcBorders>
              <w:tl2br w:val="nil"/>
              <w:tr2bl w:val="nil"/>
            </w:tcBorders>
            <w:vAlign w:val="center"/>
          </w:tcPr>
          <w:p w14:paraId="2FEF5F26">
            <w:pPr>
              <w:pStyle w:val="39"/>
              <w:keepNext w:val="0"/>
              <w:keepLines w:val="0"/>
              <w:pageBreakBefore w:val="0"/>
              <w:widowControl w:val="0"/>
              <w:kinsoku/>
              <w:wordWrap/>
              <w:topLinePunct w:val="0"/>
              <w:bidi w:val="0"/>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类别</w:t>
            </w:r>
          </w:p>
        </w:tc>
        <w:tc>
          <w:tcPr>
            <w:tcW w:w="524" w:type="pct"/>
            <w:tcBorders>
              <w:tl2br w:val="nil"/>
              <w:tr2bl w:val="nil"/>
            </w:tcBorders>
            <w:vAlign w:val="center"/>
          </w:tcPr>
          <w:p w14:paraId="2E59752A">
            <w:pPr>
              <w:pStyle w:val="39"/>
              <w:keepNext w:val="0"/>
              <w:keepLines w:val="0"/>
              <w:pageBreakBefore w:val="0"/>
              <w:widowControl w:val="0"/>
              <w:kinsoku/>
              <w:wordWrap/>
              <w:topLinePunct w:val="0"/>
              <w:bidi w:val="0"/>
              <w:rPr>
                <w:rFonts w:hint="default" w:ascii="Times New Roman" w:hAnsi="Times New Roman" w:cs="Times New Roman" w:eastAsiaTheme="minorEastAsia"/>
                <w:b/>
                <w:color w:val="000000" w:themeColor="text1"/>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1"/>
                <w:szCs w:val="21"/>
                <w:highlight w:val="none"/>
                <w14:textFill>
                  <w14:solidFill>
                    <w14:schemeClr w14:val="tx1"/>
                  </w14:solidFill>
                </w14:textFill>
              </w:rPr>
              <w:t>项</w:t>
            </w:r>
            <w:r>
              <w:rPr>
                <w:rFonts w:hint="default" w:ascii="Times New Roman" w:hAnsi="Times New Roman" w:cs="Times New Roman" w:eastAsiaTheme="minorEastAsia"/>
                <w:b/>
                <w:color w:val="000000" w:themeColor="text1"/>
                <w:spacing w:val="2"/>
                <w:szCs w:val="21"/>
                <w:highlight w:val="none"/>
                <w14:textFill>
                  <w14:solidFill>
                    <w14:schemeClr w14:val="tx1"/>
                  </w14:solidFill>
                </w14:textFill>
              </w:rPr>
              <w:t>目</w:t>
            </w:r>
            <w:r>
              <w:rPr>
                <w:rFonts w:hint="default" w:ascii="Times New Roman" w:hAnsi="Times New Roman" w:cs="Times New Roman" w:eastAsiaTheme="minorEastAsia"/>
                <w:b/>
                <w:color w:val="000000" w:themeColor="text1"/>
                <w:spacing w:val="-1"/>
                <w:szCs w:val="21"/>
                <w:highlight w:val="none"/>
                <w14:textFill>
                  <w14:solidFill>
                    <w14:schemeClr w14:val="tx1"/>
                  </w14:solidFill>
                </w14:textFill>
              </w:rPr>
              <w:t>涉</w:t>
            </w:r>
            <w:r>
              <w:rPr>
                <w:rFonts w:hint="default" w:ascii="Times New Roman" w:hAnsi="Times New Roman" w:cs="Times New Roman" w:eastAsiaTheme="minorEastAsia"/>
                <w:b/>
                <w:color w:val="000000" w:themeColor="text1"/>
                <w:spacing w:val="2"/>
                <w:szCs w:val="21"/>
                <w:highlight w:val="none"/>
                <w14:textFill>
                  <w14:solidFill>
                    <w14:schemeClr w14:val="tx1"/>
                  </w14:solidFill>
                </w14:textFill>
              </w:rPr>
              <w:t>及</w:t>
            </w:r>
            <w:r>
              <w:rPr>
                <w:rFonts w:hint="default" w:ascii="Times New Roman" w:hAnsi="Times New Roman" w:cs="Times New Roman" w:eastAsiaTheme="minorEastAsia"/>
                <w:b/>
                <w:color w:val="000000" w:themeColor="text1"/>
                <w:spacing w:val="-1"/>
                <w:szCs w:val="21"/>
                <w:highlight w:val="none"/>
                <w14:textFill>
                  <w14:solidFill>
                    <w14:schemeClr w14:val="tx1"/>
                  </w14:solidFill>
                </w14:textFill>
              </w:rPr>
              <w:t>区</w:t>
            </w:r>
            <w:r>
              <w:rPr>
                <w:rFonts w:hint="default" w:ascii="Times New Roman" w:hAnsi="Times New Roman" w:cs="Times New Roman" w:eastAsiaTheme="minorEastAsia"/>
                <w:b/>
                <w:color w:val="000000" w:themeColor="text1"/>
                <w:szCs w:val="21"/>
                <w:highlight w:val="none"/>
                <w14:textFill>
                  <w14:solidFill>
                    <w14:schemeClr w14:val="tx1"/>
                  </w14:solidFill>
                </w14:textFill>
              </w:rPr>
              <w:t>域</w:t>
            </w:r>
          </w:p>
        </w:tc>
        <w:tc>
          <w:tcPr>
            <w:tcW w:w="4082" w:type="pct"/>
            <w:tcBorders>
              <w:tl2br w:val="nil"/>
              <w:tr2bl w:val="nil"/>
            </w:tcBorders>
            <w:vAlign w:val="center"/>
          </w:tcPr>
          <w:p w14:paraId="43B102CC">
            <w:pPr>
              <w:pStyle w:val="39"/>
              <w:keepNext w:val="0"/>
              <w:keepLines w:val="0"/>
              <w:pageBreakBefore w:val="0"/>
              <w:widowControl w:val="0"/>
              <w:kinsoku/>
              <w:wordWrap/>
              <w:topLinePunct w:val="0"/>
              <w:bidi w:val="0"/>
              <w:rPr>
                <w:rFonts w:hint="default" w:ascii="Times New Roman" w:hAnsi="Times New Roman" w:cs="Times New Roman" w:eastAsiaTheme="minorEastAsia"/>
                <w:b/>
                <w:color w:val="000000" w:themeColor="text1"/>
                <w:szCs w:val="21"/>
                <w:highlight w:val="none"/>
                <w14:textFill>
                  <w14:solidFill>
                    <w14:schemeClr w14:val="tx1"/>
                  </w14:solidFill>
                </w14:textFill>
              </w:rPr>
            </w:pPr>
            <w:r>
              <w:rPr>
                <w:rFonts w:hint="default" w:ascii="Times New Roman" w:hAnsi="Times New Roman" w:cs="Times New Roman" w:eastAsiaTheme="minorEastAsia"/>
                <w:b/>
                <w:color w:val="000000" w:themeColor="text1"/>
                <w:spacing w:val="-1"/>
                <w:szCs w:val="21"/>
                <w:highlight w:val="none"/>
                <w14:textFill>
                  <w14:solidFill>
                    <w14:schemeClr w14:val="tx1"/>
                  </w14:solidFill>
                </w14:textFill>
              </w:rPr>
              <w:t>防</w:t>
            </w:r>
            <w:r>
              <w:rPr>
                <w:rFonts w:hint="default" w:ascii="Times New Roman" w:hAnsi="Times New Roman" w:cs="Times New Roman" w:eastAsiaTheme="minorEastAsia"/>
                <w:b/>
                <w:color w:val="000000" w:themeColor="text1"/>
                <w:spacing w:val="2"/>
                <w:szCs w:val="21"/>
                <w:highlight w:val="none"/>
                <w14:textFill>
                  <w14:solidFill>
                    <w14:schemeClr w14:val="tx1"/>
                  </w14:solidFill>
                </w14:textFill>
              </w:rPr>
              <w:t>渗</w:t>
            </w:r>
            <w:r>
              <w:rPr>
                <w:rFonts w:hint="default" w:ascii="Times New Roman" w:hAnsi="Times New Roman" w:cs="Times New Roman" w:eastAsiaTheme="minorEastAsia"/>
                <w:b/>
                <w:color w:val="000000" w:themeColor="text1"/>
                <w:spacing w:val="-1"/>
                <w:szCs w:val="21"/>
                <w:highlight w:val="none"/>
                <w14:textFill>
                  <w14:solidFill>
                    <w14:schemeClr w14:val="tx1"/>
                  </w14:solidFill>
                </w14:textFill>
              </w:rPr>
              <w:t>要</w:t>
            </w:r>
            <w:r>
              <w:rPr>
                <w:rFonts w:hint="default" w:ascii="Times New Roman" w:hAnsi="Times New Roman" w:cs="Times New Roman" w:eastAsiaTheme="minorEastAsia"/>
                <w:b/>
                <w:color w:val="000000" w:themeColor="text1"/>
                <w:szCs w:val="21"/>
                <w:highlight w:val="none"/>
                <w14:textFill>
                  <w14:solidFill>
                    <w14:schemeClr w14:val="tx1"/>
                  </w14:solidFill>
                </w14:textFill>
              </w:rPr>
              <w:t>求</w:t>
            </w:r>
          </w:p>
        </w:tc>
      </w:tr>
      <w:tr w14:paraId="46F81EAE">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39" w:hRule="atLeast"/>
        </w:trPr>
        <w:tc>
          <w:tcPr>
            <w:tcW w:w="392" w:type="pct"/>
            <w:vMerge w:val="restart"/>
            <w:tcBorders>
              <w:tl2br w:val="nil"/>
              <w:tr2bl w:val="nil"/>
            </w:tcBorders>
            <w:vAlign w:val="center"/>
          </w:tcPr>
          <w:p w14:paraId="2C70A0A9">
            <w:pPr>
              <w:pStyle w:val="39"/>
              <w:keepNext w:val="0"/>
              <w:keepLines w:val="0"/>
              <w:pageBreakBefore w:val="0"/>
              <w:widowControl w:val="0"/>
              <w:kinsoku/>
              <w:wordWrap/>
              <w:topLinePunct w:val="0"/>
              <w:bidi w:val="0"/>
              <w:rPr>
                <w:rFonts w:hint="default" w:ascii="Times New Roman" w:hAnsi="Times New Roman" w:cs="Times New Roman" w:eastAsiaTheme="minorEastAsia"/>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重点防渗区</w:t>
            </w:r>
          </w:p>
        </w:tc>
        <w:tc>
          <w:tcPr>
            <w:tcW w:w="524" w:type="pct"/>
            <w:tcBorders>
              <w:tl2br w:val="nil"/>
              <w:tr2bl w:val="nil"/>
            </w:tcBorders>
            <w:vAlign w:val="center"/>
          </w:tcPr>
          <w:p w14:paraId="299D58AB">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地下集输管道</w:t>
            </w:r>
          </w:p>
        </w:tc>
        <w:tc>
          <w:tcPr>
            <w:tcW w:w="4082" w:type="pct"/>
            <w:tcBorders>
              <w:tl2br w:val="nil"/>
              <w:tr2bl w:val="nil"/>
            </w:tcBorders>
            <w:vAlign w:val="center"/>
          </w:tcPr>
          <w:p w14:paraId="776D5221">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地下</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集输</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管道</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选用无缝钢管，</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设计壁厚的腐蚀余量大于</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mm或采用管道内防腐，管道的外防腐等级采用特加强级，管道的连接方式采用焊接，满足《环境影响评价技术导则地下水环境》（HJ610-2016）中重点防渗区的要求</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：等效黏土防渗层Mb≥6.0m、K≤1.0×10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cm/s</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定期对管道腐蚀情况及壁厚进行检测，发现问题及时处理，防止泄漏事故的发生；提高自动化水平，对管道的压力进行实时监控，当发生泄漏事故时可通过压力变化及时发现，然后采取维抢修及回收落地油和被污染的土壤等措施控制事故对周围环境造成的影响，进一步防止污染地下水。</w:t>
            </w:r>
          </w:p>
        </w:tc>
      </w:tr>
      <w:tr w14:paraId="664A6751">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39" w:hRule="atLeast"/>
        </w:trPr>
        <w:tc>
          <w:tcPr>
            <w:tcW w:w="392" w:type="pct"/>
            <w:vMerge w:val="continue"/>
            <w:tcBorders>
              <w:tl2br w:val="nil"/>
              <w:tr2bl w:val="nil"/>
            </w:tcBorders>
            <w:vAlign w:val="center"/>
          </w:tcPr>
          <w:p w14:paraId="563642B9">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14:textFill>
                  <w14:solidFill>
                    <w14:schemeClr w14:val="tx1"/>
                  </w14:solidFill>
                </w14:textFill>
              </w:rPr>
            </w:pPr>
          </w:p>
        </w:tc>
        <w:tc>
          <w:tcPr>
            <w:tcW w:w="524" w:type="pct"/>
            <w:tcBorders>
              <w:tl2br w:val="nil"/>
              <w:tr2bl w:val="nil"/>
            </w:tcBorders>
            <w:vAlign w:val="center"/>
          </w:tcPr>
          <w:p w14:paraId="36F67748">
            <w:pPr>
              <w:pStyle w:val="39"/>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定向钻施工</w:t>
            </w:r>
          </w:p>
        </w:tc>
        <w:tc>
          <w:tcPr>
            <w:tcW w:w="4082" w:type="pct"/>
            <w:tcBorders>
              <w:tl2br w:val="nil"/>
              <w:tr2bl w:val="nil"/>
            </w:tcBorders>
            <w:vAlign w:val="center"/>
          </w:tcPr>
          <w:p w14:paraId="4649A84C">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定向钻施工时，防渗泥浆池、泥浆配置区等区域，场地铺设1.5mm厚高密度聚乙烯膜构筑防渗层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防渗性能等效黏土防渗层Mb≥</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m、K≤1.0×10</w:t>
            </w:r>
            <w:r>
              <w:rPr>
                <w:rFonts w:hint="default" w:ascii="Times New Roman" w:hAnsi="Times New Roman" w:eastAsia="宋体" w:cs="Times New Roman"/>
                <w:bCs/>
                <w:snapToGrid w:val="0"/>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cm/s，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满足《环境影响评价技术导则地下水环境》（HJ610-2016）一般防渗区技术要求</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p>
        </w:tc>
      </w:tr>
    </w:tbl>
    <w:p w14:paraId="5ACA9B7E">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6.3.4地下水跟踪监测</w:t>
      </w:r>
    </w:p>
    <w:p w14:paraId="5DFDCC8A">
      <w:pPr>
        <w:pStyle w:val="37"/>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应定期对地下水环境进行监测，监测委托具有资质的单位进行，结合《排污单位自行监测技术指南总则》（HJ819-2017）</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、《排污单位自行监测技术指南陆上石油天然气开采工业》（HJ1248-2022）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fldChar w:fldCharType="begin"/>
      </w:r>
      <w:r>
        <w:rPr>
          <w:rFonts w:hint="default" w:ascii="Times New Roman" w:hAnsi="Times New Roman" w:cs="Times New Roman"/>
          <w:color w:val="000000" w:themeColor="text1"/>
          <w:highlight w:val="none"/>
          <w:lang w:eastAsia="zh-CN"/>
          <w14:textFill>
            <w14:solidFill>
              <w14:schemeClr w14:val="tx1"/>
            </w14:solidFill>
          </w14:textFill>
        </w:rPr>
        <w:instrText xml:space="preserve"> HYPERLINK "http://www.mee.gov.cn/ywgz/fgbz/bz/bzwb/jcffbz/202112/t20211206_963131.shtml" </w:instrText>
      </w:r>
      <w:r>
        <w:rPr>
          <w:rFonts w:hint="default" w:ascii="Times New Roman" w:hAnsi="Times New Roman" w:cs="Times New Roman"/>
          <w:color w:val="000000" w:themeColor="text1"/>
          <w:highlight w:val="none"/>
          <w:lang w:eastAsia="zh-CN"/>
          <w14:textFill>
            <w14:solidFill>
              <w14:schemeClr w14:val="tx1"/>
            </w14:solidFill>
          </w14:textFill>
        </w:rPr>
        <w:fldChar w:fldCharType="separate"/>
      </w:r>
      <w:r>
        <w:rPr>
          <w:rFonts w:hint="default" w:ascii="Times New Roman" w:hAnsi="Times New Roman" w:cs="Times New Roman"/>
          <w:color w:val="000000" w:themeColor="text1"/>
          <w:highlight w:val="none"/>
          <w:lang w:eastAsia="zh-CN"/>
          <w14:textFill>
            <w14:solidFill>
              <w14:schemeClr w14:val="tx1"/>
            </w14:solidFill>
          </w14:textFill>
        </w:rPr>
        <w:t>《工业企业土壤和地下水自行监测技术指南（试行）》（HJ1209-2021）</w:t>
      </w:r>
      <w:r>
        <w:rPr>
          <w:rFonts w:hint="default" w:ascii="Times New Roman" w:hAnsi="Times New Roman" w:cs="Times New Roman"/>
          <w:color w:val="000000" w:themeColor="text1"/>
          <w:highlight w:val="none"/>
          <w:lang w:eastAsia="zh-CN"/>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制定本项目</w:t>
      </w: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监测计划，同时在当地对监测结果进行信息公开，每年公开一次</w:t>
      </w:r>
      <w:r>
        <w:rPr>
          <w:rFonts w:hint="default" w:ascii="Times New Roman" w:hAnsi="Times New Roman" w:cs="Times New Roman"/>
          <w:color w:val="000000" w:themeColor="text1"/>
          <w:highlight w:val="none"/>
          <w:lang w:eastAsia="zh-CN"/>
          <w14:textFill>
            <w14:solidFill>
              <w14:schemeClr w14:val="tx1"/>
            </w14:solidFill>
          </w14:textFill>
        </w:rPr>
        <w:t>，随时监测地下水的变化，及时发现和解决问题；如发生重大污染事故且已对地下水造成污染，应进行信息公开，并与政府相关部门进行联动，聘请专家进行讨论，制定减轻地下水污染程度及控制地下水污染范围的措施，防止地下水污染加剧。</w:t>
      </w:r>
    </w:p>
    <w:p w14:paraId="60DD6741">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项目区域潜水</w:t>
      </w:r>
      <w:r>
        <w:rPr>
          <w:rFonts w:hint="default" w:ascii="Times New Roman" w:hAnsi="Times New Roman" w:cs="Times New Roman"/>
          <w:color w:val="000000" w:themeColor="text1"/>
          <w:highlight w:val="none"/>
          <w:lang w:eastAsia="zh-CN"/>
          <w14:textFill>
            <w14:solidFill>
              <w14:schemeClr w14:val="tx1"/>
            </w14:solidFill>
          </w14:textFill>
        </w:rPr>
        <w:t>总体流向为自东</w:t>
      </w:r>
      <w:r>
        <w:rPr>
          <w:rFonts w:hint="eastAsia" w:ascii="Times New Roman" w:hAnsi="Times New Roman" w:cs="Times New Roman"/>
          <w:color w:val="000000" w:themeColor="text1"/>
          <w:highlight w:val="none"/>
          <w:lang w:eastAsia="zh-CN"/>
          <w14:textFill>
            <w14:solidFill>
              <w14:schemeClr w14:val="tx1"/>
            </w14:solidFill>
          </w14:textFill>
        </w:rPr>
        <w:t>南</w:t>
      </w:r>
      <w:r>
        <w:rPr>
          <w:rFonts w:hint="default" w:ascii="Times New Roman" w:hAnsi="Times New Roman" w:cs="Times New Roman"/>
          <w:color w:val="000000" w:themeColor="text1"/>
          <w:highlight w:val="none"/>
          <w:lang w:eastAsia="zh-CN"/>
          <w14:textFill>
            <w14:solidFill>
              <w14:schemeClr w14:val="tx1"/>
            </w14:solidFill>
          </w14:textFill>
        </w:rPr>
        <w:t>向西</w:t>
      </w:r>
      <w:r>
        <w:rPr>
          <w:rFonts w:hint="eastAsia" w:ascii="Times New Roman" w:hAnsi="Times New Roman" w:cs="Times New Roman"/>
          <w:color w:val="000000" w:themeColor="text1"/>
          <w:highlight w:val="none"/>
          <w:lang w:eastAsia="zh-CN"/>
          <w14:textFill>
            <w14:solidFill>
              <w14:schemeClr w14:val="tx1"/>
            </w14:solidFill>
          </w14:textFill>
        </w:rPr>
        <w:t>北</w:t>
      </w:r>
      <w:r>
        <w:rPr>
          <w:rFonts w:hint="default" w:ascii="Times New Roman" w:hAnsi="Times New Roman" w:cs="Times New Roman"/>
          <w:color w:val="000000" w:themeColor="text1"/>
          <w:highlight w:val="none"/>
          <w:lang w:val="en-US" w:eastAsia="zh-CN"/>
          <w14:textFill>
            <w14:solidFill>
              <w14:schemeClr w14:val="tx1"/>
            </w14:solidFill>
          </w14:textFill>
        </w:rPr>
        <w:t>，依托3口跟踪监测井，新建1口跟踪监测井，井深均为20m，定期对地下水进行跟踪监测：</w:t>
      </w:r>
      <w:r>
        <w:rPr>
          <w:rFonts w:hint="eastAsia" w:ascii="Times New Roman" w:hAnsi="Times New Roman" w:cs="Times New Roman"/>
          <w:color w:val="000000" w:themeColor="text1"/>
          <w:highlight w:val="none"/>
          <w:lang w:val="en-US" w:eastAsia="zh-CN"/>
          <w14:textFill>
            <w14:solidFill>
              <w14:schemeClr w14:val="tx1"/>
            </w14:solidFill>
          </w14:textFill>
        </w:rPr>
        <w:t>依托</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口跟踪监测井，其中背景值监测井布设</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口，</w:t>
      </w:r>
      <w:r>
        <w:rPr>
          <w:rFonts w:hint="default" w:ascii="Times New Roman" w:hAnsi="Times New Roman" w:cs="Times New Roman"/>
          <w:color w:val="000000" w:themeColor="text1"/>
          <w:highlight w:val="none"/>
          <w:lang w:val="en-US" w:eastAsia="zh-CN"/>
          <w14:textFill>
            <w14:solidFill>
              <w14:schemeClr w14:val="tx1"/>
            </w14:solidFill>
          </w14:textFill>
        </w:rPr>
        <w:t>在本区域上游宋芳屯居住区（125.070827，45.987808）、平立屯（125.290617，46.170945）</w:t>
      </w:r>
      <w:r>
        <w:rPr>
          <w:rFonts w:hint="eastAsia"/>
          <w:color w:val="000000" w:themeColor="text1"/>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在区块下游粮油贸易公司（125.069196，45.989418）布设1口潜水跟踪监测井</w:t>
      </w:r>
      <w:r>
        <w:rPr>
          <w:rFonts w:hint="eastAsia" w:ascii="Times New Roman" w:hAnsi="Times New Roman" w:cs="Times New Roman"/>
          <w:color w:val="000000" w:themeColor="text1"/>
          <w:highlight w:val="none"/>
          <w:lang w:val="en-US" w:eastAsia="zh-CN"/>
          <w14:textFill>
            <w14:solidFill>
              <w14:schemeClr w14:val="tx1"/>
            </w14:solidFill>
          </w14:textFill>
        </w:rPr>
        <w:t>；在区块下游新建</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口潜水跟踪监测井为</w:t>
      </w:r>
      <w:r>
        <w:rPr>
          <w:rFonts w:hint="default" w:ascii="Times New Roman" w:hAnsi="Times New Roman" w:cs="Times New Roman"/>
          <w:color w:val="000000" w:themeColor="text1"/>
          <w:highlight w:val="none"/>
          <w:lang w:val="en-US" w:eastAsia="zh-CN"/>
          <w14:textFill>
            <w14:solidFill>
              <w14:schemeClr w14:val="tx1"/>
            </w14:solidFill>
          </w14:textFill>
        </w:rPr>
        <w:t>升1-2集油阀组间1环集油管线西侧50m处（125.273344，46.178612）。每季度监测1次，</w:t>
      </w:r>
      <w:r>
        <w:rPr>
          <w:rFonts w:hint="default" w:ascii="Times New Roman" w:hAnsi="Times New Roman" w:cs="Times New Roman"/>
          <w:color w:val="000000" w:themeColor="text1"/>
          <w:highlight w:val="none"/>
          <w14:textFill>
            <w14:solidFill>
              <w14:schemeClr w14:val="tx1"/>
            </w14:solidFill>
          </w14:textFill>
        </w:rPr>
        <w:t>具体设置情况见表6.</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，地下水跟踪监测点位示意图见附图</w:t>
      </w:r>
      <w:r>
        <w:rPr>
          <w:rFonts w:hint="default" w:ascii="Times New Roman" w:hAnsi="Times New Roman" w:cs="Times New Roman"/>
          <w:color w:val="000000" w:themeColor="text1"/>
          <w:highlight w:val="none"/>
          <w:lang w:val="en-US" w:eastAsia="zh-CN"/>
          <w14:textFill>
            <w14:solidFill>
              <w14:schemeClr w14:val="tx1"/>
            </w14:solidFill>
          </w14:textFill>
        </w:rPr>
        <w:t>6-2。</w:t>
      </w:r>
    </w:p>
    <w:p w14:paraId="7E198027">
      <w:pPr>
        <w:pStyle w:val="38"/>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表6.</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地下水环境监测计划表</w:t>
      </w:r>
    </w:p>
    <w:tbl>
      <w:tblPr>
        <w:tblStyle w:val="40"/>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8"/>
        <w:gridCol w:w="1316"/>
        <w:gridCol w:w="990"/>
        <w:gridCol w:w="1500"/>
        <w:gridCol w:w="2011"/>
        <w:gridCol w:w="2986"/>
      </w:tblGrid>
      <w:tr w14:paraId="6341A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7" w:type="pct"/>
            <w:vAlign w:val="center"/>
          </w:tcPr>
          <w:p w14:paraId="79AE1942">
            <w:pPr>
              <w:pStyle w:val="39"/>
              <w:keepNext w:val="0"/>
              <w:keepLines w:val="0"/>
              <w:pageBreakBefore w:val="0"/>
              <w:widowControl w:val="0"/>
              <w:kinsoku/>
              <w:wordWrap/>
              <w:topLinePunct w:val="0"/>
              <w:bidi w:val="0"/>
              <w:rPr>
                <w:rFonts w:hint="default" w:ascii="Times New Roman" w:hAnsi="Times New Roman" w:eastAsia="宋体" w:cs="Times New Roman"/>
                <w:b/>
                <w:bCs/>
                <w:color w:val="000000" w:themeColor="text1"/>
                <w:spacing w:val="-1"/>
                <w:highlight w:val="none"/>
                <w14:textFill>
                  <w14:solidFill>
                    <w14:schemeClr w14:val="tx1"/>
                  </w14:solidFill>
                </w14:textFill>
              </w:rPr>
            </w:pPr>
            <w:r>
              <w:rPr>
                <w:rFonts w:hint="default" w:ascii="Times New Roman" w:hAnsi="Times New Roman" w:eastAsia="宋体" w:cs="Times New Roman"/>
                <w:b/>
                <w:bCs/>
                <w:color w:val="000000" w:themeColor="text1"/>
                <w:spacing w:val="-1"/>
                <w:highlight w:val="none"/>
                <w14:textFill>
                  <w14:solidFill>
                    <w14:schemeClr w14:val="tx1"/>
                  </w14:solidFill>
                </w14:textFill>
              </w:rPr>
              <w:t>序号</w:t>
            </w:r>
          </w:p>
        </w:tc>
        <w:tc>
          <w:tcPr>
            <w:tcW w:w="708" w:type="pct"/>
            <w:vAlign w:val="center"/>
          </w:tcPr>
          <w:p w14:paraId="074BAFEA">
            <w:pPr>
              <w:pStyle w:val="39"/>
              <w:keepNext w:val="0"/>
              <w:keepLines w:val="0"/>
              <w:pageBreakBefore w:val="0"/>
              <w:widowControl w:val="0"/>
              <w:tabs>
                <w:tab w:val="center" w:pos="657"/>
                <w:tab w:val="right" w:pos="1195"/>
              </w:tabs>
              <w:kinsoku/>
              <w:wordWrap/>
              <w:topLinePunct w:val="0"/>
              <w:bidi w:val="0"/>
              <w:jc w:val="center"/>
              <w:rPr>
                <w:rFonts w:hint="default" w:ascii="Times New Roman" w:hAnsi="Times New Roman" w:eastAsia="宋体" w:cs="Times New Roman"/>
                <w:b/>
                <w:bCs/>
                <w:color w:val="000000" w:themeColor="text1"/>
                <w:spacing w:val="-1"/>
                <w:highlight w:val="none"/>
                <w14:textFill>
                  <w14:solidFill>
                    <w14:schemeClr w14:val="tx1"/>
                  </w14:solidFill>
                </w14:textFill>
              </w:rPr>
            </w:pPr>
            <w:r>
              <w:rPr>
                <w:rFonts w:hint="default" w:ascii="Times New Roman" w:hAnsi="Times New Roman" w:eastAsia="宋体" w:cs="Times New Roman"/>
                <w:b/>
                <w:bCs/>
                <w:color w:val="000000" w:themeColor="text1"/>
                <w:spacing w:val="-1"/>
                <w:highlight w:val="none"/>
                <w14:textFill>
                  <w14:solidFill>
                    <w14:schemeClr w14:val="tx1"/>
                  </w14:solidFill>
                </w14:textFill>
              </w:rPr>
              <w:t>跟踪监测点位</w:t>
            </w:r>
          </w:p>
        </w:tc>
        <w:tc>
          <w:tcPr>
            <w:tcW w:w="533" w:type="pct"/>
            <w:tcBorders>
              <w:right w:val="single" w:color="auto" w:sz="4" w:space="0"/>
            </w:tcBorders>
            <w:vAlign w:val="center"/>
          </w:tcPr>
          <w:p w14:paraId="3A5F2F80">
            <w:pPr>
              <w:pStyle w:val="39"/>
              <w:keepNext w:val="0"/>
              <w:keepLines w:val="0"/>
              <w:pageBreakBefore w:val="0"/>
              <w:widowControl w:val="0"/>
              <w:kinsoku/>
              <w:wordWrap/>
              <w:topLinePunct w:val="0"/>
              <w:bidi w:val="0"/>
              <w:rPr>
                <w:rFonts w:hint="default" w:ascii="Times New Roman" w:hAnsi="Times New Roman" w:eastAsia="宋体" w:cs="Times New Roman"/>
                <w:b/>
                <w:bCs/>
                <w:color w:val="000000" w:themeColor="text1"/>
                <w:spacing w:val="-1"/>
                <w:highlight w:val="none"/>
                <w14:textFill>
                  <w14:solidFill>
                    <w14:schemeClr w14:val="tx1"/>
                  </w14:solidFill>
                </w14:textFill>
              </w:rPr>
            </w:pPr>
            <w:r>
              <w:rPr>
                <w:rFonts w:hint="default" w:ascii="Times New Roman" w:hAnsi="Times New Roman" w:eastAsia="宋体" w:cs="Times New Roman"/>
                <w:b/>
                <w:bCs/>
                <w:color w:val="000000" w:themeColor="text1"/>
                <w:spacing w:val="-1"/>
                <w:highlight w:val="none"/>
                <w14:textFill>
                  <w14:solidFill>
                    <w14:schemeClr w14:val="tx1"/>
                  </w14:solidFill>
                </w14:textFill>
              </w:rPr>
              <w:t>监测井类型</w:t>
            </w:r>
          </w:p>
        </w:tc>
        <w:tc>
          <w:tcPr>
            <w:tcW w:w="808" w:type="pct"/>
            <w:tcBorders>
              <w:left w:val="single" w:color="auto" w:sz="4" w:space="0"/>
            </w:tcBorders>
            <w:vAlign w:val="center"/>
          </w:tcPr>
          <w:p w14:paraId="259E97CD">
            <w:pPr>
              <w:pStyle w:val="39"/>
              <w:keepNext w:val="0"/>
              <w:keepLines w:val="0"/>
              <w:pageBreakBefore w:val="0"/>
              <w:widowControl w:val="0"/>
              <w:kinsoku/>
              <w:wordWrap/>
              <w:topLinePunct w:val="0"/>
              <w:bidi w:val="0"/>
              <w:rPr>
                <w:rFonts w:hint="default" w:ascii="Times New Roman" w:hAnsi="Times New Roman" w:eastAsia="宋体" w:cs="Times New Roman"/>
                <w:b/>
                <w:bCs/>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1"/>
                <w:highlight w:val="none"/>
                <w:lang w:eastAsia="zh-CN"/>
                <w14:textFill>
                  <w14:solidFill>
                    <w14:schemeClr w14:val="tx1"/>
                  </w14:solidFill>
                </w14:textFill>
              </w:rPr>
              <w:t>经纬度</w:t>
            </w:r>
          </w:p>
        </w:tc>
        <w:tc>
          <w:tcPr>
            <w:tcW w:w="1083" w:type="pct"/>
            <w:vAlign w:val="center"/>
          </w:tcPr>
          <w:p w14:paraId="63C43D72">
            <w:pPr>
              <w:pStyle w:val="39"/>
              <w:keepNext w:val="0"/>
              <w:keepLines w:val="0"/>
              <w:pageBreakBefore w:val="0"/>
              <w:widowControl w:val="0"/>
              <w:kinsoku/>
              <w:wordWrap/>
              <w:topLinePunct w:val="0"/>
              <w:bidi w:val="0"/>
              <w:rPr>
                <w:rFonts w:hint="default" w:ascii="Times New Roman" w:hAnsi="Times New Roman" w:eastAsia="宋体" w:cs="Times New Roman"/>
                <w:b/>
                <w:bCs/>
                <w:color w:val="000000" w:themeColor="text1"/>
                <w:spacing w:val="-1"/>
                <w:highlight w:val="none"/>
                <w14:textFill>
                  <w14:solidFill>
                    <w14:schemeClr w14:val="tx1"/>
                  </w14:solidFill>
                </w14:textFill>
              </w:rPr>
            </w:pPr>
            <w:r>
              <w:rPr>
                <w:rFonts w:hint="default" w:ascii="Times New Roman" w:hAnsi="Times New Roman" w:eastAsia="宋体" w:cs="Times New Roman"/>
                <w:b/>
                <w:bCs/>
                <w:color w:val="000000" w:themeColor="text1"/>
                <w:spacing w:val="-1"/>
                <w:highlight w:val="none"/>
                <w14:textFill>
                  <w14:solidFill>
                    <w14:schemeClr w14:val="tx1"/>
                  </w14:solidFill>
                </w14:textFill>
              </w:rPr>
              <w:t>相对位置</w:t>
            </w:r>
          </w:p>
        </w:tc>
        <w:tc>
          <w:tcPr>
            <w:tcW w:w="1608" w:type="pct"/>
            <w:vAlign w:val="center"/>
          </w:tcPr>
          <w:p w14:paraId="07D67074">
            <w:pPr>
              <w:pStyle w:val="39"/>
              <w:keepNext w:val="0"/>
              <w:keepLines w:val="0"/>
              <w:pageBreakBefore w:val="0"/>
              <w:widowControl w:val="0"/>
              <w:kinsoku/>
              <w:wordWrap/>
              <w:topLinePunct w:val="0"/>
              <w:bidi w:val="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pacing w:val="-1"/>
                <w:highlight w:val="none"/>
                <w14:textFill>
                  <w14:solidFill>
                    <w14:schemeClr w14:val="tx1"/>
                  </w14:solidFill>
                </w14:textFill>
              </w:rPr>
              <w:t>监测因子</w:t>
            </w:r>
          </w:p>
        </w:tc>
      </w:tr>
      <w:tr w14:paraId="44D02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trPr>
        <w:tc>
          <w:tcPr>
            <w:tcW w:w="257" w:type="pct"/>
            <w:vAlign w:val="center"/>
          </w:tcPr>
          <w:p w14:paraId="7706DC3B">
            <w:pPr>
              <w:pStyle w:val="49"/>
              <w:keepNext w:val="0"/>
              <w:keepLines w:val="0"/>
              <w:pageBreakBefore w:val="0"/>
              <w:widowControl w:val="0"/>
              <w:kinsoku/>
              <w:wordWrap/>
              <w:topLinePunct w:val="0"/>
              <w:bidi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708" w:type="pct"/>
            <w:vAlign w:val="center"/>
          </w:tcPr>
          <w:p w14:paraId="088836D3">
            <w:pPr>
              <w:pStyle w:val="3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宋芳屯居住区</w:t>
            </w:r>
          </w:p>
        </w:tc>
        <w:tc>
          <w:tcPr>
            <w:tcW w:w="533" w:type="pct"/>
            <w:tcBorders>
              <w:right w:val="single" w:color="auto" w:sz="4" w:space="0"/>
            </w:tcBorders>
            <w:vAlign w:val="center"/>
          </w:tcPr>
          <w:p w14:paraId="6B0F8E39">
            <w:pPr>
              <w:pStyle w:val="3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背景监测</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井</w:t>
            </w:r>
          </w:p>
        </w:tc>
        <w:tc>
          <w:tcPr>
            <w:tcW w:w="808" w:type="pct"/>
            <w:tcBorders>
              <w:left w:val="single" w:color="auto" w:sz="4" w:space="0"/>
            </w:tcBorders>
            <w:vAlign w:val="center"/>
          </w:tcPr>
          <w:p w14:paraId="43052691">
            <w:pPr>
              <w:pStyle w:val="3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125.070827°，45.987808°</w:t>
            </w:r>
          </w:p>
        </w:tc>
        <w:tc>
          <w:tcPr>
            <w:tcW w:w="1083" w:type="pct"/>
            <w:vAlign w:val="center"/>
          </w:tcPr>
          <w:p w14:paraId="46F12DB5">
            <w:pPr>
              <w:pStyle w:val="3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芳3转油站外输油管道南侧120m</w:t>
            </w:r>
          </w:p>
        </w:tc>
        <w:tc>
          <w:tcPr>
            <w:tcW w:w="1608" w:type="pct"/>
            <w:vMerge w:val="restart"/>
            <w:vAlign w:val="center"/>
          </w:tcPr>
          <w:p w14:paraId="2D8A2C7D">
            <w:pPr>
              <w:keepNext w:val="0"/>
              <w:keepLines w:val="0"/>
              <w:pageBreakBefore w:val="0"/>
              <w:widowControl w:val="0"/>
              <w:kinsoku/>
              <w:wordWrap/>
              <w:topLinePunct w:val="0"/>
              <w:bidi w:val="0"/>
              <w:adjustRightInd/>
              <w:snapToGrid/>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初次监测：</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pH、总硬度、溶解性总固体、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硫酸盐、氯化物、铁、锰、铜、锌、铝、</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挥发酚</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、阴阳离子表面活性剂、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耗氧量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氨氮、硫化物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亚硝酸盐、硝酸盐、氰化物、氟化物、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碘化物、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汞、砷、</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硒、</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镉、六价铬</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三氯甲烷、四氯甲烷、苯、甲苯、色；</w:t>
            </w:r>
          </w:p>
          <w:p w14:paraId="4A4F58B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后续监测：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H、氨氮、石油类、挥发性酚类、耗氧量、石油烃（C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）、汞、砷、铬（六价）</w:t>
            </w:r>
          </w:p>
        </w:tc>
      </w:tr>
      <w:tr w14:paraId="78AFA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 w:hRule="atLeast"/>
        </w:trPr>
        <w:tc>
          <w:tcPr>
            <w:tcW w:w="257" w:type="pct"/>
            <w:vAlign w:val="center"/>
          </w:tcPr>
          <w:p w14:paraId="554079A3">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p>
        </w:tc>
        <w:tc>
          <w:tcPr>
            <w:tcW w:w="708" w:type="pct"/>
            <w:vAlign w:val="center"/>
          </w:tcPr>
          <w:p w14:paraId="4BC184ED">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粮油贸易公司</w:t>
            </w:r>
          </w:p>
        </w:tc>
        <w:tc>
          <w:tcPr>
            <w:tcW w:w="533" w:type="pct"/>
            <w:tcBorders>
              <w:right w:val="single" w:color="auto" w:sz="4" w:space="0"/>
            </w:tcBorders>
            <w:vAlign w:val="center"/>
          </w:tcPr>
          <w:p w14:paraId="7887E57C">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跟踪监测井</w:t>
            </w:r>
          </w:p>
        </w:tc>
        <w:tc>
          <w:tcPr>
            <w:tcW w:w="808" w:type="pct"/>
            <w:tcBorders>
              <w:left w:val="single" w:color="auto" w:sz="4" w:space="0"/>
            </w:tcBorders>
            <w:vAlign w:val="center"/>
          </w:tcPr>
          <w:p w14:paraId="2B20CF0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125.069196°，45.989418°</w:t>
            </w:r>
          </w:p>
        </w:tc>
        <w:tc>
          <w:tcPr>
            <w:tcW w:w="1083" w:type="pct"/>
            <w:vAlign w:val="center"/>
          </w:tcPr>
          <w:p w14:paraId="63BA17F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芳3转油站外输油管道北侧55m</w:t>
            </w:r>
          </w:p>
        </w:tc>
        <w:tc>
          <w:tcPr>
            <w:tcW w:w="1608" w:type="pct"/>
            <w:vMerge w:val="continue"/>
            <w:vAlign w:val="center"/>
          </w:tcPr>
          <w:p w14:paraId="1B122A89">
            <w:pPr>
              <w:keepNext w:val="0"/>
              <w:keepLines w:val="0"/>
              <w:pageBreakBefore w:val="0"/>
              <w:widowControl w:val="0"/>
              <w:kinsoku/>
              <w:wordWrap/>
              <w:topLinePunct w:val="0"/>
              <w:bidi w:val="0"/>
              <w:adjustRightInd/>
              <w:snapToGrid/>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705D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9" w:hRule="atLeast"/>
        </w:trPr>
        <w:tc>
          <w:tcPr>
            <w:tcW w:w="257" w:type="pct"/>
            <w:vAlign w:val="center"/>
          </w:tcPr>
          <w:p w14:paraId="46B957BE">
            <w:pPr>
              <w:pStyle w:val="39"/>
              <w:keepNext w:val="0"/>
              <w:keepLines w:val="0"/>
              <w:pageBreakBefore w:val="0"/>
              <w:widowControl w:val="0"/>
              <w:kinsoku/>
              <w:wordWrap/>
              <w:topLinePunct w:val="0"/>
              <w:bidi w:val="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p>
        </w:tc>
        <w:tc>
          <w:tcPr>
            <w:tcW w:w="708" w:type="pct"/>
            <w:shd w:val="clear" w:color="auto" w:fill="auto"/>
            <w:vAlign w:val="center"/>
          </w:tcPr>
          <w:p w14:paraId="352E013F">
            <w:pPr>
              <w:pStyle w:val="3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平立屯</w:t>
            </w:r>
          </w:p>
        </w:tc>
        <w:tc>
          <w:tcPr>
            <w:tcW w:w="533" w:type="pct"/>
            <w:tcBorders>
              <w:right w:val="single" w:color="auto" w:sz="4" w:space="0"/>
            </w:tcBorders>
            <w:shd w:val="clear" w:color="auto" w:fill="auto"/>
            <w:vAlign w:val="center"/>
          </w:tcPr>
          <w:p w14:paraId="7C8452C3">
            <w:pPr>
              <w:pStyle w:val="39"/>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背景监测</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井</w:t>
            </w:r>
          </w:p>
        </w:tc>
        <w:tc>
          <w:tcPr>
            <w:tcW w:w="808" w:type="pct"/>
            <w:tcBorders>
              <w:left w:val="single" w:color="auto" w:sz="4" w:space="0"/>
            </w:tcBorders>
            <w:vAlign w:val="center"/>
          </w:tcPr>
          <w:p w14:paraId="7F7FE0C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125.290617°，46.170945°</w:t>
            </w:r>
          </w:p>
        </w:tc>
        <w:tc>
          <w:tcPr>
            <w:tcW w:w="1083" w:type="pct"/>
            <w:vAlign w:val="center"/>
          </w:tcPr>
          <w:p w14:paraId="660577D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升1-2集油阀组间6环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集油管道东南侧380m</w:t>
            </w:r>
          </w:p>
        </w:tc>
        <w:tc>
          <w:tcPr>
            <w:tcW w:w="1608" w:type="pct"/>
            <w:vMerge w:val="continue"/>
            <w:vAlign w:val="center"/>
          </w:tcPr>
          <w:p w14:paraId="25A80F22">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14:textFill>
                  <w14:solidFill>
                    <w14:schemeClr w14:val="tx1"/>
                  </w14:solidFill>
                </w14:textFill>
              </w:rPr>
            </w:pPr>
          </w:p>
        </w:tc>
      </w:tr>
      <w:tr w14:paraId="0460B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9" w:hRule="atLeast"/>
        </w:trPr>
        <w:tc>
          <w:tcPr>
            <w:tcW w:w="257" w:type="pct"/>
            <w:vAlign w:val="center"/>
          </w:tcPr>
          <w:p w14:paraId="6B7A4EF4">
            <w:pPr>
              <w:pStyle w:val="39"/>
              <w:keepNext w:val="0"/>
              <w:keepLines w:val="0"/>
              <w:pageBreakBefore w:val="0"/>
              <w:widowControl w:val="0"/>
              <w:kinsoku/>
              <w:wordWrap/>
              <w:topLinePunct w:val="0"/>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bookmarkStart w:id="123" w:name="_Toc21378"/>
            <w:r>
              <w:rPr>
                <w:rFonts w:hint="eastAsia" w:ascii="Times New Roman" w:hAnsi="Times New Roman" w:cs="Times New Roman"/>
                <w:color w:val="000000" w:themeColor="text1"/>
                <w:highlight w:val="none"/>
                <w:lang w:val="en-US" w:eastAsia="zh-CN"/>
                <w14:textFill>
                  <w14:solidFill>
                    <w14:schemeClr w14:val="tx1"/>
                  </w14:solidFill>
                </w14:textFill>
              </w:rPr>
              <w:t>4</w:t>
            </w:r>
          </w:p>
        </w:tc>
        <w:tc>
          <w:tcPr>
            <w:tcW w:w="708" w:type="pct"/>
            <w:shd w:val="clear" w:color="auto" w:fill="auto"/>
            <w:vAlign w:val="center"/>
          </w:tcPr>
          <w:p w14:paraId="28D7583A">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新建跟踪监测井</w:t>
            </w:r>
          </w:p>
        </w:tc>
        <w:tc>
          <w:tcPr>
            <w:tcW w:w="533" w:type="pct"/>
            <w:tcBorders>
              <w:right w:val="single" w:color="auto" w:sz="4" w:space="0"/>
            </w:tcBorders>
            <w:shd w:val="clear" w:color="auto" w:fill="auto"/>
            <w:vAlign w:val="center"/>
          </w:tcPr>
          <w:p w14:paraId="545E93F6">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eastAsia="zh-CN"/>
                <w14:textFill>
                  <w14:solidFill>
                    <w14:schemeClr w14:val="tx1"/>
                  </w14:solidFill>
                </w14:textFill>
              </w:rPr>
              <w:t>跟踪监测井</w:t>
            </w:r>
          </w:p>
        </w:tc>
        <w:tc>
          <w:tcPr>
            <w:tcW w:w="808" w:type="pct"/>
            <w:tcBorders>
              <w:left w:val="single" w:color="auto" w:sz="4" w:space="0"/>
            </w:tcBorders>
            <w:vAlign w:val="center"/>
          </w:tcPr>
          <w:p w14:paraId="42A62CD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125.273344°，46.178612°</w:t>
            </w:r>
          </w:p>
        </w:tc>
        <w:tc>
          <w:tcPr>
            <w:tcW w:w="1083" w:type="pct"/>
            <w:vAlign w:val="center"/>
          </w:tcPr>
          <w:p w14:paraId="427A215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升1-2集油阀组间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集油管道西侧50m</w:t>
            </w:r>
          </w:p>
        </w:tc>
        <w:tc>
          <w:tcPr>
            <w:tcW w:w="1608" w:type="pct"/>
            <w:vMerge w:val="continue"/>
            <w:vAlign w:val="center"/>
          </w:tcPr>
          <w:p w14:paraId="342B6200">
            <w:pPr>
              <w:pStyle w:val="39"/>
              <w:keepNext w:val="0"/>
              <w:keepLines w:val="0"/>
              <w:pageBreakBefore w:val="0"/>
              <w:widowControl w:val="0"/>
              <w:kinsoku/>
              <w:wordWrap/>
              <w:topLinePunct w:val="0"/>
              <w:bidi w:val="0"/>
              <w:rPr>
                <w:rFonts w:hint="default" w:ascii="Times New Roman" w:hAnsi="Times New Roman" w:eastAsia="宋体" w:cs="Times New Roman"/>
                <w:color w:val="000000" w:themeColor="text1"/>
                <w:highlight w:val="none"/>
                <w14:textFill>
                  <w14:solidFill>
                    <w14:schemeClr w14:val="tx1"/>
                  </w14:solidFill>
                </w14:textFill>
              </w:rPr>
            </w:pPr>
          </w:p>
        </w:tc>
      </w:tr>
    </w:tbl>
    <w:p w14:paraId="65CC77F3">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6.</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噪声</w:t>
      </w:r>
      <w:r>
        <w:rPr>
          <w:rFonts w:hint="default" w:ascii="Times New Roman" w:hAnsi="Times New Roman" w:eastAsia="宋体" w:cs="Times New Roman"/>
          <w:b/>
          <w:color w:val="000000" w:themeColor="text1"/>
          <w:sz w:val="28"/>
          <w:szCs w:val="28"/>
          <w:highlight w:val="none"/>
          <w14:textFill>
            <w14:solidFill>
              <w14:schemeClr w14:val="tx1"/>
            </w14:solidFill>
          </w14:textFill>
        </w:rPr>
        <w:t>污染</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控制</w:t>
      </w:r>
      <w:r>
        <w:rPr>
          <w:rFonts w:hint="default" w:ascii="Times New Roman" w:hAnsi="Times New Roman" w:eastAsia="宋体" w:cs="Times New Roman"/>
          <w:b/>
          <w:color w:val="000000" w:themeColor="text1"/>
          <w:sz w:val="28"/>
          <w:szCs w:val="28"/>
          <w:highlight w:val="none"/>
          <w14:textFill>
            <w14:solidFill>
              <w14:schemeClr w14:val="tx1"/>
            </w14:solidFill>
          </w14:textFill>
        </w:rPr>
        <w:t>措施</w:t>
      </w:r>
      <w:bookmarkEnd w:id="123"/>
    </w:p>
    <w:p w14:paraId="6D82ED4C">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.1施工期</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噪声</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污染</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控制</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措施</w:t>
      </w:r>
    </w:p>
    <w:p w14:paraId="0FD384D4">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施工期产生的噪声主要</w:t>
      </w:r>
      <w:r>
        <w:rPr>
          <w:rFonts w:hint="eastAsia" w:cs="Times New Roman"/>
          <w:color w:val="000000" w:themeColor="text1"/>
          <w:highlight w:val="none"/>
          <w:lang w:eastAsia="zh-CN"/>
          <w14:textFill>
            <w14:solidFill>
              <w14:schemeClr w14:val="tx1"/>
            </w14:solidFill>
          </w14:textFill>
        </w:rPr>
        <w:t>为</w:t>
      </w:r>
      <w:r>
        <w:rPr>
          <w:rFonts w:hint="default" w:ascii="Times New Roman" w:hAnsi="Times New Roman" w:cs="Times New Roman"/>
          <w:color w:val="000000" w:themeColor="text1"/>
          <w:highlight w:val="none"/>
          <w14:textFill>
            <w14:solidFill>
              <w14:schemeClr w14:val="tx1"/>
            </w14:solidFill>
          </w14:textFill>
        </w:rPr>
        <w:t>施工机械和车辆运行噪声。</w:t>
      </w:r>
    </w:p>
    <w:p w14:paraId="0BC31C6B">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（1）合理安排施工时间，禁止夜间施工。尽量避免大量高噪声设备同时施工；</w:t>
      </w:r>
    </w:p>
    <w:p w14:paraId="6CE2A3BF">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（2）合理布置施工现场。尽量将高噪声机械布置远离环境敏感点一侧，同时，避免在同一地点安排较多的动力机械；</w:t>
      </w:r>
    </w:p>
    <w:p w14:paraId="1B8BC67F">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（3）降低设备噪声。选用低噪声设备；注意对设备的维护和保养，合理操作，保证施工机械保持在最佳状态，降低噪声源及振动源强度；</w:t>
      </w:r>
    </w:p>
    <w:p w14:paraId="06ECC78B">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拉运噪声</w:t>
      </w:r>
    </w:p>
    <w:p w14:paraId="395B81BE">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施工期管道试压废水等拉运过程中会产生一定的运输噪声，运输过程中车辆噪声会对沿线村屯产生一定影响，根据实际情况，本项目拟采取以下措施：</w:t>
      </w:r>
    </w:p>
    <w:p w14:paraId="4A7F213B">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①为减少运输带来的影响，运输时间为8:00-11:30和13:30-18:00，禁止夜间运输，这样既避开了人流、车流高峰期，也避免了午休、夜间运输对沿途居民生活环境的影响；</w:t>
      </w:r>
    </w:p>
    <w:p w14:paraId="3D5155B5">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②规范行车路线，在拉运路线确认后通知当地村民，告知村民具体拉运频次及拉运时间；</w:t>
      </w:r>
    </w:p>
    <w:p w14:paraId="1B5B84E8">
      <w:pPr>
        <w:keepNext w:val="0"/>
        <w:keepLines w:val="0"/>
        <w:pageBreakBefore w:val="0"/>
        <w:widowControl w:val="0"/>
        <w:kinsoku/>
        <w:wordWrap/>
        <w:overflowPunct/>
        <w:topLinePunct w:val="0"/>
        <w:autoSpaceDE/>
        <w:autoSpaceDN/>
        <w:bidi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③为防止噪声污染，经过附近村屯时，应限速行驶，并禁止鸣笛；</w:t>
      </w:r>
    </w:p>
    <w:p w14:paraId="1F45CC35">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④按期保养车辆，使保持车辆良好工况，尽可能将运输噪声控制到最低程度。</w:t>
      </w:r>
    </w:p>
    <w:p w14:paraId="6513389E">
      <w:pPr>
        <w:pStyle w:val="36"/>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距离敏感目标（</w:t>
      </w:r>
      <w:r>
        <w:rPr>
          <w:rFonts w:hint="eastAsia" w:eastAsia="宋体" w:cs="Times New Roman"/>
          <w:color w:val="000000" w:themeColor="text1"/>
          <w:sz w:val="24"/>
          <w:szCs w:val="24"/>
          <w:highlight w:val="none"/>
          <w:lang w:val="en-US" w:eastAsia="zh-CN"/>
          <w14:textFill>
            <w14:solidFill>
              <w14:schemeClr w14:val="tx1"/>
            </w14:solidFill>
          </w14:textFill>
        </w:rPr>
        <w:t>盛广和屯、宋芳屯居住区、散户1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）100m范围内管段施工时，</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避免在同一地点安排较多的动力机械，同时在朝向村屯的一侧设置移动声屏障，声屏障隔声量在20-30dB（A），最近敏感点</w:t>
      </w:r>
      <w:r>
        <w:rPr>
          <w:rFonts w:hint="eastAsia" w:eastAsia="宋体" w:cs="Times New Roman"/>
          <w:color w:val="000000" w:themeColor="text1"/>
          <w:sz w:val="24"/>
          <w:szCs w:val="24"/>
          <w:highlight w:val="none"/>
          <w:lang w:val="en-US" w:eastAsia="zh-CN"/>
          <w14:textFill>
            <w14:solidFill>
              <w14:schemeClr w14:val="tx1"/>
            </w14:solidFill>
          </w14:textFill>
        </w:rPr>
        <w:t>盛广和屯</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处经声屏障隔声后噪声贡献值为39.78dB（A），叠加背景值（昼间</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53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dB（A））后，</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盛广和屯</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处昼间噪声预测值为</w:t>
      </w:r>
      <w:r>
        <w:rPr>
          <w:rFonts w:hint="eastAsia" w:eastAsia="宋体" w:cs="Times New Roman"/>
          <w:color w:val="000000" w:themeColor="text1"/>
          <w:kern w:val="2"/>
          <w:sz w:val="24"/>
          <w:szCs w:val="24"/>
          <w:highlight w:val="none"/>
          <w:lang w:val="en-US" w:eastAsia="zh-CN" w:bidi="ar-SA"/>
          <w14:textFill>
            <w14:solidFill>
              <w14:schemeClr w14:val="tx1"/>
            </w14:solidFill>
          </w14:textFill>
        </w:rPr>
        <w:t>53.2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dB（A），满足《声环境质量标准》（GB3096-2008）1类标准要求。</w:t>
      </w:r>
    </w:p>
    <w:p w14:paraId="63BB75D9">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2运营期</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噪声</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污染</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控制</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措施</w:t>
      </w:r>
    </w:p>
    <w:p w14:paraId="0E577F68">
      <w:pPr>
        <w:pStyle w:val="36"/>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本项目运营期</w:t>
      </w:r>
      <w:r>
        <w:rPr>
          <w:rFonts w:hint="eastAsia" w:cs="Times New Roman"/>
          <w:color w:val="000000" w:themeColor="text1"/>
          <w:highlight w:val="none"/>
          <w:lang w:val="en-US" w:eastAsia="zh-CN"/>
          <w14:textFill>
            <w14:solidFill>
              <w14:schemeClr w14:val="tx1"/>
            </w14:solidFill>
          </w14:textFill>
        </w:rPr>
        <w:t>管线运行</w:t>
      </w:r>
      <w:r>
        <w:rPr>
          <w:rFonts w:hint="default" w:ascii="Times New Roman" w:hAnsi="Times New Roman" w:cs="Times New Roman"/>
          <w:color w:val="000000" w:themeColor="text1"/>
          <w:highlight w:val="none"/>
          <w:lang w:val="en-US" w:eastAsia="zh-CN"/>
          <w14:textFill>
            <w14:solidFill>
              <w14:schemeClr w14:val="tx1"/>
            </w14:solidFill>
          </w14:textFill>
        </w:rPr>
        <w:t>无噪声产生，不采取噪声污染控制措施。</w:t>
      </w:r>
    </w:p>
    <w:p w14:paraId="5788243F">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3退役期</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噪声</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污染</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控制</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措施</w:t>
      </w:r>
    </w:p>
    <w:p w14:paraId="091D877B">
      <w:pPr>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本项目退役期为新建管道退役，采取清管后两端封堵直埋的方式，不进行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开挖，仅清管的过程中会产生一定的噪声。退役期施工时应加强施工管理工作，合理安排施工进度。</w:t>
      </w:r>
    </w:p>
    <w:p w14:paraId="46BD2538">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14:textFill>
            <w14:solidFill>
              <w14:schemeClr w14:val="tx1"/>
            </w14:solidFill>
          </w14:textFill>
        </w:rPr>
      </w:pPr>
      <w:bookmarkStart w:id="124" w:name="_Toc24704"/>
      <w:r>
        <w:rPr>
          <w:rFonts w:hint="default" w:ascii="Times New Roman" w:hAnsi="Times New Roman" w:eastAsia="宋体" w:cs="Times New Roman"/>
          <w:b/>
          <w:color w:val="000000" w:themeColor="text1"/>
          <w:sz w:val="28"/>
          <w:szCs w:val="28"/>
          <w:highlight w:val="none"/>
          <w14:textFill>
            <w14:solidFill>
              <w14:schemeClr w14:val="tx1"/>
            </w14:solidFill>
          </w14:textFill>
        </w:rPr>
        <w:t>6.</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5固体废物污染防治</w:t>
      </w:r>
      <w:r>
        <w:rPr>
          <w:rFonts w:hint="default" w:ascii="Times New Roman" w:hAnsi="Times New Roman" w:eastAsia="宋体" w:cs="Times New Roman"/>
          <w:b/>
          <w:color w:val="000000" w:themeColor="text1"/>
          <w:sz w:val="28"/>
          <w:szCs w:val="28"/>
          <w:highlight w:val="none"/>
          <w14:textFill>
            <w14:solidFill>
              <w14:schemeClr w14:val="tx1"/>
            </w14:solidFill>
          </w14:textFill>
        </w:rPr>
        <w:t>措施</w:t>
      </w:r>
      <w:bookmarkEnd w:id="124"/>
    </w:p>
    <w:p w14:paraId="0DA124E4">
      <w:pPr>
        <w:keepNext w:val="0"/>
        <w:keepLines w:val="0"/>
        <w:pageBreakBefore w:val="0"/>
        <w:widowControl w:val="0"/>
        <w:kinsoku/>
        <w:wordWrap/>
        <w:overflowPunct/>
        <w:topLinePunct w:val="0"/>
        <w:autoSpaceDE/>
        <w:autoSpaceDN/>
        <w:bidi w:val="0"/>
        <w:spacing w:after="0" w:line="360" w:lineRule="auto"/>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施工期间固体废物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主要为管道施工废料、</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穿越工程废弃泥浆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施工人员生活垃圾。</w:t>
      </w:r>
    </w:p>
    <w:p w14:paraId="7E9B0AF4">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themeColor="text1"/>
          <w:kern w:val="2"/>
          <w:highlight w:val="none"/>
          <w:lang w:eastAsia="zh-CN"/>
          <w14:textFill>
            <w14:solidFill>
              <w14:schemeClr w14:val="tx1"/>
            </w14:solidFill>
          </w14:textFill>
        </w:rPr>
      </w:pPr>
      <w:r>
        <w:rPr>
          <w:rFonts w:hint="default" w:ascii="Times New Roman" w:hAnsi="Times New Roman" w:cs="Times New Roman"/>
          <w:color w:val="000000" w:themeColor="text1"/>
          <w:kern w:val="2"/>
          <w:highlight w:val="none"/>
          <w:lang w:eastAsia="zh-CN"/>
          <w14:textFill>
            <w14:solidFill>
              <w14:schemeClr w14:val="tx1"/>
            </w14:solidFill>
          </w14:textFill>
        </w:rPr>
        <w:t>（</w:t>
      </w:r>
      <w:r>
        <w:rPr>
          <w:rFonts w:hint="default" w:ascii="Times New Roman" w:hAnsi="Times New Roman" w:cs="Times New Roman"/>
          <w:color w:val="000000" w:themeColor="text1"/>
          <w:kern w:val="2"/>
          <w:highlight w:val="none"/>
          <w:lang w:val="en-US" w:eastAsia="zh-CN"/>
          <w14:textFill>
            <w14:solidFill>
              <w14:schemeClr w14:val="tx1"/>
            </w14:solidFill>
          </w14:textFill>
        </w:rPr>
        <w:t>1</w:t>
      </w:r>
      <w:r>
        <w:rPr>
          <w:rFonts w:hint="default" w:ascii="Times New Roman" w:hAnsi="Times New Roman" w:cs="Times New Roman"/>
          <w:color w:val="000000" w:themeColor="text1"/>
          <w:kern w:val="2"/>
          <w:highlight w:val="none"/>
          <w:lang w:eastAsia="zh-CN"/>
          <w14:textFill>
            <w14:solidFill>
              <w14:schemeClr w14:val="tx1"/>
            </w14:solidFill>
          </w14:textFill>
        </w:rPr>
        <w:t>）管道施工废料</w:t>
      </w:r>
    </w:p>
    <w:p w14:paraId="4A210206">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themeColor="text1"/>
          <w:kern w:val="2"/>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管道施工废料为</w:t>
      </w:r>
      <w:r>
        <w:rPr>
          <w:rFonts w:hint="default" w:ascii="Times New Roman" w:hAnsi="Times New Roman" w:cs="Times New Roman"/>
          <w:color w:val="000000" w:themeColor="text1"/>
          <w:highlight w:val="none"/>
          <w14:textFill>
            <w14:solidFill>
              <w14:schemeClr w14:val="tx1"/>
            </w14:solidFill>
          </w14:textFill>
        </w:rPr>
        <w:t>焊接施工中产生废焊条和管道防腐施工过程中产生的废防腐材料</w:t>
      </w:r>
      <w:r>
        <w:rPr>
          <w:rFonts w:hint="default" w:ascii="Times New Roman" w:hAnsi="Times New Roman" w:cs="Times New Roman"/>
          <w:color w:val="000000" w:themeColor="text1"/>
          <w:highlight w:val="none"/>
          <w:lang w:eastAsia="zh-CN"/>
          <w14:textFill>
            <w14:solidFill>
              <w14:schemeClr w14:val="tx1"/>
            </w14:solidFill>
          </w14:textFill>
        </w:rPr>
        <w:t>，属于一般固废，</w:t>
      </w:r>
      <w:r>
        <w:rPr>
          <w:rFonts w:hint="default" w:ascii="Times New Roman" w:hAnsi="Times New Roman" w:cs="Times New Roman"/>
          <w:color w:val="000000" w:themeColor="text1"/>
          <w:kern w:val="2"/>
          <w:highlight w:val="none"/>
          <w:lang w:eastAsia="zh-CN"/>
          <w14:textFill>
            <w14:solidFill>
              <w14:schemeClr w14:val="tx1"/>
            </w14:solidFill>
          </w14:textFill>
        </w:rPr>
        <w:t>执行《一般工业固体废物贮存和填埋污染控制标准》（GB18599-2020）要求，拉运至</w:t>
      </w:r>
      <w:r>
        <w:rPr>
          <w:rFonts w:hint="eastAsia" w:cs="Times New Roman"/>
          <w:color w:val="000000" w:themeColor="text1"/>
          <w:kern w:val="2"/>
          <w:highlight w:val="none"/>
          <w:lang w:eastAsia="zh-CN"/>
          <w14:textFill>
            <w14:solidFill>
              <w14:schemeClr w14:val="tx1"/>
            </w14:solidFill>
          </w14:textFill>
        </w:rPr>
        <w:t>第八采油厂</w:t>
      </w:r>
      <w:r>
        <w:rPr>
          <w:rFonts w:hint="default" w:ascii="Times New Roman" w:hAnsi="Times New Roman" w:cs="Times New Roman"/>
          <w:color w:val="000000" w:themeColor="text1"/>
          <w:kern w:val="2"/>
          <w:highlight w:val="none"/>
          <w:lang w:eastAsia="zh-CN"/>
          <w14:textFill>
            <w14:solidFill>
              <w14:schemeClr w14:val="tx1"/>
            </w14:solidFill>
          </w14:textFill>
        </w:rPr>
        <w:t>工业固废填埋场处理。</w:t>
      </w:r>
    </w:p>
    <w:p w14:paraId="549D5604">
      <w:pPr>
        <w:widowControl w:val="0"/>
        <w:adjustRightInd/>
        <w:snapToGrid/>
        <w:spacing w:after="0" w:line="360" w:lineRule="auto"/>
        <w:ind w:firstLine="480" w:firstLineChars="200"/>
        <w:jc w:val="both"/>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第八采油厂工业固废填埋场位于大庆市肇州县新福乡双龙山北侧1.8km，乐业村东南1.05km处。占地1.91hm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，填埋场总容量为11624m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。第八采油厂工业固废填埋场该填埋场现阶段运行稳定，目前实际容纳约8800m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，剩余能力为2824m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本项目施工期管道施工废料产生量</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t，填埋场剩余容量能够容纳本项目产生的固体废物</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161913EB">
      <w:pPr>
        <w:pStyle w:val="34"/>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穿越工程废弃泥浆</w:t>
      </w:r>
    </w:p>
    <w:p w14:paraId="3EA2D950">
      <w:pPr>
        <w:keepNext w:val="0"/>
        <w:keepLines w:val="0"/>
        <w:pageBreakBefore w:val="0"/>
        <w:widowControl w:val="0"/>
        <w:numPr>
          <w:ilvl w:val="0"/>
          <w:numId w:val="0"/>
        </w:numPr>
        <w:kinsoku/>
        <w:wordWrap/>
        <w:topLinePunct w:val="0"/>
        <w:bidi w:val="0"/>
        <w:adjustRightInd/>
        <w:snapToGrid/>
        <w:spacing w:after="0" w:line="360" w:lineRule="auto"/>
        <w:ind w:firstLine="480" w:firstLineChars="200"/>
        <w:jc w:val="both"/>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本项目施工期管道定向钻施工会产生穿越工程废弃泥浆，对照《固体废物分类与代码目录》（生态环境部2024年第4号），废物代码为900-001-S71工程泥浆，经防渗泥浆池沉降后，上清液回收洒水降尘、固体部分用于井排路护坡。</w:t>
      </w:r>
    </w:p>
    <w:p w14:paraId="5E1F4633">
      <w:pPr>
        <w:keepNext w:val="0"/>
        <w:keepLines w:val="0"/>
        <w:pageBreakBefore w:val="0"/>
        <w:widowControl w:val="0"/>
        <w:numPr>
          <w:ilvl w:val="0"/>
          <w:numId w:val="0"/>
        </w:numPr>
        <w:kinsoku/>
        <w:wordWrap/>
        <w:topLinePunct w:val="0"/>
        <w:bidi w:val="0"/>
        <w:adjustRightInd/>
        <w:snapToGrid/>
        <w:spacing w:after="0" w:line="360" w:lineRule="auto"/>
        <w:ind w:leftChars="200"/>
        <w:jc w:val="both"/>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 xml:space="preserve">（3）废旧设备 </w:t>
      </w:r>
    </w:p>
    <w:p w14:paraId="1553B10F">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施工期升一联转油放水站更换阴极保护装置1套。拆除的废旧设备送至第八采油厂资产库回收。</w:t>
      </w:r>
    </w:p>
    <w:p w14:paraId="7FD187B3">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textAlignment w:val="auto"/>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2"/>
          <w:highlight w:val="none"/>
          <w:lang w:val="en-US" w:eastAsia="zh-CN"/>
          <w14:textFill>
            <w14:solidFill>
              <w14:schemeClr w14:val="tx1"/>
            </w14:solidFill>
          </w14:textFill>
        </w:rPr>
        <w:t>生活垃圾</w:t>
      </w:r>
    </w:p>
    <w:p w14:paraId="67B39070">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themeColor="text1"/>
          <w:kern w:val="2"/>
          <w:highlight w:val="none"/>
          <w:lang w:val="en-US" w:eastAsia="zh-CN"/>
          <w14:textFill>
            <w14:solidFill>
              <w14:schemeClr w14:val="tx1"/>
            </w14:solidFill>
          </w14:textFill>
        </w:rPr>
      </w:pPr>
      <w:r>
        <w:rPr>
          <w:rFonts w:hint="default" w:ascii="Times New Roman" w:hAnsi="Times New Roman" w:cs="Times New Roman"/>
          <w:color w:val="000000" w:themeColor="text1"/>
          <w:kern w:val="2"/>
          <w:highlight w:val="none"/>
          <w:lang w:eastAsia="zh-CN"/>
          <w14:textFill>
            <w14:solidFill>
              <w14:schemeClr w14:val="tx1"/>
            </w14:solidFill>
          </w14:textFill>
        </w:rPr>
        <w:t>施工人员生活垃圾分类收集后，全部运至</w:t>
      </w:r>
      <w:r>
        <w:rPr>
          <w:rFonts w:hint="default" w:ascii="Times New Roman" w:hAnsi="Times New Roman" w:cs="Times New Roman"/>
          <w:color w:val="000000" w:themeColor="text1"/>
          <w:sz w:val="24"/>
          <w:szCs w:val="28"/>
          <w:highlight w:val="none"/>
          <w:lang w:val="en-US" w:eastAsia="zh-CN" w:bidi="ar-SA"/>
          <w14:textFill>
            <w14:solidFill>
              <w14:schemeClr w14:val="tx1"/>
            </w14:solidFill>
          </w14:textFill>
        </w:rPr>
        <w:t>大庆城控电力有限公司焚烧处理</w:t>
      </w:r>
      <w:r>
        <w:rPr>
          <w:rFonts w:hint="default" w:ascii="Times New Roman" w:hAnsi="Times New Roman" w:cs="Times New Roman"/>
          <w:color w:val="000000" w:themeColor="text1"/>
          <w:kern w:val="2"/>
          <w:highlight w:val="none"/>
          <w:lang w:val="en-US" w:eastAsia="zh-CN"/>
          <w14:textFill>
            <w14:solidFill>
              <w14:schemeClr w14:val="tx1"/>
            </w14:solidFill>
          </w14:textFill>
        </w:rPr>
        <w:t>。</w:t>
      </w:r>
    </w:p>
    <w:p w14:paraId="1D0C599E">
      <w:pPr>
        <w:pStyle w:val="3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themeColor="text1"/>
          <w:kern w:val="2"/>
          <w:highlight w:val="none"/>
          <w:lang w:eastAsia="zh-CN"/>
          <w14:textFill>
            <w14:solidFill>
              <w14:schemeClr w14:val="tx1"/>
            </w14:solidFill>
          </w14:textFill>
        </w:rPr>
      </w:pPr>
      <w:r>
        <w:rPr>
          <w:rFonts w:hint="default" w:ascii="Times New Roman" w:hAnsi="Times New Roman" w:cs="Times New Roman"/>
          <w:color w:val="000000" w:themeColor="text1"/>
          <w:kern w:val="2"/>
          <w:highlight w:val="none"/>
          <w:lang w:val="en-US" w:eastAsia="zh-CN"/>
          <w14:textFill>
            <w14:solidFill>
              <w14:schemeClr w14:val="tx1"/>
            </w14:solidFill>
          </w14:textFill>
        </w:rPr>
        <w:t>通过采取上述措施，本项目施工期产生的固体废物均能按照“资源化、减量化、无害化”原则，合理安全处置。</w:t>
      </w:r>
    </w:p>
    <w:p w14:paraId="79AC867A">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25" w:name="_Toc3059"/>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6.6生态环境保护措施</w:t>
      </w:r>
      <w:bookmarkEnd w:id="125"/>
    </w:p>
    <w:p w14:paraId="3ABF0A9E">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6.6.1施工期生态环境保护措施</w:t>
      </w:r>
    </w:p>
    <w:p w14:paraId="52EB2BD3">
      <w:pPr>
        <w:pStyle w:val="3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本工程施工期占地主要为管道施工发生的临时占地，占地类型为</w:t>
      </w:r>
      <w:r>
        <w:rPr>
          <w:rFonts w:hint="eastAsia" w:cs="Times New Roman"/>
          <w:color w:val="000000" w:themeColor="text1"/>
          <w:sz w:val="24"/>
          <w:szCs w:val="24"/>
          <w:highlight w:val="none"/>
          <w:lang w:eastAsia="zh-CN"/>
          <w14:textFill>
            <w14:solidFill>
              <w14:schemeClr w14:val="tx1"/>
            </w14:solidFill>
          </w14:textFill>
        </w:rPr>
        <w:t>耕地（基本农田）</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草地（非基本草原）</w:t>
      </w:r>
      <w:r>
        <w:rPr>
          <w:rFonts w:hint="eastAsia" w:cs="Times New Roman"/>
          <w:color w:val="000000" w:themeColor="text1"/>
          <w:sz w:val="24"/>
          <w:szCs w:val="24"/>
          <w:highlight w:val="none"/>
          <w:lang w:val="en-US" w:eastAsia="zh-CN"/>
          <w14:textFill>
            <w14:solidFill>
              <w14:schemeClr w14:val="tx1"/>
            </w14:solidFill>
          </w14:textFill>
        </w:rPr>
        <w:t>、林地</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p>
    <w:p w14:paraId="4C02ABC8">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过程中，车辆碾压、机械推挖、人员践踏等对地表进行的平整将会对地表造成很大破坏，这种影响是短期可逆的，施工结束后及时对施工迹地地表植被进行恢复。为降低项目对生态环境的影响，施工期采取如下措施：</w:t>
      </w:r>
    </w:p>
    <w:p w14:paraId="0E9E802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）一般性生态保护措施</w:t>
      </w:r>
    </w:p>
    <w:p w14:paraId="5D5AE8C6">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施工过程中尽量保护土地资源，不打乱土层，先挖表土层（30cm左右）单独堆放，然后挖心、底土层另外堆放，复原时先填心、底土，后平覆表土，以便尽快恢复土地原貌</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71669970">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缩短施工临时占地时间，</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严格控制施工作业带宽度，尽量减少施工作业带占地面积，</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根据管径的大小做到尽量窄控；施工完毕后平整作业现场，及时恢复被破坏的地表形态</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和植被</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包括施工前表土剥离后的土地恢复及耕地复垦等。</w:t>
      </w:r>
    </w:p>
    <w:p w14:paraId="34D7E382">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④表土临时堆放场应考虑防雨布等临时遮盖措施，保护开挖形成的临时堆土及底部部分裸露地，防止遇降雨造成水土流失；临时堆场表面临时覆盖设施，以减少降雨侵蚀力。</w:t>
      </w:r>
    </w:p>
    <w:p w14:paraId="10138305">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施工时要特别注意保护原始地表与天然植被，划定施工活动范围，严格控制和管理车辆及重型机械的运行范围，所有车辆采用“一”字型作业法</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，充分利用现有道路</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，避免并行开辟新路，</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减少对耕地的占用，减少农田植被的破坏。</w:t>
      </w:r>
    </w:p>
    <w:p w14:paraId="61999931">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⑥</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严格控制施工期的污染物排放，加强科学管理，</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易起尘的土石方工程</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施工作业</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应</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避免在</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四级及以上</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大风天施工</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对废水、固体废物进行严格管理，统一处理或回收，不得随意排放或散置，防止污染土壤</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225BA67C">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⑦在施工前按照相关规定组织编制施工占地范围内的表土剥离方案。临时用地使用前，对施工人员进行培训，</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加强管理，规范施工人员行为，严禁随意践踏、碾压施工区范围之外的植被；严禁猎杀野生动物</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5279B5F3">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⑧妥善处理施工期废弃管道中残存的少量原油，推送至相应场站处理。</w:t>
      </w:r>
    </w:p>
    <w:p w14:paraId="73074872">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⑨加强对管道沿线居民的环境保护教育，提高其环保意识，禁止挖掘废弃管道，以避免对地表产生破坏和干扰，加速水土流失。</w:t>
      </w:r>
    </w:p>
    <w:p w14:paraId="7189E9C0">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⑩</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加强施工现场管理及设备养护，防止跑冒滴漏，如发生跑冒滴漏，及时处理</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258DC5BF">
      <w:pPr>
        <w:pStyle w:val="9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⑪施工单位对施工人员开展增强野生动物保护意识的宣传工作，杜绝施工人员猎捕施工作业区附近的</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鼠</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类、鸟类等野生动物的现象</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为减缓施工队伍对野生动植物的影响，要标明施工活动区，禁止到非施工区域活动，尤其要禁止在非施工区点火、狩猎和垂钓等</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减少施工活动对野生动物特别是鸟类的惊扰，</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物料</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运输时间要进行合理安排</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14:paraId="7347E95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⑫</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施工期生态修复措施分布图见附图6-3。</w:t>
      </w:r>
    </w:p>
    <w:p w14:paraId="618ED9B1">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）针对性保护措施</w:t>
      </w:r>
    </w:p>
    <w:p w14:paraId="07B0D03C">
      <w:pPr>
        <w:keepNext w:val="0"/>
        <w:keepLines w:val="0"/>
        <w:pageBreakBefore w:val="0"/>
        <w:widowControl w:val="0"/>
        <w:kinsoku/>
        <w:wordWrap/>
        <w:overflowPunct/>
        <w:topLinePunct w:val="0"/>
        <w:bidi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根据工程分析可知，本项目总占地面积为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24.78hm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临时占地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，其中耕地（基本农田）12.12hm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草地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（非基本草原）12.56hm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0.1hm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73C25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本工程实施前编制表土剥离利用方案，统筹安排剥离、储存和再利用。表土剥离和利用严格执行《建设占用耕地耕作层土壤剥离利用技术规范》（DB23/T2913-2021）。</w:t>
      </w:r>
    </w:p>
    <w:p w14:paraId="004A4F34">
      <w:pPr>
        <w:keepNext w:val="0"/>
        <w:keepLines w:val="0"/>
        <w:pageBreakBefore w:val="0"/>
        <w:kinsoku/>
        <w:wordWrap/>
        <w:overflowPunct/>
        <w:topLinePunct w:val="0"/>
        <w:bidi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埋设管道时，应严格控制施工作业带宽度，尽量减少施工作业带占地面积，根据管径的大小做到尽量窄控，施工采取机械、人工分层开挖方式，管线施工作业带除去管线一侧设置的置土带外，管沟及设备区在施工前剥离表土，剥离的表土放在置土带外侧，管沟挖方土放置在置土带内侧，置土带采取先设置编织袋压护，再采用单行十字形压护，底土层另外堆放，管道施工结束后，采用分层回填压实，按生、熟土顺序填放，保护耕作层，复原时先填心、底土，后平覆表土，回填后管沟上方留有自然沉降余量，管沟回填多余的土严禁大量集中弃置，应均匀分散在管道中心两侧，并使管沟与周围地表形成平滑过渡，不得形成汇水环境，以便尽快恢复植被。</w:t>
      </w:r>
    </w:p>
    <w:p w14:paraId="1683D275">
      <w:pPr>
        <w:keepNext w:val="0"/>
        <w:keepLines w:val="0"/>
        <w:pageBreakBefore w:val="0"/>
        <w:widowControl w:val="0"/>
        <w:kinsoku/>
        <w:wordWrap/>
        <w:overflowPunct/>
        <w:topLinePunct w:val="0"/>
        <w:bidi w:val="0"/>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防渗泥浆池</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施工结束后</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采用分层回填压实，按生、熟土顺序填放，保护耕作层，</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复原时先填心、底土，后平覆表土，</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回填后</w:t>
      </w:r>
      <w:r>
        <w:rPr>
          <w:rFonts w:hint="eastAsia"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地面</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上方留有自然沉降余量，回填多余的土严禁大量集中弃置，应均匀分散在</w:t>
      </w:r>
      <w:r>
        <w:rPr>
          <w:rFonts w:hint="eastAsia"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地面</w:t>
      </w:r>
      <w:r>
        <w:rPr>
          <w:rFonts w:hint="default" w:ascii="Times New Roman" w:hAnsi="Times New Roman" w:eastAsia="宋体" w:cs="Times New Roman"/>
          <w:snapToGrid w:val="0"/>
          <w:color w:val="000000" w:themeColor="text1"/>
          <w:sz w:val="24"/>
          <w:szCs w:val="24"/>
          <w:highlight w:val="none"/>
          <w:vertAlign w:val="baseline"/>
          <w:lang w:val="en-US" w:eastAsia="zh-CN" w:bidi="ar-SA"/>
          <w14:textFill>
            <w14:solidFill>
              <w14:schemeClr w14:val="tx1"/>
            </w14:solidFill>
          </w14:textFill>
        </w:rPr>
        <w:t>，不得形成汇水环境</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，以便尽快恢复植被</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播撒适应当地环境生长的草籽</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进行人工恢复植被。</w:t>
      </w:r>
    </w:p>
    <w:p w14:paraId="0628D3A8">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④恢复过程应由环境监理全程监督，以确保生态恢复效果</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48D45B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生态保护措施见表6.6-1，施工期生态修复措施分布图见附图6-3。</w:t>
      </w:r>
    </w:p>
    <w:p w14:paraId="3F31AC10">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outlineLvl w:val="9"/>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6.6-</w:t>
      </w: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生态保护措施</w:t>
      </w:r>
    </w:p>
    <w:tbl>
      <w:tblPr>
        <w:tblStyle w:val="18"/>
        <w:tblW w:w="91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19"/>
        <w:gridCol w:w="525"/>
        <w:gridCol w:w="542"/>
        <w:gridCol w:w="3619"/>
        <w:gridCol w:w="2512"/>
        <w:gridCol w:w="626"/>
        <w:gridCol w:w="985"/>
      </w:tblGrid>
      <w:tr w14:paraId="7FE8F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19" w:type="dxa"/>
            <w:tcBorders>
              <w:tl2br w:val="nil"/>
              <w:tr2bl w:val="nil"/>
            </w:tcBorders>
            <w:noWrap w:val="0"/>
            <w:vAlign w:val="center"/>
          </w:tcPr>
          <w:p w14:paraId="5163DE68">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序号</w:t>
            </w:r>
          </w:p>
        </w:tc>
        <w:tc>
          <w:tcPr>
            <w:tcW w:w="525" w:type="dxa"/>
            <w:tcBorders>
              <w:tl2br w:val="nil"/>
              <w:tr2bl w:val="nil"/>
            </w:tcBorders>
            <w:noWrap w:val="0"/>
            <w:vAlign w:val="center"/>
          </w:tcPr>
          <w:p w14:paraId="5A56561F">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项目</w:t>
            </w:r>
          </w:p>
        </w:tc>
        <w:tc>
          <w:tcPr>
            <w:tcW w:w="542" w:type="dxa"/>
            <w:tcBorders>
              <w:tl2br w:val="nil"/>
              <w:tr2bl w:val="nil"/>
            </w:tcBorders>
            <w:noWrap w:val="0"/>
            <w:vAlign w:val="center"/>
          </w:tcPr>
          <w:p w14:paraId="4FE48EF7">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占地类型</w:t>
            </w:r>
          </w:p>
        </w:tc>
        <w:tc>
          <w:tcPr>
            <w:tcW w:w="3619" w:type="dxa"/>
            <w:tcBorders>
              <w:tl2br w:val="nil"/>
              <w:tr2bl w:val="nil"/>
            </w:tcBorders>
            <w:noWrap w:val="0"/>
            <w:vAlign w:val="center"/>
          </w:tcPr>
          <w:p w14:paraId="675795E5">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恢复措施</w:t>
            </w:r>
          </w:p>
        </w:tc>
        <w:tc>
          <w:tcPr>
            <w:tcW w:w="2512" w:type="dxa"/>
            <w:tcBorders>
              <w:tl2br w:val="nil"/>
              <w:tr2bl w:val="nil"/>
            </w:tcBorders>
            <w:noWrap w:val="0"/>
            <w:vAlign w:val="center"/>
          </w:tcPr>
          <w:p w14:paraId="6F101D84">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生态恢复投资</w:t>
            </w:r>
          </w:p>
        </w:tc>
        <w:tc>
          <w:tcPr>
            <w:tcW w:w="626" w:type="dxa"/>
            <w:tcBorders>
              <w:tl2br w:val="nil"/>
              <w:tr2bl w:val="nil"/>
            </w:tcBorders>
            <w:noWrap w:val="0"/>
            <w:vAlign w:val="center"/>
          </w:tcPr>
          <w:p w14:paraId="15B63365">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实施时间</w:t>
            </w:r>
          </w:p>
        </w:tc>
        <w:tc>
          <w:tcPr>
            <w:tcW w:w="985" w:type="dxa"/>
            <w:tcBorders>
              <w:tl2br w:val="nil"/>
              <w:tr2bl w:val="nil"/>
            </w:tcBorders>
            <w:noWrap w:val="0"/>
            <w:vAlign w:val="center"/>
          </w:tcPr>
          <w:p w14:paraId="51C98145">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bidi="ar-SA"/>
                <w14:textFill>
                  <w14:solidFill>
                    <w14:schemeClr w14:val="tx1"/>
                  </w14:solidFill>
                </w14:textFill>
              </w:rPr>
              <w:t>实施单位</w:t>
            </w:r>
          </w:p>
        </w:tc>
      </w:tr>
      <w:tr w14:paraId="05FAD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319" w:type="dxa"/>
            <w:vMerge w:val="restart"/>
            <w:tcBorders>
              <w:tl2br w:val="nil"/>
              <w:tr2bl w:val="nil"/>
            </w:tcBorders>
            <w:noWrap w:val="0"/>
            <w:vAlign w:val="center"/>
          </w:tcPr>
          <w:p w14:paraId="0F7AE464">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w:t>
            </w:r>
          </w:p>
        </w:tc>
        <w:tc>
          <w:tcPr>
            <w:tcW w:w="525" w:type="dxa"/>
            <w:vMerge w:val="restart"/>
            <w:tcBorders>
              <w:tl2br w:val="nil"/>
              <w:tr2bl w:val="nil"/>
            </w:tcBorders>
            <w:noWrap w:val="0"/>
            <w:vAlign w:val="center"/>
          </w:tcPr>
          <w:p w14:paraId="6A807694">
            <w:pPr>
              <w:keepNext w:val="0"/>
              <w:keepLines w:val="0"/>
              <w:pageBreakBefore w:val="0"/>
              <w:widowControl w:val="0"/>
              <w:kinsoku/>
              <w:wordWrap/>
              <w:overflowPunct/>
              <w:topLinePunct w:val="0"/>
              <w:autoSpaceDE/>
              <w:autoSpaceDN/>
              <w:bidi w:val="0"/>
              <w:adjustRightInd/>
              <w:snapToGrid w:val="0"/>
              <w:spacing w:after="0" w:line="240" w:lineRule="auto"/>
              <w:ind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临时占地</w:t>
            </w:r>
          </w:p>
        </w:tc>
        <w:tc>
          <w:tcPr>
            <w:tcW w:w="542" w:type="dxa"/>
            <w:tcBorders>
              <w:tl2br w:val="nil"/>
              <w:tr2bl w:val="nil"/>
            </w:tcBorders>
            <w:noWrap w:val="0"/>
            <w:vAlign w:val="center"/>
          </w:tcPr>
          <w:p w14:paraId="3D49DDF2">
            <w:pPr>
              <w:keepNext w:val="0"/>
              <w:keepLines w:val="0"/>
              <w:pageBreakBefore w:val="0"/>
              <w:widowControl w:val="0"/>
              <w:kinsoku/>
              <w:wordWrap/>
              <w:overflowPunct/>
              <w:topLinePunct w:val="0"/>
              <w:bidi w:val="0"/>
              <w:adjustRightInd w:val="0"/>
              <w:snapToGrid w:val="0"/>
              <w:spacing w:before="60" w:after="0" w:line="240" w:lineRule="exact"/>
              <w:ind w:right="0" w:rightChars="0" w:firstLine="0" w:firstLineChars="0"/>
              <w:jc w:val="center"/>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耕地</w:t>
            </w:r>
          </w:p>
        </w:tc>
        <w:tc>
          <w:tcPr>
            <w:tcW w:w="3619" w:type="dxa"/>
            <w:tcBorders>
              <w:tl2br w:val="nil"/>
              <w:tr2bl w:val="nil"/>
            </w:tcBorders>
            <w:noWrap w:val="0"/>
            <w:vAlign w:val="center"/>
          </w:tcPr>
          <w:p w14:paraId="4064F487">
            <w:pPr>
              <w:keepNext w:val="0"/>
              <w:keepLines w:val="0"/>
              <w:pageBreakBefore w:val="0"/>
              <w:widowControl w:val="0"/>
              <w:kinsoku/>
              <w:wordWrap/>
              <w:overflowPunct/>
              <w:topLinePunct w:val="0"/>
              <w:bidi w:val="0"/>
              <w:adjustRightInd w:val="0"/>
              <w:snapToGrid w:val="0"/>
              <w:spacing w:before="60" w:after="0" w:line="240" w:lineRule="exact"/>
              <w:ind w:right="0" w:rightChars="0" w:firstLine="420" w:firstLineChars="200"/>
              <w:jc w:val="both"/>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分层开挖，分层回填，并通过生态植被恢复措施可逐年恢复原有农田质量和产量，耕地复耕</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12.12hm</w:t>
            </w:r>
            <w:r>
              <w:rPr>
                <w:rFonts w:hint="default" w:ascii="Times New Roman" w:hAnsi="Times New Roman" w:eastAsia="宋体" w:cs="Times New Roman"/>
                <w:bCs/>
                <w:color w:val="000000" w:themeColor="text1"/>
                <w:kern w:val="0"/>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2512" w:type="dxa"/>
            <w:tcBorders>
              <w:tl2br w:val="nil"/>
              <w:tr2bl w:val="nil"/>
            </w:tcBorders>
            <w:noWrap w:val="0"/>
            <w:vAlign w:val="center"/>
          </w:tcPr>
          <w:p w14:paraId="4A72EE7A">
            <w:pPr>
              <w:keepNext w:val="0"/>
              <w:keepLines w:val="0"/>
              <w:pageBreakBefore w:val="0"/>
              <w:widowControl w:val="0"/>
              <w:kinsoku/>
              <w:wordWrap/>
              <w:overflowPunct/>
              <w:topLinePunct w:val="0"/>
              <w:autoSpaceDE/>
              <w:autoSpaceDN/>
              <w:bidi w:val="0"/>
              <w:adjustRightInd/>
              <w:snapToGrid w:val="0"/>
              <w:spacing w:before="60" w:after="0" w:line="240" w:lineRule="exact"/>
              <w:ind w:right="0" w:rightChars="0" w:firstLine="420" w:firstLineChars="200"/>
              <w:jc w:val="both"/>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37.6万元（</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大田作物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补偿费用为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1元/m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复垦费用1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元/m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626" w:type="dxa"/>
            <w:vMerge w:val="restart"/>
            <w:tcBorders>
              <w:tl2br w:val="nil"/>
              <w:tr2bl w:val="nil"/>
            </w:tcBorders>
            <w:noWrap w:val="0"/>
            <w:vAlign w:val="center"/>
          </w:tcPr>
          <w:p w14:paraId="3203B9DC">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施工完毕后1年内</w:t>
            </w:r>
          </w:p>
        </w:tc>
        <w:tc>
          <w:tcPr>
            <w:tcW w:w="985" w:type="dxa"/>
            <w:vMerge w:val="restart"/>
            <w:tcBorders>
              <w:tl2br w:val="nil"/>
              <w:tr2bl w:val="nil"/>
            </w:tcBorders>
            <w:noWrap w:val="0"/>
            <w:vAlign w:val="center"/>
          </w:tcPr>
          <w:p w14:paraId="4797FD3D">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大庆油田有限责任公司第八采油厂</w:t>
            </w:r>
          </w:p>
        </w:tc>
      </w:tr>
      <w:tr w14:paraId="2CCF9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319" w:type="dxa"/>
            <w:vMerge w:val="continue"/>
            <w:tcBorders>
              <w:tl2br w:val="nil"/>
              <w:tr2bl w:val="nil"/>
            </w:tcBorders>
            <w:noWrap w:val="0"/>
            <w:vAlign w:val="center"/>
          </w:tcPr>
          <w:p w14:paraId="050EEC85">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525" w:type="dxa"/>
            <w:vMerge w:val="continue"/>
            <w:tcBorders>
              <w:tl2br w:val="nil"/>
              <w:tr2bl w:val="nil"/>
            </w:tcBorders>
            <w:noWrap w:val="0"/>
            <w:vAlign w:val="center"/>
          </w:tcPr>
          <w:p w14:paraId="370BEF07">
            <w:pPr>
              <w:keepNext w:val="0"/>
              <w:keepLines w:val="0"/>
              <w:pageBreakBefore w:val="0"/>
              <w:widowControl w:val="0"/>
              <w:kinsoku/>
              <w:wordWrap/>
              <w:overflowPunct/>
              <w:topLinePunct w:val="0"/>
              <w:autoSpaceDE/>
              <w:autoSpaceDN/>
              <w:bidi w:val="0"/>
              <w:adjustRightInd/>
              <w:snapToGrid w:val="0"/>
              <w:spacing w:after="0" w:line="240" w:lineRule="auto"/>
              <w:ind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542" w:type="dxa"/>
            <w:tcBorders>
              <w:tl2br w:val="nil"/>
              <w:tr2bl w:val="nil"/>
            </w:tcBorders>
            <w:noWrap w:val="0"/>
            <w:vAlign w:val="center"/>
          </w:tcPr>
          <w:p w14:paraId="11115CC5">
            <w:pPr>
              <w:keepNext w:val="0"/>
              <w:keepLines w:val="0"/>
              <w:pageBreakBefore w:val="0"/>
              <w:widowControl w:val="0"/>
              <w:kinsoku/>
              <w:wordWrap/>
              <w:overflowPunct/>
              <w:topLinePunct w:val="0"/>
              <w:bidi w:val="0"/>
              <w:adjustRightInd w:val="0"/>
              <w:snapToGrid w:val="0"/>
              <w:spacing w:before="60" w:after="0" w:line="240" w:lineRule="exact"/>
              <w:ind w:right="0" w:rightChars="0" w:firstLine="0" w:firstLineChars="0"/>
              <w:jc w:val="center"/>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草地</w:t>
            </w:r>
          </w:p>
        </w:tc>
        <w:tc>
          <w:tcPr>
            <w:tcW w:w="3619" w:type="dxa"/>
            <w:tcBorders>
              <w:tl2br w:val="nil"/>
              <w:tr2bl w:val="nil"/>
            </w:tcBorders>
            <w:noWrap w:val="0"/>
            <w:vAlign w:val="center"/>
          </w:tcPr>
          <w:p w14:paraId="16F586DC">
            <w:pPr>
              <w:keepNext w:val="0"/>
              <w:keepLines w:val="0"/>
              <w:pageBreakBefore w:val="0"/>
              <w:widowControl w:val="0"/>
              <w:kinsoku/>
              <w:wordWrap/>
              <w:overflowPunct/>
              <w:topLinePunct w:val="0"/>
              <w:autoSpaceDE/>
              <w:autoSpaceDN/>
              <w:bidi w:val="0"/>
              <w:adjustRightInd w:val="0"/>
              <w:snapToGrid w:val="0"/>
              <w:spacing w:after="0" w:line="240" w:lineRule="auto"/>
              <w:ind w:right="0" w:rightChars="0" w:firstLine="420" w:firstLineChars="200"/>
              <w:jc w:val="both"/>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分层开挖，分层回填，</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临时</w:t>
            </w: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占地平整，恢复草地</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12.56hm</w:t>
            </w:r>
            <w:r>
              <w:rPr>
                <w:rFonts w:hint="default" w:ascii="Times New Roman" w:hAnsi="Times New Roman" w:eastAsia="宋体" w:cs="Times New Roman"/>
                <w:bCs/>
                <w:color w:val="000000" w:themeColor="text1"/>
                <w:kern w:val="0"/>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。施工结束后春季期间对临时占地内播种羊草等本地草种，使临时占地内恢复占地前的植被量，期间进行维护管理。</w:t>
            </w:r>
          </w:p>
        </w:tc>
        <w:tc>
          <w:tcPr>
            <w:tcW w:w="2512" w:type="dxa"/>
            <w:tcBorders>
              <w:tl2br w:val="nil"/>
              <w:tr2bl w:val="nil"/>
            </w:tcBorders>
            <w:noWrap w:val="0"/>
            <w:vAlign w:val="center"/>
          </w:tcPr>
          <w:p w14:paraId="5C97EDD9">
            <w:pPr>
              <w:keepNext w:val="0"/>
              <w:keepLines w:val="0"/>
              <w:pageBreakBefore w:val="0"/>
              <w:widowControl w:val="0"/>
              <w:kinsoku/>
              <w:wordWrap/>
              <w:overflowPunct/>
              <w:topLinePunct w:val="0"/>
              <w:autoSpaceDE/>
              <w:autoSpaceDN/>
              <w:bidi w:val="0"/>
              <w:adjustRightInd/>
              <w:snapToGrid w:val="0"/>
              <w:spacing w:after="0" w:line="240" w:lineRule="auto"/>
              <w:ind w:right="0" w:rightChars="0" w:firstLine="420" w:firstLineChars="200"/>
              <w:jc w:val="both"/>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万元</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天然草补偿标准为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0.37</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元/</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626" w:type="dxa"/>
            <w:vMerge w:val="continue"/>
            <w:tcBorders>
              <w:tl2br w:val="nil"/>
              <w:tr2bl w:val="nil"/>
            </w:tcBorders>
            <w:noWrap w:val="0"/>
            <w:vAlign w:val="center"/>
          </w:tcPr>
          <w:p w14:paraId="36778519">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985" w:type="dxa"/>
            <w:vMerge w:val="continue"/>
            <w:tcBorders>
              <w:tl2br w:val="nil"/>
              <w:tr2bl w:val="nil"/>
            </w:tcBorders>
            <w:noWrap w:val="0"/>
            <w:vAlign w:val="center"/>
          </w:tcPr>
          <w:p w14:paraId="4D9968A4">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r>
      <w:tr w14:paraId="0C485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319" w:type="dxa"/>
            <w:vMerge w:val="continue"/>
            <w:tcBorders>
              <w:tl2br w:val="nil"/>
              <w:tr2bl w:val="nil"/>
            </w:tcBorders>
            <w:noWrap w:val="0"/>
            <w:vAlign w:val="center"/>
          </w:tcPr>
          <w:p w14:paraId="001C5BF4">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525" w:type="dxa"/>
            <w:vMerge w:val="continue"/>
            <w:tcBorders>
              <w:tl2br w:val="nil"/>
              <w:tr2bl w:val="nil"/>
            </w:tcBorders>
            <w:noWrap w:val="0"/>
            <w:vAlign w:val="center"/>
          </w:tcPr>
          <w:p w14:paraId="3DFC11CF">
            <w:pPr>
              <w:keepNext w:val="0"/>
              <w:keepLines w:val="0"/>
              <w:pageBreakBefore w:val="0"/>
              <w:widowControl w:val="0"/>
              <w:kinsoku/>
              <w:wordWrap/>
              <w:overflowPunct/>
              <w:topLinePunct w:val="0"/>
              <w:autoSpaceDE/>
              <w:autoSpaceDN/>
              <w:bidi w:val="0"/>
              <w:adjustRightInd/>
              <w:snapToGrid w:val="0"/>
              <w:spacing w:after="0" w:line="240" w:lineRule="auto"/>
              <w:ind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542" w:type="dxa"/>
            <w:tcBorders>
              <w:tl2br w:val="nil"/>
              <w:tr2bl w:val="nil"/>
            </w:tcBorders>
            <w:noWrap w:val="0"/>
            <w:vAlign w:val="center"/>
          </w:tcPr>
          <w:p w14:paraId="72BB05EC">
            <w:pPr>
              <w:keepNext w:val="0"/>
              <w:keepLines w:val="0"/>
              <w:pageBreakBefore w:val="0"/>
              <w:widowControl w:val="0"/>
              <w:kinsoku/>
              <w:wordWrap/>
              <w:overflowPunct/>
              <w:topLinePunct w:val="0"/>
              <w:bidi w:val="0"/>
              <w:adjustRightInd w:val="0"/>
              <w:snapToGrid w:val="0"/>
              <w:spacing w:before="60" w:after="0" w:line="240" w:lineRule="exact"/>
              <w:ind w:right="0" w:rightChars="0" w:firstLine="0" w:firstLineChars="0"/>
              <w:jc w:val="center"/>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林地</w:t>
            </w:r>
          </w:p>
        </w:tc>
        <w:tc>
          <w:tcPr>
            <w:tcW w:w="3619" w:type="dxa"/>
            <w:tcBorders>
              <w:tl2br w:val="nil"/>
              <w:tr2bl w:val="nil"/>
            </w:tcBorders>
            <w:noWrap w:val="0"/>
            <w:vAlign w:val="center"/>
          </w:tcPr>
          <w:p w14:paraId="13ACC0C3">
            <w:pPr>
              <w:keepNext w:val="0"/>
              <w:keepLines w:val="0"/>
              <w:pageBreakBefore w:val="0"/>
              <w:widowControl/>
              <w:kinsoku/>
              <w:wordWrap/>
              <w:overflowPunct/>
              <w:topLinePunct w:val="0"/>
              <w:bidi w:val="0"/>
              <w:adjustRightInd w:val="0"/>
              <w:snapToGrid w:val="0"/>
              <w:spacing w:before="60" w:after="0" w:line="240" w:lineRule="exact"/>
              <w:ind w:right="0" w:rightChars="0" w:firstLine="420" w:firstLineChars="200"/>
              <w:jc w:val="both"/>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临时占用的</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0.1hm</w:t>
            </w:r>
            <w:r>
              <w:rPr>
                <w:rFonts w:hint="default" w:ascii="Times New Roman" w:hAnsi="Times New Roman" w:eastAsia="宋体" w:cs="Times New Roman"/>
                <w:snapToGrid w:val="0"/>
                <w:color w:val="000000" w:themeColor="text1"/>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林地</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进行表土留存，分层回填，整平翻松</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将移栽的</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颗林木重新栽种</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2512" w:type="dxa"/>
            <w:tcBorders>
              <w:tl2br w:val="nil"/>
              <w:tr2bl w:val="nil"/>
            </w:tcBorders>
            <w:noWrap w:val="0"/>
            <w:vAlign w:val="center"/>
          </w:tcPr>
          <w:p w14:paraId="6E3B8EF3">
            <w:pPr>
              <w:keepNext w:val="0"/>
              <w:keepLines w:val="0"/>
              <w:pageBreakBefore w:val="0"/>
              <w:widowControl/>
              <w:kinsoku/>
              <w:wordWrap/>
              <w:overflowPunct/>
              <w:topLinePunct w:val="0"/>
              <w:autoSpaceDE/>
              <w:autoSpaceDN/>
              <w:bidi w:val="0"/>
              <w:adjustRightInd/>
              <w:snapToGrid w:val="0"/>
              <w:spacing w:before="60" w:after="0" w:line="240" w:lineRule="exact"/>
              <w:ind w:right="0" w:rightChars="0" w:firstLine="420" w:firstLineChars="200"/>
              <w:jc w:val="both"/>
              <w:textAlignment w:val="auto"/>
              <w:outlineLvl w:val="9"/>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林地植被恢复</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费用按</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元/m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w:t>
            </w:r>
          </w:p>
        </w:tc>
        <w:tc>
          <w:tcPr>
            <w:tcW w:w="626" w:type="dxa"/>
            <w:vMerge w:val="continue"/>
            <w:tcBorders>
              <w:tl2br w:val="nil"/>
              <w:tr2bl w:val="nil"/>
            </w:tcBorders>
            <w:noWrap w:val="0"/>
            <w:vAlign w:val="center"/>
          </w:tcPr>
          <w:p w14:paraId="49C64DA8">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985" w:type="dxa"/>
            <w:vMerge w:val="continue"/>
            <w:tcBorders>
              <w:tl2br w:val="nil"/>
              <w:tr2bl w:val="nil"/>
            </w:tcBorders>
            <w:noWrap w:val="0"/>
            <w:vAlign w:val="center"/>
          </w:tcPr>
          <w:p w14:paraId="4BC200A0">
            <w:pPr>
              <w:keepNext w:val="0"/>
              <w:keepLines w:val="0"/>
              <w:pageBreakBefore w:val="0"/>
              <w:widowControl w:val="0"/>
              <w:kinsoku/>
              <w:wordWrap/>
              <w:overflowPunct/>
              <w:topLinePunct w:val="0"/>
              <w:autoSpaceDE/>
              <w:autoSpaceDN/>
              <w:bidi w:val="0"/>
              <w:adjustRightInd/>
              <w:snapToGrid w:val="0"/>
              <w:spacing w:after="0" w:line="240" w:lineRule="auto"/>
              <w:ind w:right="0" w:firstLine="0" w:firstLine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r>
    </w:tbl>
    <w:p w14:paraId="6E87EA40">
      <w:pPr>
        <w:keepNext w:val="0"/>
        <w:keepLines w:val="0"/>
        <w:pageBreakBefore w:val="0"/>
        <w:widowControl w:val="0"/>
        <w:kinsoku/>
        <w:wordWrap/>
        <w:overflowPunct/>
        <w:topLinePunct w:val="0"/>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采取上述施工期生态保护措施后，项目施工期对生态环境的影响将降至最低，因此施工期生态保护措施是可行的</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31A17B0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6.6.2</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运营期</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生态环境保护措施</w:t>
      </w:r>
    </w:p>
    <w:p w14:paraId="2BCC92E1">
      <w:pPr>
        <w:pStyle w:val="37"/>
        <w:keepNext w:val="0"/>
        <w:keepLines w:val="0"/>
        <w:pageBreakBefore w:val="0"/>
        <w:widowControl w:val="0"/>
        <w:kinsoku/>
        <w:wordWrap/>
        <w:topLinePunct w:val="0"/>
        <w:bidi w:val="0"/>
        <w:ind w:firstLine="480"/>
        <w:rPr>
          <w:rFonts w:hint="default" w:ascii="Times New Roman" w:hAnsi="Times New Roman" w:cs="Times New Roman"/>
          <w:b/>
          <w:color w:val="000000" w:themeColor="text1"/>
          <w:sz w:val="28"/>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加强管道管理</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定期巡线检查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设备养护，防止原油、含油污水以及各种废液的跑冒滴漏，如发生跑冒滴漏，及时处理。本项目通过采取上述生态保护措施，能够确保本项目对区域生态环境的破坏得到有效控制，不会对区域生态环境产生较大影响，生态保护措施可行</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p>
    <w:p w14:paraId="128A8423">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6.6.3耕地</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及黑土地保护措施</w:t>
      </w:r>
    </w:p>
    <w:p w14:paraId="765F9464">
      <w:pPr>
        <w:keepNext w:val="0"/>
        <w:keepLines w:val="0"/>
        <w:pageBreakBefore w:val="0"/>
        <w:widowControl w:val="0"/>
        <w:kinsoku/>
        <w:wordWrap/>
        <w:topLinePunct w:val="0"/>
        <w:bidi w:val="0"/>
        <w:spacing w:after="0" w:line="360" w:lineRule="auto"/>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6.6.3.1耕地保护措施</w:t>
      </w:r>
    </w:p>
    <w:p w14:paraId="5F2E8270">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占用耕地（基本农田）12.12hm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，具体占用情况见表3.2-4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6AC789E">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国家能源设施建设项目。根据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原油管道路由及设计情况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更换管道段施工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无法避让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耕地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因此应按有关土地管理办法的要求，逐级上报土地管理部门批准，施工完毕后1年内，临时占用农田全部恢复为耕地。临时占地恢复也可在征地过程中给予农民一定的费用补偿，由农民自行进行土地恢复。本工程严格规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施工活动，限制施工范围和时限，确保项目施工尽量少占用基本农田。同时，加强管理措施，做好对施工期工作人员的管理、教育工作。杜绝废水、固体废物进入基本农田；施工结束后及时对临时占用的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耕地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进行复耕。</w:t>
      </w:r>
    </w:p>
    <w:p w14:paraId="63018766">
      <w:pPr>
        <w:keepNext w:val="0"/>
        <w:keepLines w:val="0"/>
        <w:pageBreakBefore w:val="0"/>
        <w:widowControl w:val="0"/>
        <w:kinsoku/>
        <w:wordWrap/>
        <w:topLinePunct w:val="0"/>
        <w:bidi w:val="0"/>
        <w:spacing w:after="0" w:line="360" w:lineRule="auto"/>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6.6.3.2黑土地保护措施</w:t>
      </w:r>
    </w:p>
    <w:p w14:paraId="75D5AB01">
      <w:pPr>
        <w:keepNext w:val="0"/>
        <w:keepLines w:val="0"/>
        <w:pageBreakBefore w:val="0"/>
        <w:widowControl w:val="0"/>
        <w:kinsoku/>
        <w:wordWrap/>
        <w:topLinePunct w:val="0"/>
        <w:bidi w:val="0"/>
        <w:spacing w:after="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临时占用黑土地。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过程中尽量保护土地资源，不打乱土层，施工前先挖表土层（30cm左右）单独堆放，然后挖心、底土层另外堆放，堆放时对土堆覆盖苫布防止吹散，对本工程临时占地区域复原时先填心、底土，后平覆表土，以便尽快恢复植被；覆土结束后，及时恢复被破坏的地表形态，平整作业现场，改善土壤及植被恢复条件。对于本工程占用的临时占地，应严格控制占地面积，并且在施工结束后及时对临时占用区域进行植被恢复，包括施工前表土剥离后的土地恢复及耕地复垦等恢复措施。本工程实施前编制建设项目占用耕地耕作层土壤剥离利用方案，统筹安排剥离、储存和再利用。表土剥离和利用严格执行《建设占用耕地耕作层土壤剥离利用技术规范》（DB23/T2913-2021）。</w:t>
      </w:r>
    </w:p>
    <w:p w14:paraId="42EDCC41">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施工完毕后1年内，临时占地全部恢复原有植被类型，即将占用的农田全部恢复为耕地。临时占地恢复也可在征地过程中给予农民一定的费用补偿，由农民自行进行土地恢复。本工程严格规范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施工建设和作业活动，限制施工、作业范围和时限，确保项目施工尽量少占用农田。同时，加强管理措施，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做好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对施工及油田生产人员的管理</w:t>
      </w:r>
      <w:r>
        <w:rPr>
          <w:rFonts w:hint="default" w:ascii="Times New Roman" w:hAnsi="Times New Roman" w:cs="Times New Roman"/>
          <w:color w:val="000000" w:themeColor="text1"/>
          <w:highlight w:val="none"/>
          <w14:textFill>
            <w14:solidFill>
              <w14:schemeClr w14:val="tx1"/>
            </w14:solidFill>
          </w14:textFill>
        </w:rPr>
        <w:t>。</w:t>
      </w:r>
    </w:p>
    <w:p w14:paraId="27A640F6">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管道采用沟埋敷设，施工结束后及时有效地对占地区域土地进行平整，并压实，</w:t>
      </w:r>
      <w:r>
        <w:rPr>
          <w:rFonts w:hint="default" w:ascii="Times New Roman" w:hAnsi="Times New Roman" w:cs="Times New Roman"/>
          <w:color w:val="000000" w:themeColor="text1"/>
          <w:highlight w:val="none"/>
          <w:lang w:val="en-US" w:eastAsia="zh-CN"/>
          <w14:textFill>
            <w14:solidFill>
              <w14:schemeClr w14:val="tx1"/>
            </w14:solidFill>
          </w14:textFill>
        </w:rPr>
        <w:t>并播撒适应当地环境生长的草籽</w:t>
      </w:r>
      <w:r>
        <w:rPr>
          <w:rFonts w:hint="default" w:ascii="Times New Roman" w:hAnsi="Times New Roman" w:cs="Times New Roman"/>
          <w:color w:val="000000" w:themeColor="text1"/>
          <w:highlight w:val="none"/>
          <w14:textFill>
            <w14:solidFill>
              <w14:schemeClr w14:val="tx1"/>
            </w14:solidFill>
          </w14:textFill>
        </w:rPr>
        <w:t>。</w:t>
      </w:r>
    </w:p>
    <w:p w14:paraId="5CCC1314">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在施工活动结束后，要立即对施工现场进行回填平整，形成新的合适坡度，并尽可能覆土压实，基本程序是回填－平整－覆土－压实。工程回填物应首先考虑弃土、弃石和弃渣，并力求做到“挖填平衡”。</w:t>
      </w:r>
    </w:p>
    <w:p w14:paraId="3E1F87B6">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施工时要特别注意保护原始地表与天然植被，划定施工活动范围，严格控制和管理车辆及重型机械的运行范围，所有车辆采用“一”字型作业法，避免并行开辟新路，以减少风蚀沙化活动的范围。</w:t>
      </w:r>
    </w:p>
    <w:p w14:paraId="4F408B4D">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施工作业避免在大风天施工。</w:t>
      </w:r>
    </w:p>
    <w:p w14:paraId="61DEC44C">
      <w:pPr>
        <w:pStyle w:val="37"/>
        <w:keepNext w:val="0"/>
        <w:keepLines w:val="0"/>
        <w:pageBreakBefore w:val="0"/>
        <w:widowControl w:val="0"/>
        <w:kinsoku/>
        <w:wordWrap/>
        <w:topLinePunct w:val="0"/>
        <w:bidi w:val="0"/>
        <w:ind w:firstLine="480"/>
        <w:rPr>
          <w:rFonts w:hint="eastAsia"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根据当</w:t>
      </w:r>
      <w:r>
        <w:rPr>
          <w:rFonts w:hint="eastAsia" w:ascii="Times New Roman" w:hAnsi="Times New Roman" w:cs="Times New Roman"/>
          <w:color w:val="000000" w:themeColor="text1"/>
          <w:highlight w:val="none"/>
          <w:lang w:eastAsia="zh-CN"/>
          <w14:textFill>
            <w14:solidFill>
              <w14:schemeClr w14:val="tx1"/>
            </w14:solidFill>
          </w14:textFill>
        </w:rPr>
        <w:t>地实</w:t>
      </w:r>
      <w:r>
        <w:rPr>
          <w:rFonts w:hint="default" w:ascii="Times New Roman" w:hAnsi="Times New Roman" w:cs="Times New Roman"/>
          <w:color w:val="000000" w:themeColor="text1"/>
          <w:highlight w:val="none"/>
          <w14:textFill>
            <w14:solidFill>
              <w14:schemeClr w14:val="tx1"/>
            </w14:solidFill>
          </w14:textFill>
        </w:rPr>
        <w:t>际情况、环境特征及原生植被特点和生存种类，建立乔、灌、草结合，网、带、片结合的沙地植被防护体系</w:t>
      </w:r>
      <w:r>
        <w:rPr>
          <w:rFonts w:hint="eastAsia" w:ascii="Times New Roman" w:hAnsi="Times New Roman" w:cs="Times New Roman"/>
          <w:color w:val="000000" w:themeColor="text1"/>
          <w:highlight w:val="none"/>
          <w:lang w:eastAsia="zh-CN"/>
          <w14:textFill>
            <w14:solidFill>
              <w14:schemeClr w14:val="tx1"/>
            </w14:solidFill>
          </w14:textFill>
        </w:rPr>
        <w:t>。</w:t>
      </w:r>
    </w:p>
    <w:p w14:paraId="47B7239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6.6.</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林地补偿</w:t>
      </w:r>
    </w:p>
    <w:p w14:paraId="219D243C">
      <w:pPr>
        <w:keepNext w:val="0"/>
        <w:keepLines w:val="0"/>
        <w:pageBreakBefore w:val="0"/>
        <w:widowControl w:val="0"/>
        <w:kinsoku/>
        <w:wordWrap/>
        <w:topLinePunct w:val="0"/>
        <w:bidi w:val="0"/>
        <w:adjustRightInd w:val="0"/>
        <w:snapToGrid w:val="0"/>
        <w:spacing w:after="0" w:line="360" w:lineRule="auto"/>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结合《建设项目使用林地审核审批管理办法》（国家林业局令第35号）、《国家林业局关于加强临时占用林地监督管理的通知》：“</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 临时占用林地单位要把落实恢复林业生产条件方案贯穿施工全过程，在施工设计时，应当尽可能做到土石方挖填平衡，减少地表扰动范围。在选址时，尽可能不占或少占林地，合理确定取土深度，严防和杜绝随意使用或扩大临时用地的规模。在施工中，严格按照批准文件和临时占用林地合同约定的范围、面积、用途使用林地，对地表土分层剥离、保存。在使用后，应当及时清除临时建设的设施、表面硬化层，将原剥离的表土进行表土覆盖，一年内恢复林业生产条件，并经有关主管部门组织验收后，交还给原土地所有权人或使用权人。临时占用林地不能恢复原用途的，应当由临时用地单位按永久性用地予以补偿。</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2B89BDBF">
      <w:pPr>
        <w:widowControl w:val="0"/>
        <w:adjustRightInd/>
        <w:snapToGrid/>
        <w:spacing w:after="0" w:line="360" w:lineRule="auto"/>
        <w:ind w:firstLine="480" w:firstLineChars="200"/>
        <w:jc w:val="both"/>
        <w:rPr>
          <w:rFonts w:hint="default" w:ascii="Times New Roman" w:hAnsi="Times New Roman" w:eastAsia="宋体" w:cs="Times New Roman"/>
          <w:b/>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涉及临时占用林地（</w:t>
      </w:r>
      <w:r>
        <w:rPr>
          <w:rFonts w:hint="eastAsia"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人工青杨林</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）0.1hm</w:t>
      </w:r>
      <w:r>
        <w:rPr>
          <w:rFonts w:hint="default" w:ascii="Times New Roman" w:hAnsi="Times New Roman" w:eastAsia="宋体" w:cs="Times New Roman"/>
          <w:snapToGrid w:val="0"/>
          <w:color w:val="000000" w:themeColor="text1"/>
          <w:kern w:val="0"/>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，非天然林。施工时应注意管线规划，尽量避让林木，严格控制施工作业面，施工时</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严格按照批准文件和临时占用林地合同约定的范围、面积、用途使用林地</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对30cm</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表土分层剥离</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临时占地内剥离表土留存，施工结束后</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分层回填，整平翻松</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对临时占地范围内林木按照1:1.2比例进行异地补种，一年内恢复林业生产条件</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符合要求</w:t>
      </w:r>
      <w:r>
        <w:rPr>
          <w:rFonts w:hint="default" w:ascii="Times New Roman" w:hAnsi="Times New Roman" w:eastAsia="宋体" w:cs="Times New Roman"/>
          <w:color w:val="000000" w:themeColor="text1"/>
          <w:kern w:val="2"/>
          <w:sz w:val="24"/>
          <w:szCs w:val="28"/>
          <w:highlight w:val="none"/>
          <w:lang w:val="en-US" w:eastAsia="zh-CN" w:bidi="ar-SA"/>
          <w14:textFill>
            <w14:solidFill>
              <w14:schemeClr w14:val="tx1"/>
            </w14:solidFill>
          </w14:textFill>
        </w:rPr>
        <w:t>。</w:t>
      </w:r>
    </w:p>
    <w:p w14:paraId="1E88DEA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6.6.</w:t>
      </w:r>
      <w:r>
        <w:rPr>
          <w:rFonts w:hint="eastAsia"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生态环境跟踪监测措施</w:t>
      </w:r>
    </w:p>
    <w:p w14:paraId="45612A81">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6.6.</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.1运营期生态环境保护措施</w:t>
      </w:r>
    </w:p>
    <w:p w14:paraId="2864A78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《环境影响评价技术导则生态影响》（HJ19-20</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22</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应结合项目规模、生态影响特点及所在区域的生态敏感性，针对性提出常规的生态监测计划。根据《环境影响评价技术导则陆地石油天然气开发建设项目》（HJ349-2023）中12.3生态环境监测：位于一般区域的，重点监测临时性占地区植被恢复情况，包括植被覆盖率及植物多样性组成。</w:t>
      </w:r>
    </w:p>
    <w:p w14:paraId="5642361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本工程制定</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生态环境跟踪</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监测措施，根据项目分布情况设置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监测点位</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个，具体跟踪监测计划见表6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6C512BF5">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表6.6-2</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生态环境监测计划表</w:t>
      </w:r>
    </w:p>
    <w:tbl>
      <w:tblPr>
        <w:tblStyle w:val="40"/>
        <w:tblW w:w="928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108"/>
        <w:gridCol w:w="5031"/>
        <w:gridCol w:w="1127"/>
      </w:tblGrid>
      <w:tr w14:paraId="09F97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5" w:type="dxa"/>
            <w:tcBorders>
              <w:tl2br w:val="nil"/>
              <w:tr2bl w:val="nil"/>
            </w:tcBorders>
            <w:vAlign w:val="center"/>
          </w:tcPr>
          <w:p w14:paraId="0F0E594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点位</w:t>
            </w:r>
          </w:p>
        </w:tc>
        <w:tc>
          <w:tcPr>
            <w:tcW w:w="2108" w:type="dxa"/>
            <w:tcBorders>
              <w:tl2br w:val="nil"/>
              <w:tr2bl w:val="nil"/>
            </w:tcBorders>
            <w:vAlign w:val="center"/>
          </w:tcPr>
          <w:p w14:paraId="301839E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跟踪监测点位</w:t>
            </w:r>
          </w:p>
        </w:tc>
        <w:tc>
          <w:tcPr>
            <w:tcW w:w="5031" w:type="dxa"/>
            <w:tcBorders>
              <w:tl2br w:val="nil"/>
              <w:tr2bl w:val="nil"/>
            </w:tcBorders>
            <w:vAlign w:val="center"/>
          </w:tcPr>
          <w:p w14:paraId="5B62403B">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监测内容</w:t>
            </w:r>
          </w:p>
        </w:tc>
        <w:tc>
          <w:tcPr>
            <w:tcW w:w="1127" w:type="dxa"/>
            <w:tcBorders>
              <w:tl2br w:val="nil"/>
              <w:tr2bl w:val="nil"/>
            </w:tcBorders>
            <w:vAlign w:val="center"/>
          </w:tcPr>
          <w:p w14:paraId="49DE927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监测频次</w:t>
            </w:r>
          </w:p>
        </w:tc>
      </w:tr>
      <w:tr w14:paraId="3C215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5" w:type="dxa"/>
            <w:tcBorders>
              <w:tl2br w:val="nil"/>
              <w:tr2bl w:val="nil"/>
            </w:tcBorders>
            <w:vAlign w:val="center"/>
          </w:tcPr>
          <w:p w14:paraId="09D3CAAD">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w:t>
            </w:r>
          </w:p>
        </w:tc>
        <w:tc>
          <w:tcPr>
            <w:tcW w:w="2108" w:type="dxa"/>
            <w:tcBorders>
              <w:tl2br w:val="nil"/>
              <w:tr2bl w:val="nil"/>
            </w:tcBorders>
            <w:vAlign w:val="center"/>
          </w:tcPr>
          <w:p w14:paraId="1369F48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临时占地内</w:t>
            </w:r>
          </w:p>
        </w:tc>
        <w:tc>
          <w:tcPr>
            <w:tcW w:w="5031" w:type="dxa"/>
            <w:tcBorders>
              <w:tl2br w:val="nil"/>
              <w:tr2bl w:val="nil"/>
            </w:tcBorders>
            <w:vAlign w:val="center"/>
          </w:tcPr>
          <w:p w14:paraId="5E3DB68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植被恢复情况（包括植被覆盖率及植被多样性组成）</w:t>
            </w:r>
          </w:p>
        </w:tc>
        <w:tc>
          <w:tcPr>
            <w:tcW w:w="1127" w:type="dxa"/>
            <w:tcBorders>
              <w:tl2br w:val="nil"/>
              <w:tr2bl w:val="nil"/>
            </w:tcBorders>
            <w:vAlign w:val="center"/>
          </w:tcPr>
          <w:p w14:paraId="5EF9977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1次/年</w:t>
            </w:r>
          </w:p>
        </w:tc>
      </w:tr>
    </w:tbl>
    <w:p w14:paraId="119D236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上述监测结果应按项目有关规定及时建立档案，并定期向建设单位安全环保部门汇报，对于常规监测数据应该进行公开，特别是对项目所在区域的公众进行公开，满足法律中关于知情权的要求。</w:t>
      </w:r>
    </w:p>
    <w:p w14:paraId="4869C15F">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6.6.</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.2退役期生态环境保护措施</w:t>
      </w:r>
    </w:p>
    <w:p w14:paraId="78BE9C2C">
      <w:pPr>
        <w:pStyle w:val="9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油田退役期，根据当地条件和宜林则林、宜草则草、宜农则农的原则，对生态环境进行恢复和重建。</w:t>
      </w:r>
    </w:p>
    <w:p w14:paraId="60AF41BC">
      <w:pPr>
        <w:pStyle w:val="9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（1）妥善处理退役期油区管道中残存的少量原油</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推送至相应场站处理</w:t>
      </w:r>
      <w:r>
        <w:rPr>
          <w:rFonts w:hint="default" w:ascii="Times New Roman" w:hAnsi="Times New Roman" w:cs="Times New Roman"/>
          <w:color w:val="000000" w:themeColor="text1"/>
          <w:highlight w:val="none"/>
          <w14:textFill>
            <w14:solidFill>
              <w14:schemeClr w14:val="tx1"/>
            </w14:solidFill>
          </w14:textFill>
        </w:rPr>
        <w:t>。</w:t>
      </w:r>
    </w:p>
    <w:p w14:paraId="1250CD9E">
      <w:pPr>
        <w:pStyle w:val="9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）加强对</w:t>
      </w:r>
      <w:r>
        <w:rPr>
          <w:rFonts w:hint="eastAsia" w:ascii="Times New Roman" w:hAnsi="Times New Roman"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沿线居民的环境保护教育，提高其环保意识，禁止挖掘废弃管道，以避免对地表产生破坏和干扰，加速水土流失</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w:t>
      </w:r>
    </w:p>
    <w:p w14:paraId="0A4404F1">
      <w:pPr>
        <w:pStyle w:val="9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综上，本项目采取生态恢复与重建措施可有效地将生态环境的影响降到最低程度，建议企业对拟退役的废弃井场制定相应的生态修复方案。</w:t>
      </w:r>
    </w:p>
    <w:p w14:paraId="533EA110">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26" w:name="_Toc32387"/>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6.7土壤污染防治措施</w:t>
      </w:r>
      <w:bookmarkEnd w:id="126"/>
    </w:p>
    <w:p w14:paraId="2407E95D">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6.7.1施工期土壤污染防治措施</w:t>
      </w:r>
    </w:p>
    <w:p w14:paraId="239FD08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（1）加强施工中的环境管理，控制和消除土壤污染源。严禁随意倾倒污水、随意堆放固体废物，防止因“三废”处理不合理或处置措施不当对土壤造成污染。</w:t>
      </w:r>
    </w:p>
    <w:p w14:paraId="0FD1BB3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（2）严格控制施工作业面积，以减少地表植被和土壤的破坏。本工程建设期间主要</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铺设。对环境的影响属于高强度、低频率的局地性破坏。根据油田地面工程规划方案，本工程对占用的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草地进行补偿</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1699FD0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（3）充分利用现有道路，尽量不再开辟新的临时通道。</w:t>
      </w:r>
    </w:p>
    <w:p w14:paraId="36058214">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恢复土地生产能力，提高土壤肥力。施工过程中尽量保护土地资源，不打乱土层，先挖表土层（30cm左右）单独堆放；然后挖心、底土层另外堆放。复原时先填心、底土，后平覆表土，以便尽快恢复植被。</w:t>
      </w:r>
    </w:p>
    <w:p w14:paraId="076311E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6.7.2运营期土壤污染防治措施</w:t>
      </w:r>
    </w:p>
    <w:p w14:paraId="0A1D55F6">
      <w:pPr>
        <w:keepNext w:val="0"/>
        <w:keepLines w:val="0"/>
        <w:pageBreakBefore w:val="0"/>
        <w:widowControl w:val="0"/>
        <w:kinsoku/>
        <w:wordWrap/>
        <w:topLinePunct w:val="0"/>
        <w:bidi w:val="0"/>
        <w:adjustRightInd w:val="0"/>
        <w:snapToGrid w:val="0"/>
        <w:spacing w:after="0" w:line="360" w:lineRule="auto"/>
        <w:ind w:firstLine="480" w:firstLineChars="200"/>
        <w:jc w:val="left"/>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针对工程可能发生的土壤污染，按照源头控制、末端防治、污染监控、应急响应相结合的原则，从污染物的产生、入渗、扩散、应急响应等全阶段进行控制</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51CE60D8">
      <w:pPr>
        <w:keepNext w:val="0"/>
        <w:keepLines w:val="0"/>
        <w:pageBreakBefore w:val="0"/>
        <w:widowControl w:val="0"/>
        <w:kinsoku/>
        <w:wordWrap/>
        <w:topLinePunct w:val="0"/>
        <w:bidi w:val="0"/>
        <w:adjustRightInd w:val="0"/>
        <w:snapToGrid w:val="0"/>
        <w:spacing w:after="0" w:line="360" w:lineRule="auto"/>
        <w:ind w:firstLine="480" w:firstLineChars="200"/>
        <w:jc w:val="left"/>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（1）源头控制措施</w:t>
      </w:r>
    </w:p>
    <w:p w14:paraId="395A4E6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加强管理，管道采用重点防渗处理（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采用内缠胶带硬质聚氨酯泡沫夹克管；管道设计壁厚的腐蚀余量大于3mm；管道的外防腐等级应采用加强级；管道的连接方式应采用焊接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），杜绝分离污水运输过程跑冒滴漏。</w:t>
      </w:r>
    </w:p>
    <w:p w14:paraId="725AD8F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提高职工的环境保护意识，在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管理中杜绝人为破坏植被的现象。</w:t>
      </w:r>
    </w:p>
    <w:p w14:paraId="13D9E8F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（2）末端控制措施</w:t>
      </w:r>
    </w:p>
    <w:p w14:paraId="2B27242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主要</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油水管道</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的</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防渗措施和泄漏、渗漏污染物收集措施，末端控制采取分区防渗原则</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28312FB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）污染监控体系</w:t>
      </w:r>
    </w:p>
    <w:p w14:paraId="6EB9911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为及时了解工程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临时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占地及周边土壤环境质量状况和土壤中污染物的动态变化</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根据《环境影响评价技术导则土壤环境（试行）》（HJ964-2018）、《排污单位自行监测技术指南总则》（HJ819-2017）</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、《排污单位自行监测技术指南陆上石油天然气开采工业》（HJ1248-2022）</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相关要求，本工程制定土壤环境跟踪监测措施，包括制定跟踪监测计划，科学、合理地设置土壤监测点位，建立完善的跟踪监测制度，配备必要的取样设备，以便及时发现并有效控制。</w:t>
      </w:r>
    </w:p>
    <w:p w14:paraId="12010D6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根据项目分布情况设置土壤监测点位</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个，具体跟踪监测计划见表6</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-1，土壤跟踪监测点位示意图见附图</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2492E635">
      <w:pPr>
        <w:keepNext w:val="0"/>
        <w:keepLines w:val="0"/>
        <w:pageBreakBefore w:val="0"/>
        <w:widowControl w:val="0"/>
        <w:tabs>
          <w:tab w:val="left" w:pos="180"/>
          <w:tab w:val="left" w:pos="1092"/>
          <w:tab w:val="left" w:pos="1686"/>
        </w:tabs>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表6.7-1</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土壤环境监测计划表</w:t>
      </w:r>
    </w:p>
    <w:tbl>
      <w:tblPr>
        <w:tblStyle w:val="40"/>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196"/>
        <w:gridCol w:w="2641"/>
        <w:gridCol w:w="1733"/>
        <w:gridCol w:w="1080"/>
      </w:tblGrid>
      <w:tr w14:paraId="14D1E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8" w:type="dxa"/>
            <w:tcBorders>
              <w:tl2br w:val="nil"/>
              <w:tr2bl w:val="nil"/>
            </w:tcBorders>
            <w:vAlign w:val="center"/>
          </w:tcPr>
          <w:p w14:paraId="4F573B9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点位</w:t>
            </w:r>
          </w:p>
        </w:tc>
        <w:tc>
          <w:tcPr>
            <w:tcW w:w="3196" w:type="dxa"/>
            <w:tcBorders>
              <w:tl2br w:val="nil"/>
              <w:tr2bl w:val="nil"/>
            </w:tcBorders>
            <w:vAlign w:val="center"/>
          </w:tcPr>
          <w:p w14:paraId="480AB70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跟踪监测点位</w:t>
            </w:r>
          </w:p>
        </w:tc>
        <w:tc>
          <w:tcPr>
            <w:tcW w:w="2641" w:type="dxa"/>
            <w:tcBorders>
              <w:tl2br w:val="nil"/>
              <w:tr2bl w:val="nil"/>
            </w:tcBorders>
            <w:vAlign w:val="center"/>
          </w:tcPr>
          <w:p w14:paraId="0522BF1E">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经纬度</w:t>
            </w:r>
          </w:p>
        </w:tc>
        <w:tc>
          <w:tcPr>
            <w:tcW w:w="1733" w:type="dxa"/>
            <w:tcBorders>
              <w:tl2br w:val="nil"/>
              <w:tr2bl w:val="nil"/>
            </w:tcBorders>
            <w:vAlign w:val="center"/>
          </w:tcPr>
          <w:p w14:paraId="51D182C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监测项目</w:t>
            </w:r>
          </w:p>
        </w:tc>
        <w:tc>
          <w:tcPr>
            <w:tcW w:w="1080" w:type="dxa"/>
            <w:tcBorders>
              <w:tl2br w:val="nil"/>
              <w:tr2bl w:val="nil"/>
            </w:tcBorders>
            <w:vAlign w:val="center"/>
          </w:tcPr>
          <w:p w14:paraId="02C5B11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监测频次</w:t>
            </w:r>
          </w:p>
        </w:tc>
      </w:tr>
      <w:tr w14:paraId="2D453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38" w:type="dxa"/>
            <w:tcBorders>
              <w:tl2br w:val="nil"/>
              <w:tr2bl w:val="nil"/>
            </w:tcBorders>
            <w:vAlign w:val="center"/>
          </w:tcPr>
          <w:p w14:paraId="273505AA">
            <w:pPr>
              <w:keepNext w:val="0"/>
              <w:keepLines w:val="0"/>
              <w:pageBreakBefore w:val="0"/>
              <w:widowControl w:val="0"/>
              <w:kinsoku/>
              <w:wordWrap/>
              <w:topLinePunct w:val="0"/>
              <w:bidi w:val="0"/>
              <w:adjustRightInd/>
              <w:snapToGrid/>
              <w:spacing w:after="0"/>
              <w:ind w:left="0" w:firstLine="0" w:firstLineChars="0"/>
              <w:contextualSpacing/>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3196" w:type="dxa"/>
            <w:tcBorders>
              <w:tl2br w:val="nil"/>
              <w:tr2bl w:val="nil"/>
            </w:tcBorders>
            <w:vAlign w:val="center"/>
          </w:tcPr>
          <w:p w14:paraId="578E675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表层土壤</w:t>
            </w:r>
          </w:p>
        </w:tc>
        <w:tc>
          <w:tcPr>
            <w:tcW w:w="2641" w:type="dxa"/>
            <w:tcBorders>
              <w:tl2br w:val="nil"/>
              <w:tr2bl w:val="nil"/>
            </w:tcBorders>
            <w:vAlign w:val="center"/>
          </w:tcPr>
          <w:p w14:paraId="1A89221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124.947906</w:t>
            </w:r>
            <w:r>
              <w:rPr>
                <w:rFonts w:hint="eastAsia"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，45.973918</w:t>
            </w:r>
          </w:p>
        </w:tc>
        <w:tc>
          <w:tcPr>
            <w:tcW w:w="1733" w:type="dxa"/>
            <w:vMerge w:val="restart"/>
            <w:tcBorders>
              <w:tl2br w:val="nil"/>
              <w:tr2bl w:val="nil"/>
            </w:tcBorders>
            <w:vAlign w:val="center"/>
          </w:tcPr>
          <w:p w14:paraId="05AFE88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石油类、</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0"/>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0"/>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）、砷、六价铬</w:t>
            </w:r>
          </w:p>
        </w:tc>
        <w:tc>
          <w:tcPr>
            <w:tcW w:w="1080" w:type="dxa"/>
            <w:vMerge w:val="restart"/>
            <w:tcBorders>
              <w:tl2br w:val="nil"/>
              <w:tr2bl w:val="nil"/>
            </w:tcBorders>
            <w:vAlign w:val="center"/>
          </w:tcPr>
          <w:p w14:paraId="604377E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1次/5年</w:t>
            </w:r>
          </w:p>
        </w:tc>
      </w:tr>
      <w:tr w14:paraId="76D57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8" w:type="dxa"/>
            <w:tcBorders>
              <w:tl2br w:val="nil"/>
              <w:tr2bl w:val="nil"/>
            </w:tcBorders>
            <w:vAlign w:val="center"/>
          </w:tcPr>
          <w:p w14:paraId="1D47B50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3196" w:type="dxa"/>
            <w:tcBorders>
              <w:tl2br w:val="nil"/>
              <w:tr2bl w:val="nil"/>
            </w:tcBorders>
            <w:vAlign w:val="center"/>
          </w:tcPr>
          <w:p w14:paraId="7B074B67">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芳3转油站外输油管道</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外</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西侧</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30m</w:t>
            </w:r>
            <w:r>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处</w:t>
            </w:r>
            <w:r>
              <w:rPr>
                <w:rFonts w:hint="default"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t>表层土壤</w:t>
            </w:r>
          </w:p>
        </w:tc>
        <w:tc>
          <w:tcPr>
            <w:tcW w:w="2641" w:type="dxa"/>
            <w:tcBorders>
              <w:tl2br w:val="nil"/>
              <w:tr2bl w:val="nil"/>
            </w:tcBorders>
            <w:vAlign w:val="center"/>
          </w:tcPr>
          <w:p w14:paraId="6C8BB8EF">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124.947617</w:t>
            </w:r>
            <w:r>
              <w:rPr>
                <w:rFonts w:hint="eastAsia" w:ascii="Times New Roman" w:hAnsi="Times New Roman" w:eastAsia="宋体" w:cs="Times New Roman"/>
                <w:color w:val="000000" w:themeColor="text1"/>
                <w:spacing w:val="-1"/>
                <w:kern w:val="2"/>
                <w:sz w:val="21"/>
                <w:szCs w:val="21"/>
                <w:highlight w:val="none"/>
                <w:lang w:val="en-US" w:eastAsia="zh-CN" w:bidi="ar-SA"/>
                <w14:textFill>
                  <w14:solidFill>
                    <w14:schemeClr w14:val="tx1"/>
                  </w14:solidFill>
                </w14:textFill>
              </w:rPr>
              <w:t>，45.973903</w:t>
            </w:r>
          </w:p>
        </w:tc>
        <w:tc>
          <w:tcPr>
            <w:tcW w:w="1733" w:type="dxa"/>
            <w:vMerge w:val="continue"/>
            <w:tcBorders>
              <w:tl2br w:val="nil"/>
              <w:tr2bl w:val="nil"/>
            </w:tcBorders>
            <w:vAlign w:val="center"/>
          </w:tcPr>
          <w:p w14:paraId="6842A31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0" w:type="dxa"/>
            <w:vMerge w:val="continue"/>
            <w:tcBorders>
              <w:tl2br w:val="nil"/>
              <w:tr2bl w:val="nil"/>
            </w:tcBorders>
            <w:vAlign w:val="center"/>
          </w:tcPr>
          <w:p w14:paraId="47254BA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42212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8" w:type="dxa"/>
            <w:tcBorders>
              <w:tl2br w:val="nil"/>
              <w:tr2bl w:val="nil"/>
            </w:tcBorders>
            <w:vAlign w:val="center"/>
          </w:tcPr>
          <w:p w14:paraId="05ACD17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3196" w:type="dxa"/>
            <w:tcBorders>
              <w:tl2br w:val="nil"/>
              <w:tr2bl w:val="nil"/>
            </w:tcBorders>
            <w:vAlign w:val="center"/>
          </w:tcPr>
          <w:p w14:paraId="33BD8417">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升1-2集油阀组间1环集油管线表层土壤</w:t>
            </w:r>
          </w:p>
        </w:tc>
        <w:tc>
          <w:tcPr>
            <w:tcW w:w="2641" w:type="dxa"/>
            <w:tcBorders>
              <w:tl2br w:val="nil"/>
              <w:tr2bl w:val="nil"/>
            </w:tcBorders>
            <w:vAlign w:val="center"/>
          </w:tcPr>
          <w:p w14:paraId="2956A032">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125.274803</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，46.177497</w:t>
            </w:r>
          </w:p>
        </w:tc>
        <w:tc>
          <w:tcPr>
            <w:tcW w:w="1733" w:type="dxa"/>
            <w:vMerge w:val="continue"/>
            <w:tcBorders>
              <w:tl2br w:val="nil"/>
              <w:tr2bl w:val="nil"/>
            </w:tcBorders>
            <w:vAlign w:val="center"/>
          </w:tcPr>
          <w:p w14:paraId="430B422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0" w:type="dxa"/>
            <w:vMerge w:val="continue"/>
            <w:tcBorders>
              <w:tl2br w:val="nil"/>
              <w:tr2bl w:val="nil"/>
            </w:tcBorders>
            <w:vAlign w:val="center"/>
          </w:tcPr>
          <w:p w14:paraId="6A504A3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14:paraId="25369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8" w:type="dxa"/>
            <w:tcBorders>
              <w:tl2br w:val="nil"/>
              <w:tr2bl w:val="nil"/>
            </w:tcBorders>
            <w:vAlign w:val="center"/>
          </w:tcPr>
          <w:p w14:paraId="7EC0341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3196" w:type="dxa"/>
            <w:tcBorders>
              <w:tl2br w:val="nil"/>
              <w:tr2bl w:val="nil"/>
            </w:tcBorders>
            <w:vAlign w:val="center"/>
          </w:tcPr>
          <w:p w14:paraId="1F83B382">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升1-2集油阀组间1环集油管线外西侧30m表层土壤</w:t>
            </w:r>
          </w:p>
        </w:tc>
        <w:tc>
          <w:tcPr>
            <w:tcW w:w="2641" w:type="dxa"/>
            <w:tcBorders>
              <w:tl2br w:val="nil"/>
              <w:tr2bl w:val="nil"/>
            </w:tcBorders>
            <w:vAlign w:val="center"/>
          </w:tcPr>
          <w:p w14:paraId="001727E6">
            <w:pPr>
              <w:keepNext w:val="0"/>
              <w:keepLines w:val="0"/>
              <w:pageBreakBefore w:val="0"/>
              <w:widowControl w:val="0"/>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125.274460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，46.177438</w:t>
            </w:r>
          </w:p>
        </w:tc>
        <w:tc>
          <w:tcPr>
            <w:tcW w:w="1733" w:type="dxa"/>
            <w:vMerge w:val="continue"/>
            <w:tcBorders>
              <w:tl2br w:val="nil"/>
              <w:tr2bl w:val="nil"/>
            </w:tcBorders>
            <w:vAlign w:val="center"/>
          </w:tcPr>
          <w:p w14:paraId="190D3EE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80" w:type="dxa"/>
            <w:vMerge w:val="continue"/>
            <w:tcBorders>
              <w:tl2br w:val="nil"/>
              <w:tr2bl w:val="nil"/>
            </w:tcBorders>
            <w:vAlign w:val="center"/>
          </w:tcPr>
          <w:p w14:paraId="2FB53E9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bl>
    <w:p w14:paraId="526A6B6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上述监测结果应按项目有关规定及时建立档案，并定期向建设单位安全环保部门汇报，对于常规监测数据应该进行公开，特别是对项目所在区域的公众进行公开，满足法律中关于知情权的要求。</w:t>
      </w:r>
    </w:p>
    <w:p w14:paraId="195DBBE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（4）应急响应措施</w:t>
      </w:r>
    </w:p>
    <w:p w14:paraId="340E2BA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一旦发现土壤污染事故，立即采取应急措施控制土壤污染，并使污染得到有效治理。</w:t>
      </w:r>
    </w:p>
    <w:p w14:paraId="2E2F36C4">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6.</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7.3退役期土壤</w:t>
      </w:r>
      <w:r>
        <w:rPr>
          <w:rFonts w:hint="default" w:ascii="Times New Roman" w:hAnsi="Times New Roman" w:eastAsia="宋体" w:cs="Times New Roman"/>
          <w:b/>
          <w:color w:val="000000" w:themeColor="text1"/>
          <w:kern w:val="2"/>
          <w:sz w:val="28"/>
          <w:szCs w:val="32"/>
          <w:highlight w:val="none"/>
          <w14:textFill>
            <w14:solidFill>
              <w14:schemeClr w14:val="tx1"/>
            </w14:solidFill>
          </w14:textFill>
        </w:rPr>
        <w:t>环境保护措施</w:t>
      </w:r>
    </w:p>
    <w:p w14:paraId="47B596C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退役期应按照《污染地块土壤环境管理办法（试行</w:t>
      </w:r>
      <w:r>
        <w:rPr>
          <w:rFonts w:hint="eastAsia"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8"/>
          <w:highlight w:val="none"/>
          <w:lang w:val="en-US" w:eastAsia="zh-CN" w:bidi="ar-SA"/>
          <w14:textFill>
            <w14:solidFill>
              <w14:schemeClr w14:val="tx1"/>
            </w14:solidFill>
          </w14:textFill>
        </w:rPr>
        <w:t>》的有关规定，开展土壤环境调查及风险评估，并按照相关管理规定对污染地块采取治理与修复措施</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17E0E7C4">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27" w:name="_Toc17289"/>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6.8环境风险防治措施</w:t>
      </w:r>
      <w:bookmarkEnd w:id="127"/>
    </w:p>
    <w:p w14:paraId="277D4FF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6.8.1施工期风险防范措施</w:t>
      </w:r>
    </w:p>
    <w:p w14:paraId="4E92C64C">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管道接头采用一次成型涂料新技术，使用寿命可达</w:t>
      </w:r>
      <w:r>
        <w:rPr>
          <w:rFonts w:hint="default" w:ascii="Times New Roman" w:hAnsi="Times New Roman" w:cs="Times New Roman"/>
          <w:color w:val="000000" w:themeColor="text1"/>
          <w:highlight w:val="none"/>
          <w:lang w:val="en-US" w:eastAsia="zh-CN"/>
          <w14:textFill>
            <w14:solidFill>
              <w14:schemeClr w14:val="tx1"/>
            </w14:solidFill>
          </w14:textFill>
        </w:rPr>
        <w:t>30</w:t>
      </w:r>
      <w:r>
        <w:rPr>
          <w:rFonts w:hint="default" w:ascii="Times New Roman" w:hAnsi="Times New Roman" w:cs="Times New Roman"/>
          <w:color w:val="000000" w:themeColor="text1"/>
          <w:highlight w:val="none"/>
          <w14:textFill>
            <w14:solidFill>
              <w14:schemeClr w14:val="tx1"/>
            </w14:solidFill>
          </w14:textFill>
        </w:rPr>
        <w:t>年以上，并采用技术上成熟可靠的强制电流阴极保护法</w:t>
      </w:r>
      <w:r>
        <w:rPr>
          <w:rFonts w:hint="default" w:ascii="Times New Roman" w:hAnsi="Times New Roman" w:cs="Times New Roman"/>
          <w:color w:val="000000" w:themeColor="text1"/>
          <w:highlight w:val="none"/>
          <w:lang w:eastAsia="zh-CN"/>
          <w14:textFill>
            <w14:solidFill>
              <w14:schemeClr w14:val="tx1"/>
            </w14:solidFill>
          </w14:textFill>
        </w:rPr>
        <w:t>。</w:t>
      </w:r>
    </w:p>
    <w:p w14:paraId="4355213F">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eastAsia="zh-CN"/>
          <w14:textFill>
            <w14:solidFill>
              <w14:schemeClr w14:val="tx1"/>
            </w14:solidFill>
          </w14:textFill>
        </w:rPr>
        <w:t>集</w:t>
      </w:r>
      <w:r>
        <w:rPr>
          <w:rFonts w:hint="eastAsia" w:ascii="Times New Roman" w:hAnsi="Times New Roman" w:cs="Times New Roman"/>
          <w:color w:val="000000" w:themeColor="text1"/>
          <w:highlight w:val="none"/>
          <w:lang w:val="en-US" w:eastAsia="zh-CN"/>
          <w14:textFill>
            <w14:solidFill>
              <w14:schemeClr w14:val="tx1"/>
            </w14:solidFill>
          </w14:textFill>
        </w:rPr>
        <w:t>输</w:t>
      </w:r>
      <w:r>
        <w:rPr>
          <w:rFonts w:hint="eastAsia" w:ascii="Times New Roman" w:hAnsi="Times New Roman"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采用内缠胶带硬质聚氨酯泡沫夹克管</w:t>
      </w:r>
      <w:r>
        <w:rPr>
          <w:rFonts w:hint="default" w:ascii="Times New Roman" w:hAnsi="Times New Roman" w:cs="Times New Roman"/>
          <w:color w:val="000000" w:themeColor="text1"/>
          <w:highlight w:val="none"/>
          <w:lang w:eastAsia="zh-CN"/>
          <w14:textFill>
            <w14:solidFill>
              <w14:schemeClr w14:val="tx1"/>
            </w14:solidFill>
          </w14:textFill>
        </w:rPr>
        <w:t>。</w:t>
      </w:r>
    </w:p>
    <w:p w14:paraId="57F9E3F5">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定期检测集输防腐及腐蚀情况，及时维修或更新</w:t>
      </w:r>
      <w:r>
        <w:rPr>
          <w:rFonts w:hint="default" w:ascii="Times New Roman" w:hAnsi="Times New Roman" w:cs="Times New Roman"/>
          <w:color w:val="000000" w:themeColor="text1"/>
          <w:highlight w:val="none"/>
          <w:lang w:eastAsia="zh-CN"/>
          <w14:textFill>
            <w14:solidFill>
              <w14:schemeClr w14:val="tx1"/>
            </w14:solidFill>
          </w14:textFill>
        </w:rPr>
        <w:t>。</w:t>
      </w:r>
    </w:p>
    <w:p w14:paraId="4CCE7DE8">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在施工过程中，加强监理，确保焊接和涂层等施工质量</w:t>
      </w:r>
      <w:r>
        <w:rPr>
          <w:rFonts w:hint="default" w:ascii="Times New Roman" w:hAnsi="Times New Roman" w:cs="Times New Roman"/>
          <w:color w:val="000000" w:themeColor="text1"/>
          <w:highlight w:val="none"/>
          <w:lang w:eastAsia="zh-CN"/>
          <w14:textFill>
            <w14:solidFill>
              <w14:schemeClr w14:val="tx1"/>
            </w14:solidFill>
          </w14:textFill>
        </w:rPr>
        <w:t>。</w:t>
      </w:r>
    </w:p>
    <w:p w14:paraId="02A5430E">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建立施工质量保证体系，提高施工检验人员的水平，强化检验手段；制定严格的规章制度，发现缺陷，及时正确修补并做好记录</w:t>
      </w:r>
      <w:r>
        <w:rPr>
          <w:rFonts w:hint="default" w:ascii="Times New Roman" w:hAnsi="Times New Roman" w:cs="Times New Roman"/>
          <w:color w:val="000000" w:themeColor="text1"/>
          <w:highlight w:val="none"/>
          <w:lang w:eastAsia="zh-CN"/>
          <w14:textFill>
            <w14:solidFill>
              <w14:schemeClr w14:val="tx1"/>
            </w14:solidFill>
          </w14:textFill>
        </w:rPr>
        <w:t>。</w:t>
      </w:r>
    </w:p>
    <w:p w14:paraId="48FDB97C">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进行水压试验，排除焊缝和母材的缺陷，增加管道的安全性。</w:t>
      </w:r>
    </w:p>
    <w:p w14:paraId="4E21CCAC">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为避免施工改造期间可能存在受原有管线破损渗漏以及管线切割原油滴落因素影响污染的土壤。在施工期，对旧管道切割处下方铺设防渗布，防止因通球扫线残留的原油滴落直接污染土壤，在采取上述措施后，不会发生原油滴落污染土壤的情况发生。</w:t>
      </w:r>
    </w:p>
    <w:p w14:paraId="70C43714">
      <w:pPr>
        <w:pStyle w:val="37"/>
        <w:keepNext w:val="0"/>
        <w:keepLines w:val="0"/>
        <w:pageBreakBefore w:val="0"/>
        <w:widowControl w:val="0"/>
        <w:kinsoku/>
        <w:wordWrap/>
        <w:topLinePunct w:val="0"/>
        <w:bidi w:val="0"/>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8.若因操作失误或者防渗布破损，导致施工过程中出现土壤污染，</w:t>
      </w:r>
      <w:r>
        <w:rPr>
          <w:rFonts w:hint="default" w:ascii="Times New Roman" w:hAnsi="Times New Roman" w:cs="Times New Roman"/>
          <w:color w:val="000000" w:themeColor="text1"/>
          <w:highlight w:val="none"/>
          <w:lang w:eastAsia="zh-CN"/>
          <w14:textFill>
            <w14:solidFill>
              <w14:schemeClr w14:val="tx1"/>
            </w14:solidFill>
          </w14:textFill>
        </w:rPr>
        <w:t>对被泄漏原油污染的土壤清理干净后送葡萄花含油污泥处理站进行处理</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p>
    <w:p w14:paraId="437F06FE">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6.8.2运营期风险防范措施</w:t>
      </w:r>
    </w:p>
    <w:p w14:paraId="25CF478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运营期风险主要是原油、</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天然气</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集输管道的泄漏风险防范措施。</w:t>
      </w:r>
    </w:p>
    <w:p w14:paraId="19D77A9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按规定进行设备维修、保养，及时更换易损及老化部件，防止</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原油、</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天然气泄漏事故的发生。</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在工程投产运行前，应制定出正常、异常或紧急状态下的操作手册和维修手册，并对操作、维修人员进行培训，持证上岗，避免因操作失误导致事故发生。</w:t>
      </w:r>
    </w:p>
    <w:p w14:paraId="763F38D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在系统运行期间，定期对管线进行检查，对壁厚低于规定要求的管段应及时更换，消除爆管的隐患</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定期对管线上的安全保护设施，如截断阀、安全阀、放空系统等进行检查，使管道在超压时能够得到安全处理，在管道破裂时能够及时截断上下游管段，以减少事故时油气的释放量，使危害影响范围减小到最低程度。</w:t>
      </w:r>
    </w:p>
    <w:p w14:paraId="6A6A01A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加强管线的巡检，并定期进行管道的检修或更换。优化管道巡检人员技术水平，细化巡检范围和职责，确保巡检通讯畅通，在及时发现管道事故隐患的同时能够迅速采取措施减少或避免事故隐患发生。</w:t>
      </w:r>
    </w:p>
    <w:p w14:paraId="14588B3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加强</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原油、</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天然气</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集输</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管线压力输送系统的自动化管理</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严格控制压力平衡。</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发现管道压力不正常时，第一时间进行排查，避免发生原油、天然气泄漏事故发生</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p>
    <w:p w14:paraId="5F2B88A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加强油田保卫工作，保证油田各种生产设施安全运行，减少、避免第三方破坏事故的发生。</w:t>
      </w:r>
    </w:p>
    <w:p w14:paraId="3539C1C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对</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原油、天然气集输</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管道进行阴极保护，采用强制电流保护进行永久阴极保护、牺牲阳极法进行临时阴极保护的方法。</w:t>
      </w:r>
    </w:p>
    <w:p w14:paraId="48B4EC29">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配备防渗布、铁锹、镐等应急工具和设备，巡检发现油水泄漏时，找出泄漏点，在周围铺上防渗布，四周用土围好，防止污油、污水扩散。然后，组织人员抢修，抢修结束后，清理现场，避免造成环境污染。</w:t>
      </w:r>
    </w:p>
    <w:p w14:paraId="6EFBE9CD">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大庆油田有限责任公司第八采油厂</w:t>
      </w:r>
      <w:r>
        <w:rPr>
          <w:rFonts w:hint="default" w:ascii="Times New Roman" w:hAnsi="Times New Roman" w:cs="Times New Roman"/>
          <w:color w:val="000000" w:themeColor="text1"/>
          <w:highlight w:val="none"/>
          <w:lang w:val="en-US" w:eastAsia="zh-CN"/>
          <w14:textFill>
            <w14:solidFill>
              <w14:schemeClr w14:val="tx1"/>
            </w14:solidFill>
          </w14:textFill>
        </w:rPr>
        <w:t>环境突发事件专项应急预案》，</w:t>
      </w:r>
      <w:r>
        <w:rPr>
          <w:rFonts w:hint="eastAsia" w:ascii="Times New Roman" w:hAnsi="Times New Roman" w:cs="Times New Roman"/>
          <w:color w:val="000000" w:themeColor="text1"/>
          <w:highlight w:val="none"/>
          <w:lang w:val="en-US" w:eastAsia="zh-CN"/>
          <w14:textFill>
            <w14:solidFill>
              <w14:schemeClr w14:val="tx1"/>
            </w14:solidFill>
          </w14:textFill>
        </w:rPr>
        <w:t>已于</w:t>
      </w:r>
      <w:r>
        <w:rPr>
          <w:rFonts w:hint="default" w:ascii="Times New Roman" w:hAnsi="Times New Roman" w:cs="Times New Roman"/>
          <w:color w:val="000000" w:themeColor="text1"/>
          <w:highlight w:val="none"/>
          <w:lang w:val="en-US" w:eastAsia="zh-CN"/>
          <w14:textFill>
            <w14:solidFill>
              <w14:schemeClr w14:val="tx1"/>
            </w14:solidFill>
          </w14:textFill>
        </w:rPr>
        <w:t>2023年6月13日在大庆市大同生态环境局更新备案，备案编号230606-2023-10-M。</w:t>
      </w:r>
    </w:p>
    <w:p w14:paraId="08662CCF">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eastAsia" w:ascii="Times New Roman" w:hAnsi="Times New Roman" w:cs="Times New Roman"/>
          <w:color w:val="000000" w:themeColor="text1"/>
          <w:highlight w:val="none"/>
          <w:lang w:eastAsia="zh-CN"/>
          <w14:textFill>
            <w14:solidFill>
              <w14:schemeClr w14:val="tx1"/>
            </w14:solidFill>
          </w14:textFill>
        </w:rPr>
        <w:t>第八采油厂</w:t>
      </w:r>
      <w:r>
        <w:rPr>
          <w:rFonts w:hint="default" w:ascii="Times New Roman" w:hAnsi="Times New Roman" w:cs="Times New Roman"/>
          <w:color w:val="000000" w:themeColor="text1"/>
          <w:highlight w:val="none"/>
          <w:lang w:eastAsia="zh-CN"/>
          <w14:textFill>
            <w14:solidFill>
              <w14:schemeClr w14:val="tx1"/>
            </w14:solidFill>
          </w14:textFill>
        </w:rPr>
        <w:t>应根据项目具体环境风险情况编制相应的现场处置方案，并与《</w:t>
      </w:r>
      <w:r>
        <w:rPr>
          <w:rFonts w:hint="eastAsia" w:ascii="Times New Roman" w:hAnsi="Times New Roman" w:cs="Times New Roman"/>
          <w:color w:val="000000" w:themeColor="text1"/>
          <w:highlight w:val="none"/>
          <w:lang w:eastAsia="zh-CN"/>
          <w14:textFill>
            <w14:solidFill>
              <w14:schemeClr w14:val="tx1"/>
            </w14:solidFill>
          </w14:textFill>
        </w:rPr>
        <w:t>第八采油厂</w:t>
      </w:r>
      <w:r>
        <w:rPr>
          <w:rFonts w:hint="default" w:ascii="Times New Roman" w:hAnsi="Times New Roman" w:cs="Times New Roman"/>
          <w:color w:val="000000" w:themeColor="text1"/>
          <w:highlight w:val="none"/>
          <w:lang w:eastAsia="zh-CN"/>
          <w14:textFill>
            <w14:solidFill>
              <w14:schemeClr w14:val="tx1"/>
            </w14:solidFill>
          </w14:textFill>
        </w:rPr>
        <w:t>突发环境事件专项应急预案》形成联动机制，定期进行应急演练。</w:t>
      </w:r>
    </w:p>
    <w:p w14:paraId="62CC7D44">
      <w:pPr>
        <w:pStyle w:val="37"/>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8"/>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发生</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原油、</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天然气泄漏后，立即停止</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集输工作</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业，对泄漏点周围的居民进行人员疏散，并设立警戒区，随事故发展情况及时扩大范围</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通知调度室关闭进/出配套管线的阀组。组织专家及技术人员，开展事故分析，查找事故原因，如是地面设施失效，则开展堵漏及</w:t>
      </w:r>
      <w:r>
        <w:rPr>
          <w:rFonts w:hint="eastAsia" w:ascii="Times New Roman" w:hAnsi="Times New Roman" w:eastAsia="宋体" w:cs="Times New Roman"/>
          <w:color w:val="000000" w:themeColor="text1"/>
          <w:sz w:val="24"/>
          <w:szCs w:val="28"/>
          <w:highlight w:val="none"/>
          <w:lang w:val="en-US" w:eastAsia="zh-CN" w:bidi="ar-SA"/>
          <w14:textFill>
            <w14:solidFill>
              <w14:schemeClr w14:val="tx1"/>
            </w14:solidFill>
          </w14:textFill>
        </w:rPr>
        <w:t>抢修维修</w:t>
      </w:r>
      <w:r>
        <w:rPr>
          <w:rFonts w:hint="default" w:ascii="Times New Roman" w:hAnsi="Times New Roman" w:eastAsia="宋体" w:cs="Times New Roman"/>
          <w:color w:val="000000" w:themeColor="text1"/>
          <w:sz w:val="24"/>
          <w:szCs w:val="28"/>
          <w:highlight w:val="none"/>
          <w:lang w:val="en-US" w:eastAsia="zh-CN" w:bidi="ar-SA"/>
          <w14:textFill>
            <w14:solidFill>
              <w14:schemeClr w14:val="tx1"/>
            </w14:solidFill>
          </w14:textFill>
        </w:rPr>
        <w:t>作业。</w:t>
      </w:r>
    </w:p>
    <w:p w14:paraId="5164F3EF">
      <w:pPr>
        <w:pStyle w:val="37"/>
        <w:keepNext w:val="0"/>
        <w:keepLines w:val="0"/>
        <w:pageBreakBefore w:val="0"/>
        <w:widowControl w:val="0"/>
        <w:kinsoku/>
        <w:wordWrap/>
        <w:topLinePunct w:val="0"/>
        <w:bidi w:val="0"/>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于本次产能建设采用常规工艺，油气集输和污染治理工艺成熟、可靠，由前述分析可知以上提出的各项环境保护措施是切实有效的，同时工程对油田生产全过程采取环境保护管理措施和技术措施，有效的预防和减缓本次产能建设可能带来的不良环境影响</w:t>
      </w:r>
      <w:r>
        <w:rPr>
          <w:rFonts w:hint="default" w:ascii="Times New Roman" w:hAnsi="Times New Roman" w:cs="Times New Roman"/>
          <w:color w:val="000000" w:themeColor="text1"/>
          <w:highlight w:val="none"/>
          <w:lang w:eastAsia="zh-CN"/>
          <w14:textFill>
            <w14:solidFill>
              <w14:schemeClr w14:val="tx1"/>
            </w14:solidFill>
          </w14:textFill>
        </w:rPr>
        <w:t>。</w:t>
      </w:r>
    </w:p>
    <w:p w14:paraId="3840F573">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6.8.3</w:t>
      </w:r>
      <w:r>
        <w:rPr>
          <w:rFonts w:hint="default" w:ascii="Times New Roman" w:hAnsi="Times New Roman" w:eastAsia="宋体" w:cs="Times New Roman"/>
          <w:b/>
          <w:color w:val="000000" w:themeColor="text1"/>
          <w:sz w:val="28"/>
          <w:szCs w:val="28"/>
          <w:highlight w:val="none"/>
          <w14:textFill>
            <w14:solidFill>
              <w14:schemeClr w14:val="tx1"/>
            </w14:solidFill>
          </w14:textFill>
        </w:rPr>
        <w:t>突发环境事件应急预案</w:t>
      </w:r>
    </w:p>
    <w:p w14:paraId="087D1969">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6.8.3.1突发环境事件应急预案适用范围</w:t>
      </w:r>
    </w:p>
    <w:p w14:paraId="7EB0DF1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制定有《</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环境突发事件专项应急预案》，主要包括应急组织机构及职责明确、监测与预警、应急处置与应急响应、恢复与重建、应急保障与培训等内容，</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并在2023年6月进行备案，备案编号230621-2023-010-L（具体见附件3）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。预案中的内容包含</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在内的突发性环境污染事件处理的组织机构、应急救援信息报送、应急救援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响应</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及处置等内容。</w:t>
      </w:r>
    </w:p>
    <w:p w14:paraId="59A536A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环境突发事件专项应急预案》根据环境突发事件的发生过程、性质和机理，将</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环境突发事件主要风险分为五类，分别为：原油泄漏污染、污水泄漏污染、给排水系统泄漏污染、天然气泄漏污染和施工时发生井喷造成污油、污水排放污染。适用范围为</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所发生的一级（Ⅰ级）环境突发事件的应急救援工作，作为指导</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所属各单位相关应急预案编制依据。</w:t>
      </w:r>
    </w:p>
    <w:p w14:paraId="0FD68DF4">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6.8.3.2突发环境事件应急预案机构和职责</w:t>
      </w:r>
    </w:p>
    <w:p w14:paraId="6336319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专项应急预案》内容包括风险分析与事件分级、组织机构及职责、预防与预警、应急响应、应急保障、附则等。发生环境突发事件后，事发单位主要负责人应当按照本单位应急预案程序，立即组织人员进行处置、救援，并立即上报厂应急值班室，由厂应急值班室报告厂环境突发事件应急办公室。厂环境突发事件应急办公室接到信息后，及时厂环境突发事件应急领导小组报告，厂环境突发事件应急领导小组报请厂应急领导小组同意后，启动并实施</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《环境突发事件专项应急预案》。应急组织机构见图6.8-1。</w:t>
      </w:r>
    </w:p>
    <w:p w14:paraId="3A3B8095">
      <w:pPr>
        <w:keepNext w:val="0"/>
        <w:keepLines w:val="0"/>
        <w:pageBreakBefore w:val="0"/>
        <w:widowControl w:val="0"/>
        <w:kinsoku/>
        <w:wordWrap/>
        <w:topLinePunct w:val="0"/>
        <w:bidi w:val="0"/>
        <w:adjustRightInd/>
        <w:snapToGrid/>
        <w:spacing w:after="0" w:line="360" w:lineRule="auto"/>
        <w:jc w:val="cente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drawing>
          <wp:inline distT="0" distB="0" distL="0" distR="0">
            <wp:extent cx="5376545" cy="3751580"/>
            <wp:effectExtent l="0" t="0" r="1460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cstate="print"/>
                    <a:srcRect t="3011" b="4439"/>
                    <a:stretch>
                      <a:fillRect/>
                    </a:stretch>
                  </pic:blipFill>
                  <pic:spPr>
                    <a:xfrm>
                      <a:off x="0" y="0"/>
                      <a:ext cx="5376545" cy="3751580"/>
                    </a:xfrm>
                    <a:prstGeom prst="rect">
                      <a:avLst/>
                    </a:prstGeom>
                  </pic:spPr>
                </pic:pic>
              </a:graphicData>
            </a:graphic>
          </wp:inline>
        </w:drawing>
      </w:r>
    </w:p>
    <w:p w14:paraId="161565CB">
      <w:pPr>
        <w:keepNext w:val="0"/>
        <w:keepLines w:val="0"/>
        <w:pageBreakBefore w:val="0"/>
        <w:widowControl w:val="0"/>
        <w:kinsoku/>
        <w:wordWrap/>
        <w:topLinePunct w:val="0"/>
        <w:bidi w:val="0"/>
        <w:adjustRightInd/>
        <w:snapToGrid/>
        <w:spacing w:after="0" w:line="360" w:lineRule="auto"/>
        <w:ind w:firstLine="482" w:firstLineChars="200"/>
        <w:jc w:val="cente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b/>
          <w:snapToGrid w:val="0"/>
          <w:color w:val="000000" w:themeColor="text1"/>
          <w:kern w:val="2"/>
          <w:sz w:val="24"/>
          <w:szCs w:val="24"/>
          <w:highlight w:val="none"/>
          <w:lang w:val="en-US" w:eastAsia="zh-CN" w:bidi="ar-SA"/>
          <w14:textFill>
            <w14:solidFill>
              <w14:schemeClr w14:val="tx1"/>
            </w14:solidFill>
          </w14:textFill>
        </w:rPr>
        <w:t>图6.8-1应急组织机构</w:t>
      </w:r>
    </w:p>
    <w:p w14:paraId="35D2C03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（1）环境突发事件应急领导小组</w:t>
      </w:r>
    </w:p>
    <w:p w14:paraId="433CF51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组长：厂长</w:t>
      </w:r>
    </w:p>
    <w:p w14:paraId="32105FC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副组长：主管副厂长、安全副总监</w:t>
      </w:r>
    </w:p>
    <w:p w14:paraId="5FDD5FD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成员：生产运行部主任、质量安全环保部主任、油田管理部主任、财务资产部主任、基矿建中心主任、计划规划部主任、规划设计所所长、物资供应站站长、保卫大队大队长</w:t>
      </w:r>
    </w:p>
    <w:p w14:paraId="7039F3B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环境突发事件应急办公室</w:t>
      </w:r>
    </w:p>
    <w:p w14:paraId="45C44BC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主任：质量安全环保部主任</w:t>
      </w:r>
    </w:p>
    <w:p w14:paraId="7EE725A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副主任：安全环境监督检测中心主任</w:t>
      </w:r>
    </w:p>
    <w:p w14:paraId="6FEE18A6">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成员：质量安全环保部和安全环境监督检测中心有关人员</w:t>
      </w:r>
    </w:p>
    <w:p w14:paraId="554A2FF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环境突发事件应急值班室由厂调度室承担，负责24小时应急值班工作。</w:t>
      </w:r>
    </w:p>
    <w:p w14:paraId="59AFE17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环境突发事件应急工作组</w:t>
      </w:r>
    </w:p>
    <w:p w14:paraId="7DCC4EC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组长：安全环境监督检测中心主任</w:t>
      </w:r>
    </w:p>
    <w:p w14:paraId="4CE93E4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成员：安全环境监督检测中心有关人员</w:t>
      </w:r>
    </w:p>
    <w:p w14:paraId="79F725FF">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bookmarkStart w:id="128" w:name="_Toc373135783"/>
      <w:bookmarkStart w:id="129" w:name="_Toc223834490"/>
      <w:bookmarkStart w:id="130" w:name="_Toc293041214"/>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（2）职责</w:t>
      </w:r>
      <w:bookmarkEnd w:id="128"/>
      <w:bookmarkEnd w:id="129"/>
      <w:bookmarkEnd w:id="130"/>
    </w:p>
    <w:p w14:paraId="38B0707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环境突发事件应急领导小组</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p>
    <w:p w14:paraId="734856F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①负责全面领导和协调厂环境突发事件应急救援工作。</w:t>
      </w:r>
    </w:p>
    <w:p w14:paraId="23AC0BF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②负责指挥厂所属单位环境污染事件处置工作。</w:t>
      </w:r>
    </w:p>
    <w:p w14:paraId="4EC6659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③负责与地方政府相关部门的协调工作。</w:t>
      </w:r>
    </w:p>
    <w:p w14:paraId="564D5E1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环境突发事件应急办公室</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p>
    <w:p w14:paraId="058AE802">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①负责传达和执行厂应急领导小组的各项指令，协调事件现场有关工作。</w:t>
      </w:r>
    </w:p>
    <w:p w14:paraId="0482613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②负责收集有关环境污染事件信息并及时上报。</w:t>
      </w:r>
    </w:p>
    <w:p w14:paraId="319618D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③负责组织环境污染事件的应急监测。</w:t>
      </w:r>
    </w:p>
    <w:p w14:paraId="1CD3CCC4">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④负责编写、修订环境突发事件应急预案。</w:t>
      </w:r>
    </w:p>
    <w:p w14:paraId="3636B65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⑤负责监督检查所属单位突发环境事件应急预案的制定、演练。</w:t>
      </w:r>
    </w:p>
    <w:p w14:paraId="0826D56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环境突发事件应急值班室：</w:t>
      </w:r>
    </w:p>
    <w:p w14:paraId="135865F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①负责24小时值班，处理应急信息。</w:t>
      </w:r>
    </w:p>
    <w:p w14:paraId="164B58C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②应急信息共享网络，配置无线、有线通讯等通信网络。</w:t>
      </w:r>
    </w:p>
    <w:p w14:paraId="25A6CA4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③通知各应急工作组及时赶赴现场。</w:t>
      </w:r>
    </w:p>
    <w:p w14:paraId="30BA12B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④应急过程中，保持与现场指挥部联络，随时掌握现场状况。</w:t>
      </w:r>
    </w:p>
    <w:p w14:paraId="5DAF9C2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环境突发事件应急工作组:</w:t>
      </w:r>
    </w:p>
    <w:p w14:paraId="37CF5FF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各综合工作组按照厂总体应急预案规定的职责执行。突发环境事件工作组即为综合工作组中的环保组。</w:t>
      </w:r>
    </w:p>
    <w:p w14:paraId="7A06BA2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pPr>
      <w:bookmarkStart w:id="131" w:name="_Toc373135812"/>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（3）</w:t>
      </w:r>
      <w:bookmarkEnd w:id="131"/>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根据应急组织机构，设置环境突发事件应急领导小组、环境突发事件应急办公室及环境突发事件应急工作组等，具体分工见表6.8-1。</w:t>
      </w:r>
    </w:p>
    <w:p w14:paraId="6B1F5C8F">
      <w:pPr>
        <w:keepNext w:val="0"/>
        <w:keepLines w:val="0"/>
        <w:pageBreakBefore w:val="0"/>
        <w:widowControl/>
        <w:kinsoku/>
        <w:wordWrap/>
        <w:overflowPunct/>
        <w:topLinePunct w:val="0"/>
        <w:autoSpaceDE/>
        <w:autoSpaceDN/>
        <w:bidi w:val="0"/>
        <w:adjustRightInd w:val="0"/>
        <w:snapToGrid w:val="0"/>
        <w:spacing w:after="0" w:line="240" w:lineRule="auto"/>
        <w:ind w:firstLine="482" w:firstLineChars="200"/>
        <w:jc w:val="center"/>
        <w:textAlignment w:val="auto"/>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表6.8-1 </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应急组织、职责分工表</w:t>
      </w:r>
    </w:p>
    <w:tbl>
      <w:tblPr>
        <w:tblStyle w:val="18"/>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7733"/>
      </w:tblGrid>
      <w:tr w14:paraId="2F536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64D9478A">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组成</w:t>
            </w:r>
          </w:p>
        </w:tc>
        <w:tc>
          <w:tcPr>
            <w:tcW w:w="7733" w:type="dxa"/>
            <w:tcBorders>
              <w:tl2br w:val="nil"/>
              <w:tr2bl w:val="nil"/>
            </w:tcBorders>
            <w:vAlign w:val="center"/>
          </w:tcPr>
          <w:p w14:paraId="26E73767">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职责</w:t>
            </w:r>
          </w:p>
        </w:tc>
      </w:tr>
      <w:tr w14:paraId="1E69D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52492E12">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应急领导</w:t>
            </w:r>
          </w:p>
          <w:p w14:paraId="6C7F597E">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小组</w:t>
            </w:r>
          </w:p>
        </w:tc>
        <w:tc>
          <w:tcPr>
            <w:tcW w:w="7733" w:type="dxa"/>
            <w:tcBorders>
              <w:tl2br w:val="nil"/>
              <w:tr2bl w:val="nil"/>
            </w:tcBorders>
            <w:vAlign w:val="center"/>
          </w:tcPr>
          <w:p w14:paraId="7B7C6793">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负责本单位应急预案的制定、修订；组建应急救援专业队伍，并组织实施和演练；检查督促做好重大事故的预防措施和应急救援的各项准备工作；发生事故时，由</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大庆油田有限责任公司第八采油厂</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发布和解除应急救援命令、信号；组织指挥救援队伍实施救援行动；向上级汇报和向友邻单位通报事故情况，必要时向有关单位发出救援请求；组织事故调查，总结应急救援工作经验教训。</w:t>
            </w:r>
          </w:p>
        </w:tc>
      </w:tr>
      <w:tr w14:paraId="74556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685BEB91">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应急抢修组</w:t>
            </w:r>
          </w:p>
        </w:tc>
        <w:tc>
          <w:tcPr>
            <w:tcW w:w="7733" w:type="dxa"/>
            <w:tcBorders>
              <w:tl2br w:val="nil"/>
              <w:tr2bl w:val="nil"/>
            </w:tcBorders>
            <w:vAlign w:val="center"/>
          </w:tcPr>
          <w:p w14:paraId="199D19DE">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负责环境污染事故时抢修和事故紧急处理。</w:t>
            </w:r>
          </w:p>
        </w:tc>
      </w:tr>
      <w:tr w14:paraId="50D1F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55A39D01">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消防组</w:t>
            </w:r>
          </w:p>
        </w:tc>
        <w:tc>
          <w:tcPr>
            <w:tcW w:w="7733" w:type="dxa"/>
            <w:tcBorders>
              <w:tl2br w:val="nil"/>
              <w:tr2bl w:val="nil"/>
            </w:tcBorders>
            <w:vAlign w:val="center"/>
          </w:tcPr>
          <w:p w14:paraId="56FDD380">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担负或配合专业消防队伍完成灭火、洗消和抢救伤员任务。</w:t>
            </w:r>
          </w:p>
        </w:tc>
      </w:tr>
      <w:tr w14:paraId="1F1AA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07AF2D9D">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通讯组</w:t>
            </w:r>
          </w:p>
        </w:tc>
        <w:tc>
          <w:tcPr>
            <w:tcW w:w="7733" w:type="dxa"/>
            <w:tcBorders>
              <w:tl2br w:val="nil"/>
              <w:tr2bl w:val="nil"/>
            </w:tcBorders>
            <w:vAlign w:val="center"/>
          </w:tcPr>
          <w:p w14:paraId="061DD2F4">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负责各专业小组的联络工作。</w:t>
            </w:r>
          </w:p>
        </w:tc>
      </w:tr>
      <w:tr w14:paraId="79B28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78FDBF0F">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物资供应组</w:t>
            </w:r>
          </w:p>
        </w:tc>
        <w:tc>
          <w:tcPr>
            <w:tcW w:w="7733" w:type="dxa"/>
            <w:tcBorders>
              <w:tl2br w:val="nil"/>
              <w:tr2bl w:val="nil"/>
            </w:tcBorders>
            <w:vAlign w:val="center"/>
          </w:tcPr>
          <w:p w14:paraId="5523539E">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负责抢险物资的组织、运输、分配。</w:t>
            </w:r>
          </w:p>
        </w:tc>
      </w:tr>
      <w:tr w14:paraId="02490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63AFF31A">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医疗队</w:t>
            </w:r>
          </w:p>
        </w:tc>
        <w:tc>
          <w:tcPr>
            <w:tcW w:w="7733" w:type="dxa"/>
            <w:tcBorders>
              <w:tl2br w:val="nil"/>
              <w:tr2bl w:val="nil"/>
            </w:tcBorders>
            <w:vAlign w:val="center"/>
          </w:tcPr>
          <w:p w14:paraId="43719A48">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负责伤员的救护。</w:t>
            </w:r>
          </w:p>
        </w:tc>
      </w:tr>
      <w:tr w14:paraId="25D3A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1BF41FDA">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治安队</w:t>
            </w:r>
          </w:p>
        </w:tc>
        <w:tc>
          <w:tcPr>
            <w:tcW w:w="7733" w:type="dxa"/>
            <w:tcBorders>
              <w:tl2br w:val="nil"/>
              <w:tr2bl w:val="nil"/>
            </w:tcBorders>
            <w:vAlign w:val="center"/>
          </w:tcPr>
          <w:p w14:paraId="6AD80302">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担负或配合相关的政府部门进行现场治安，警戒，群众疏散。</w:t>
            </w:r>
          </w:p>
        </w:tc>
      </w:tr>
      <w:tr w14:paraId="3E7FF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8" w:type="dxa"/>
            <w:tcBorders>
              <w:tl2br w:val="nil"/>
              <w:tr2bl w:val="nil"/>
            </w:tcBorders>
            <w:vAlign w:val="center"/>
          </w:tcPr>
          <w:p w14:paraId="15782468">
            <w:pPr>
              <w:widowControl w:val="0"/>
              <w:bidi w:val="0"/>
              <w:adjustRightInd w:val="0"/>
              <w:snapToGrid w:val="0"/>
              <w:spacing w:before="60" w:beforeAutospacing="1" w:after="0" w:afterAutospacing="1" w:line="240" w:lineRule="auto"/>
              <w:ind w:firstLine="0" w:firstLineChars="0"/>
              <w:jc w:val="center"/>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应急监测组</w:t>
            </w:r>
          </w:p>
        </w:tc>
        <w:tc>
          <w:tcPr>
            <w:tcW w:w="7733" w:type="dxa"/>
            <w:tcBorders>
              <w:tl2br w:val="nil"/>
              <w:tr2bl w:val="nil"/>
            </w:tcBorders>
            <w:vAlign w:val="center"/>
          </w:tcPr>
          <w:p w14:paraId="4467BA8C">
            <w:pPr>
              <w:widowControl w:val="0"/>
              <w:bidi w:val="0"/>
              <w:adjustRightInd w:val="0"/>
              <w:snapToGrid w:val="0"/>
              <w:spacing w:before="60" w:beforeAutospacing="1" w:after="0" w:afterAutospacing="1" w:line="240" w:lineRule="auto"/>
              <w:ind w:firstLine="420" w:firstLineChars="200"/>
              <w:jc w:val="both"/>
              <w:outlineLvl w:val="9"/>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 xml:space="preserve">负责突发环境事件中及事件发生后的环境影响监测。 </w:t>
            </w:r>
          </w:p>
        </w:tc>
      </w:tr>
    </w:tbl>
    <w:p w14:paraId="009789B3">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本项目应结合现有的《</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环境突发事件专项应急预案》，采取相应环境风险防范措施。项目施工及运营所带来的环境风险可防可控，但是工程建设和运行仍然存在发生风险事故的可能性，建议建设单位应充分重视项目潜在的环境风险，定期开展环境风险评估工作，对重点风险部位、风险源、风险保护目标开展评估，为项目平稳建设和运行保驾护航，此外，应结合现阶段已有突发环境事件应急预案要求，开展相应的预案修编工作，将本项目纳入现有突发环境事件应急预案体系内进行管理。</w:t>
      </w:r>
    </w:p>
    <w:p w14:paraId="0ED9BF2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6.8.3.3突发环境事件应急联动及防控措施</w:t>
      </w:r>
    </w:p>
    <w:p w14:paraId="7987AEE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本工程位于已建区块内，可以纳入</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油田原有应急体系内，不需对本工程提出新的应急预案，发生风险事故时按已建立的事故风险应急预案执行，在执行应急预案的同时，要加强区域应急联动体系，发生事故必要时可直接</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向</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邻近企业、单位和政府部门、消防队、</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生态环境局</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、安全生产监督管理局和市政府报告，申请</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救援</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并要求周围企业单位启动应急计划。该应急预案需补充内容如下：</w:t>
      </w:r>
    </w:p>
    <w:p w14:paraId="5E23375C">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（1）依托大庆油田公司监测机构建立事故应急监测机制，及时进行事故环境影响监测。</w:t>
      </w:r>
    </w:p>
    <w:p w14:paraId="46EC031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（2）环境监测内容</w:t>
      </w:r>
    </w:p>
    <w:p w14:paraId="566180F4">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本项目发生污染事故时，对环境的影响主要是对生态（包括土壤、植被）、水环境、大气环境的影响，应急监测主要是这几方面的内容。</w:t>
      </w:r>
    </w:p>
    <w:p w14:paraId="2FBD572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①生态方面：对事故现场及周围区域的植物、土壤进行危害监测，并在事故后不定期的对生态环境的恢复状况进行监测。</w:t>
      </w:r>
    </w:p>
    <w:p w14:paraId="5475087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②大气环境：应对事故全过程（发生时，控制时和事故后）进行监测，特别应对事故发生地附近的敏感区域进行大气监测。</w:t>
      </w:r>
    </w:p>
    <w:p w14:paraId="016C70A9">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③水环境：应对事故全过程（发生时，控制时和事故后）所影响的地表水环境和地下水环境进行监测。</w:t>
      </w:r>
    </w:p>
    <w:p w14:paraId="7487704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④土壤环境：应对事故全过程（发生时，控制时和事故后）进行监测，特别应对事故发生地附近的敏感区域进行土壤监测。</w:t>
      </w:r>
    </w:p>
    <w:p w14:paraId="53C36C4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⑤负责单位要根据监测结果编制事故污染报告，确定事故影响范围，为制定治理措施提供依据。</w:t>
      </w:r>
    </w:p>
    <w:p w14:paraId="342D5F8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（3）泄漏污染物处置去向</w:t>
      </w:r>
    </w:p>
    <w:p w14:paraId="2858927A">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区块内一旦发生泄漏事故，泄漏的含油污水在通过设立围堰，应急泵抽至密闭罐车拉运至</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处理；泄漏点的含油污泥</w:t>
      </w:r>
      <w:r>
        <w:rPr>
          <w:rStyle w:val="54"/>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经宋芳屯含油污泥处理站减量化处理后，委托大庆市庆兴环保科技有限公司处理</w:t>
      </w:r>
      <w:r>
        <w:rPr>
          <w:rStyle w:val="54"/>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，处理后污泥含油量满足《油田含油污泥处置与利用污染控制要求》（DB23/3104-2022）标准限值（石油类≤3000mg/kg）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991B597">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（4）突发环境事件应急预案修订</w:t>
      </w:r>
    </w:p>
    <w:p w14:paraId="456E65FD">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根据《企业事业单位突发环境事件应急预案备案管理办法（试行）》（环发</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2015</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4号），环境应急预案每3年至少修订一次，因此</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及大庆油田有限责任公司应按期对环境应急预案进行修订，并及时将本工程纳入预案系统内。</w:t>
      </w:r>
    </w:p>
    <w:p w14:paraId="252B6241">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按照环境突发事件严重性、紧急程度和可能波及的范围，由项目主管安全环保负责人将环境突发事件应急领导小组上报厂应急领导小组，请求发布预警，同意后厂应急管理办公室发布预警信息，进行预警工作部署。</w:t>
      </w:r>
    </w:p>
    <w:p w14:paraId="653C5C1B">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立即宣布进入应急响应状态。转移、撤离或者疏散可能受到危害的人员，并进行妥善安置。指令应急救援队伍进入应急状态，环境监测部门立即开展应急监测，随时掌握并报告事态进展情况。针对环境突发事件可能造成的危害，封闭、隔离或者限制使用有关场所，中止可能导致危害扩大的行为和活动。调集所需物资和设备，确保应急保障工作。</w:t>
      </w:r>
    </w:p>
    <w:p w14:paraId="333E23A0">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现场指挥部负责组织群众的安全防护工作，确定群众疏散的方式，在事发地安全边界以外，设立紧急避难场所。厂安全环境监督检测中心负责本项目环境突</w:t>
      </w:r>
      <w:r>
        <w:rPr>
          <w:rFonts w:hint="default"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t>发事件区域环境应急监测工作。根据监测结果，综合分析环境突发事件污染变化趋势，并通过专家咨询和讨论的方式，预测并报告环境突发事件的发展情况和污</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染物的变化情况，作为环境突发事件应急决策的依据。</w:t>
      </w:r>
    </w:p>
    <w:p w14:paraId="1FD6F9D5">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事件得到控制后，在确保现场人员安全的情况下，应立即组织恢复生产和现场清理工作，直至彻底消除事件对环境造成的不良影响。</w:t>
      </w:r>
    </w:p>
    <w:p w14:paraId="30DC592E">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厂所属单位应配备充足的环境污染事件应急装备，对</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宋芳屯排水沟</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应配置围油栏、撇油器等应急装备，定期对抢险资源进行检查，确保抢险设施始终保持可用状态。</w:t>
      </w:r>
    </w:p>
    <w:p w14:paraId="17CE6878">
      <w:pPr>
        <w:keepNext w:val="0"/>
        <w:keepLines w:val="0"/>
        <w:pageBreakBefore w:val="0"/>
        <w:widowControl w:val="0"/>
        <w:kinsoku/>
        <w:wordWrap/>
        <w:topLinePunct w:val="0"/>
        <w:bidi w:val="0"/>
        <w:adjustRightInd/>
        <w:snapToGrid/>
        <w:spacing w:after="0" w:line="360" w:lineRule="auto"/>
        <w:ind w:firstLine="480" w:firstLineChars="200"/>
        <w:jc w:val="both"/>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本项目环境突发事件专项应急预案应与《</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第八采油厂</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环境突发事件专项应急预案》、大庆油田有限责任公司的《</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企业事业单位突发环境事件应急预案</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》实施联动，形成层次分明有效连接的统一的应急预案系统。</w:t>
      </w:r>
    </w:p>
    <w:p w14:paraId="1BC6CC69">
      <w:pPr>
        <w:keepNext w:val="0"/>
        <w:keepLines w:val="0"/>
        <w:pageBreakBefore w:val="0"/>
        <w:widowControl w:val="0"/>
        <w:kinsoku/>
        <w:wordWrap/>
        <w:topLinePunct w:val="0"/>
        <w:bidi w:val="0"/>
        <w:spacing w:after="0" w:line="360" w:lineRule="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sectPr>
          <w:pgSz w:w="11906" w:h="16838"/>
          <w:pgMar w:top="1417" w:right="1417" w:bottom="1417" w:left="1417" w:header="850" w:footer="1077" w:gutter="0"/>
          <w:pgBorders>
            <w:top w:val="none" w:sz="0" w:space="0"/>
            <w:left w:val="none" w:sz="0" w:space="0"/>
            <w:bottom w:val="none" w:sz="0" w:space="0"/>
            <w:right w:val="none" w:sz="0" w:space="0"/>
          </w:pgBorders>
          <w:pgNumType w:fmt="decimal"/>
          <w:cols w:space="708" w:num="1"/>
          <w:docGrid w:linePitch="360" w:charSpace="0"/>
        </w:sectPr>
      </w:pPr>
    </w:p>
    <w:p w14:paraId="226532BB">
      <w:pPr>
        <w:keepNext w:val="0"/>
        <w:keepLines w:val="0"/>
        <w:pageBreakBefore w:val="0"/>
        <w:widowControl w:val="0"/>
        <w:tabs>
          <w:tab w:val="center" w:pos="4394"/>
          <w:tab w:val="left" w:pos="5484"/>
        </w:tabs>
        <w:kinsoku/>
        <w:wordWrap/>
        <w:overflowPunct/>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132" w:name="_Toc27648"/>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七</w:t>
      </w:r>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环境影响经济损益分析</w:t>
      </w:r>
      <w:bookmarkEnd w:id="132"/>
    </w:p>
    <w:p w14:paraId="129AA7AE">
      <w:pPr>
        <w:pStyle w:val="36"/>
        <w:keepNext w:val="0"/>
        <w:keepLines w:val="0"/>
        <w:pageBreakBefore w:val="0"/>
        <w:widowControl w:val="0"/>
        <w:kinsoku/>
        <w:wordWrap/>
        <w:overflowPunct/>
        <w:topLinePunct w:val="0"/>
        <w:autoSpaceDE/>
        <w:autoSpaceDN/>
        <w:bidi w:val="0"/>
        <w:spacing w:after="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油田产能项目的开发建设，除对所在区域的经济发展起着促进作用外，也在一定程度上影响着项目拟建地区环境的变化。通过对拟建项目的经济和环境效益分析，对项目建设的合理性进行分析。</w:t>
      </w:r>
    </w:p>
    <w:p w14:paraId="7D642103">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33" w:name="_Toc25328"/>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7.1环境损失费估算</w:t>
      </w:r>
      <w:bookmarkEnd w:id="133"/>
    </w:p>
    <w:p w14:paraId="3A3D0A5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油田开发过程中，由于管道铺设，需要占用一定面积土地，而且由此产生的污染物对周围环境也会造成一定污染，因此引起的环境损失费往往很难直接用经济价值来计算，因此，我们采用植被损失费来估算。</w:t>
      </w:r>
    </w:p>
    <w:p w14:paraId="2F33090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本项目临时占用耕地面积为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12.12hm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。耕地农作物为玉米，农作物当年粮食产量全部损失，第二、三年产量将下降20%-40%，随后恢复正常产量，农作物单位面积产量以玉米计，按7.5t/hm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计算，三年间临时占地总共损失粮食产量为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163</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t，价格按照1500元/t计，则临时占用耕地损失</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24.5</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万元。</w:t>
      </w:r>
    </w:p>
    <w:p w14:paraId="4757C295">
      <w:pPr>
        <w:pStyle w:val="34"/>
        <w:keepNext w:val="0"/>
        <w:keepLines w:val="0"/>
        <w:pageBreakBefore w:val="0"/>
        <w:widowControl w:val="0"/>
        <w:kinsoku/>
        <w:wordWrap/>
        <w:overflowPunct/>
        <w:topLinePunct w:val="0"/>
        <w:autoSpaceDE/>
        <w:autoSpaceDN/>
        <w:bidi w:val="0"/>
        <w:spacing w:after="0"/>
        <w:ind w:firstLine="480"/>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临时占用草地面积为</w:t>
      </w:r>
      <w:r>
        <w:rPr>
          <w:rFonts w:hint="eastAsia" w:cs="Times New Roman"/>
          <w:snapToGrid/>
          <w:color w:val="000000" w:themeColor="text1"/>
          <w:kern w:val="2"/>
          <w:sz w:val="24"/>
          <w:szCs w:val="24"/>
          <w:highlight w:val="none"/>
          <w:lang w:val="en-US" w:eastAsia="zh-CN" w:bidi="ar-SA"/>
          <w14:textFill>
            <w14:solidFill>
              <w14:schemeClr w14:val="tx1"/>
            </w14:solidFill>
          </w14:textFill>
        </w:rPr>
        <w:t>12.56hm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损失草量按1125kg/hm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计算，3年后可恢复原貌，共损失草量为</w:t>
      </w:r>
      <w:r>
        <w:rPr>
          <w:rFonts w:hint="eastAsia" w:cs="Times New Roman"/>
          <w:color w:val="000000" w:themeColor="text1"/>
          <w:sz w:val="24"/>
          <w:szCs w:val="24"/>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价格按照700元/t计，则临时占用草地损失</w:t>
      </w:r>
      <w:r>
        <w:rPr>
          <w:rFonts w:hint="eastAsia" w:cs="Times New Roman"/>
          <w:snapToGrid/>
          <w:color w:val="000000" w:themeColor="text1"/>
          <w:kern w:val="2"/>
          <w:sz w:val="24"/>
          <w:szCs w:val="24"/>
          <w:highlight w:val="none"/>
          <w:lang w:val="en-US" w:eastAsia="zh-CN" w:bidi="ar-SA"/>
          <w14:textFill>
            <w14:solidFill>
              <w14:schemeClr w14:val="tx1"/>
            </w14:solidFill>
          </w14:textFill>
        </w:rPr>
        <w:t>2.9</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万元。</w:t>
      </w:r>
    </w:p>
    <w:p w14:paraId="1B830C8B">
      <w:pPr>
        <w:pStyle w:val="34"/>
        <w:keepNext w:val="0"/>
        <w:keepLines w:val="0"/>
        <w:pageBreakBefore w:val="0"/>
        <w:widowControl w:val="0"/>
        <w:kinsoku/>
        <w:wordWrap/>
        <w:overflowPunct/>
        <w:topLinePunct w:val="0"/>
        <w:autoSpaceDE/>
        <w:autoSpaceDN/>
        <w:bidi w:val="0"/>
        <w:spacing w:after="0"/>
        <w:ind w:firstLine="480"/>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项目</w:t>
      </w:r>
      <w:r>
        <w:rPr>
          <w:rFonts w:hint="eastAsia"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临时</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占用林地</w:t>
      </w:r>
      <w:r>
        <w:rPr>
          <w:rFonts w:hint="eastAsia" w:cs="Times New Roman"/>
          <w:snapToGrid/>
          <w:color w:val="000000" w:themeColor="text1"/>
          <w:kern w:val="2"/>
          <w:sz w:val="24"/>
          <w:szCs w:val="24"/>
          <w:highlight w:val="none"/>
          <w:vertAlign w:val="baseline"/>
          <w:lang w:val="en-US" w:eastAsia="zh-CN" w:bidi="ar-SA"/>
          <w14:textFill>
            <w14:solidFill>
              <w14:schemeClr w14:val="tx1"/>
            </w14:solidFill>
          </w14:textFill>
        </w:rPr>
        <w:t>0.1hm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，主要为杨树，植被恢复费用按照10</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元/m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，则林地植被恢复费</w:t>
      </w:r>
      <w:r>
        <w:rPr>
          <w:rFonts w:hint="eastAsia" w:cs="Times New Roman"/>
          <w:snapToGrid/>
          <w:color w:val="000000" w:themeColor="text1"/>
          <w:kern w:val="2"/>
          <w:sz w:val="24"/>
          <w:szCs w:val="24"/>
          <w:highlight w:val="none"/>
          <w:vertAlign w:val="baseline"/>
          <w:lang w:val="en-US" w:eastAsia="zh-CN" w:bidi="ar-SA"/>
          <w14:textFill>
            <w14:solidFill>
              <w14:schemeClr w14:val="tx1"/>
            </w14:solidFill>
          </w14:textFill>
        </w:rPr>
        <w:t>1</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万元。</w:t>
      </w:r>
    </w:p>
    <w:p w14:paraId="792DED47">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34" w:name="_Toc26706"/>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7.2环保投资估算及环境效益分析</w:t>
      </w:r>
      <w:bookmarkEnd w:id="134"/>
    </w:p>
    <w:p w14:paraId="5D6F9309">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本项目总投资</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925.42万元</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其中施工期环保投资为（本项目直接投资）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57.2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万元，运营期环保投资为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万元，退役期环保投资为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万元，总环保投资为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70.7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万元，环保投资占总投资的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7.64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根据本项目建设方案的地面投资估算数据，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本项目施工期</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环保投资见表7.</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环保投资见表7.</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退役期</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环保投资见表7.</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30E78DF7">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表7.2-1</w:t>
      </w:r>
      <w:r>
        <w:rPr>
          <w:rFonts w:hint="eastAsia"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本项目施工期环保投资一览表单位：万元</w:t>
      </w:r>
    </w:p>
    <w:tbl>
      <w:tblPr>
        <w:tblStyle w:val="4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710"/>
        <w:gridCol w:w="5310"/>
        <w:gridCol w:w="705"/>
        <w:gridCol w:w="1112"/>
      </w:tblGrid>
      <w:tr w14:paraId="7C6AE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0" w:type="pct"/>
            <w:gridSpan w:val="2"/>
            <w:tcBorders>
              <w:tl2br w:val="nil"/>
              <w:tr2bl w:val="nil"/>
            </w:tcBorders>
            <w:vAlign w:val="center"/>
          </w:tcPr>
          <w:p w14:paraId="0B0E72F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环保工程名称</w:t>
            </w:r>
          </w:p>
        </w:tc>
        <w:tc>
          <w:tcPr>
            <w:tcW w:w="2860" w:type="pct"/>
            <w:tcBorders>
              <w:tl2br w:val="nil"/>
              <w:tr2bl w:val="nil"/>
            </w:tcBorders>
            <w:vAlign w:val="center"/>
          </w:tcPr>
          <w:p w14:paraId="36D19CE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环保措施</w:t>
            </w:r>
          </w:p>
        </w:tc>
        <w:tc>
          <w:tcPr>
            <w:tcW w:w="379" w:type="pct"/>
            <w:tcBorders>
              <w:tl2br w:val="nil"/>
              <w:tr2bl w:val="nil"/>
            </w:tcBorders>
            <w:vAlign w:val="center"/>
          </w:tcPr>
          <w:p w14:paraId="0E5D337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投资</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估算</w:t>
            </w:r>
          </w:p>
        </w:tc>
        <w:tc>
          <w:tcPr>
            <w:tcW w:w="599" w:type="pct"/>
            <w:tcBorders>
              <w:tl2br w:val="nil"/>
              <w:tr2bl w:val="nil"/>
            </w:tcBorders>
            <w:vAlign w:val="center"/>
          </w:tcPr>
          <w:p w14:paraId="310B6EF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备注</w:t>
            </w:r>
          </w:p>
        </w:tc>
      </w:tr>
      <w:tr w14:paraId="0414A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39" w:type="pct"/>
            <w:tcBorders>
              <w:tl2br w:val="nil"/>
              <w:tr2bl w:val="nil"/>
            </w:tcBorders>
            <w:vAlign w:val="center"/>
          </w:tcPr>
          <w:p w14:paraId="697D896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废气</w:t>
            </w:r>
          </w:p>
        </w:tc>
        <w:tc>
          <w:tcPr>
            <w:tcW w:w="921" w:type="pct"/>
            <w:tcBorders>
              <w:tl2br w:val="nil"/>
              <w:tr2bl w:val="nil"/>
            </w:tcBorders>
            <w:vAlign w:val="center"/>
          </w:tcPr>
          <w:p w14:paraId="3EB0565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施工扬尘</w:t>
            </w:r>
          </w:p>
        </w:tc>
        <w:tc>
          <w:tcPr>
            <w:tcW w:w="2860" w:type="pct"/>
            <w:tcBorders>
              <w:tl2br w:val="nil"/>
              <w:tr2bl w:val="nil"/>
            </w:tcBorders>
            <w:vAlign w:val="center"/>
          </w:tcPr>
          <w:p w14:paraId="2938997C">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施工场地</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洒水抑尘，表土及建材堆放设置挡风板、上覆遮盖材料，施工运输车辆采取密闭措施或加盖防尘布。</w:t>
            </w:r>
          </w:p>
        </w:tc>
        <w:tc>
          <w:tcPr>
            <w:tcW w:w="379" w:type="pct"/>
            <w:tcBorders>
              <w:tl2br w:val="nil"/>
              <w:tr2bl w:val="nil"/>
            </w:tcBorders>
            <w:vAlign w:val="center"/>
          </w:tcPr>
          <w:p w14:paraId="07A9305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599" w:type="pct"/>
            <w:tcBorders>
              <w:tl2br w:val="nil"/>
              <w:tr2bl w:val="nil"/>
            </w:tcBorders>
            <w:vAlign w:val="center"/>
          </w:tcPr>
          <w:p w14:paraId="7FC03E29">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2ED44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vMerge w:val="restart"/>
            <w:tcBorders>
              <w:tl2br w:val="nil"/>
              <w:tr2bl w:val="nil"/>
            </w:tcBorders>
            <w:vAlign w:val="center"/>
          </w:tcPr>
          <w:p w14:paraId="2515559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w:t>
            </w:r>
          </w:p>
        </w:tc>
        <w:tc>
          <w:tcPr>
            <w:tcW w:w="921" w:type="pct"/>
            <w:tcBorders>
              <w:tl2br w:val="nil"/>
              <w:tr2bl w:val="nil"/>
            </w:tcBorders>
            <w:vAlign w:val="center"/>
          </w:tcPr>
          <w:p w14:paraId="1878FDA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废弃管道清管废水、新建管道试压废水</w:t>
            </w:r>
          </w:p>
        </w:tc>
        <w:tc>
          <w:tcPr>
            <w:tcW w:w="2860" w:type="pct"/>
            <w:tcBorders>
              <w:tl2br w:val="nil"/>
              <w:tr2bl w:val="nil"/>
            </w:tcBorders>
            <w:vAlign w:val="center"/>
          </w:tcPr>
          <w:p w14:paraId="440C759C">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收集后由罐车拉运至</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处理。</w:t>
            </w:r>
          </w:p>
        </w:tc>
        <w:tc>
          <w:tcPr>
            <w:tcW w:w="379" w:type="pct"/>
            <w:tcBorders>
              <w:tl2br w:val="nil"/>
              <w:tr2bl w:val="nil"/>
            </w:tcBorders>
            <w:vAlign w:val="center"/>
          </w:tcPr>
          <w:p w14:paraId="523B1E1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1.5</w:t>
            </w:r>
          </w:p>
        </w:tc>
        <w:tc>
          <w:tcPr>
            <w:tcW w:w="599" w:type="pct"/>
            <w:tcBorders>
              <w:tl2br w:val="nil"/>
              <w:tr2bl w:val="nil"/>
            </w:tcBorders>
            <w:vAlign w:val="center"/>
          </w:tcPr>
          <w:p w14:paraId="1EA48AE9">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7DF32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 w:type="pct"/>
            <w:vMerge w:val="continue"/>
            <w:tcBorders>
              <w:tl2br w:val="nil"/>
              <w:tr2bl w:val="nil"/>
            </w:tcBorders>
            <w:vAlign w:val="center"/>
          </w:tcPr>
          <w:p w14:paraId="0C7A5DE3">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21" w:type="pct"/>
            <w:tcBorders>
              <w:tl2br w:val="nil"/>
              <w:tr2bl w:val="nil"/>
            </w:tcBorders>
            <w:vAlign w:val="center"/>
          </w:tcPr>
          <w:p w14:paraId="723B031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生活污水</w:t>
            </w:r>
          </w:p>
        </w:tc>
        <w:tc>
          <w:tcPr>
            <w:tcW w:w="2860" w:type="pct"/>
            <w:tcBorders>
              <w:tl2br w:val="nil"/>
              <w:tr2bl w:val="nil"/>
            </w:tcBorders>
            <w:vAlign w:val="center"/>
          </w:tcPr>
          <w:p w14:paraId="2C72525D">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57.6t排入附近芳407-6集油阀组间、升1-2集油阀组间、升1-6集油阀组间等已建防渗旱厕</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用罐车抽排至高平4号污水站，排入大庆市净源环保科技有限公司处理达标后排放。</w:t>
            </w:r>
          </w:p>
        </w:tc>
        <w:tc>
          <w:tcPr>
            <w:tcW w:w="379" w:type="pct"/>
            <w:tcBorders>
              <w:tl2br w:val="nil"/>
              <w:tr2bl w:val="nil"/>
            </w:tcBorders>
            <w:vAlign w:val="center"/>
          </w:tcPr>
          <w:p w14:paraId="45C6B5E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599" w:type="pct"/>
            <w:tcBorders>
              <w:tl2br w:val="nil"/>
              <w:tr2bl w:val="nil"/>
            </w:tcBorders>
            <w:vAlign w:val="center"/>
          </w:tcPr>
          <w:p w14:paraId="32B7681C">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均为已建设施无新增费用。</w:t>
            </w:r>
          </w:p>
        </w:tc>
      </w:tr>
      <w:tr w14:paraId="1697B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39" w:type="pct"/>
            <w:tcBorders>
              <w:tl2br w:val="nil"/>
              <w:tr2bl w:val="nil"/>
            </w:tcBorders>
            <w:vAlign w:val="center"/>
          </w:tcPr>
          <w:p w14:paraId="608190F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地下水</w:t>
            </w:r>
          </w:p>
        </w:tc>
        <w:tc>
          <w:tcPr>
            <w:tcW w:w="921" w:type="pct"/>
            <w:tcBorders>
              <w:tl2br w:val="nil"/>
              <w:tr2bl w:val="nil"/>
            </w:tcBorders>
            <w:vAlign w:val="center"/>
          </w:tcPr>
          <w:p w14:paraId="3B5BF3D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地下水</w:t>
            </w:r>
          </w:p>
          <w:p w14:paraId="53BB6F6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分区防渗</w:t>
            </w:r>
          </w:p>
        </w:tc>
        <w:tc>
          <w:tcPr>
            <w:tcW w:w="2860" w:type="pct"/>
            <w:tcBorders>
              <w:tl2br w:val="nil"/>
              <w:tr2bl w:val="nil"/>
            </w:tcBorders>
            <w:vAlign w:val="center"/>
          </w:tcPr>
          <w:p w14:paraId="317D89EA">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地下集输管道采用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内缠胶带硬质聚氨酯泡沫夹克管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，设计壁厚的腐蚀余量</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大于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3mm，</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管道的连接方式采用焊接</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p>
        </w:tc>
        <w:tc>
          <w:tcPr>
            <w:tcW w:w="379" w:type="pct"/>
            <w:tcBorders>
              <w:tl2br w:val="nil"/>
              <w:tr2bl w:val="nil"/>
            </w:tcBorders>
            <w:vAlign w:val="center"/>
          </w:tcPr>
          <w:p w14:paraId="02ECE78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599" w:type="pct"/>
            <w:tcBorders>
              <w:tl2br w:val="nil"/>
              <w:tr2bl w:val="nil"/>
            </w:tcBorders>
            <w:vAlign w:val="center"/>
          </w:tcPr>
          <w:p w14:paraId="5029DC3A">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6E183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tcBorders>
              <w:tl2br w:val="nil"/>
              <w:tr2bl w:val="nil"/>
            </w:tcBorders>
            <w:vAlign w:val="center"/>
          </w:tcPr>
          <w:p w14:paraId="2D98ECC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噪声</w:t>
            </w:r>
          </w:p>
        </w:tc>
        <w:tc>
          <w:tcPr>
            <w:tcW w:w="921" w:type="pct"/>
            <w:tcBorders>
              <w:tl2br w:val="nil"/>
              <w:tr2bl w:val="nil"/>
            </w:tcBorders>
            <w:vAlign w:val="center"/>
          </w:tcPr>
          <w:p w14:paraId="596A5ED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机械噪声</w:t>
            </w:r>
          </w:p>
        </w:tc>
        <w:tc>
          <w:tcPr>
            <w:tcW w:w="2860" w:type="pct"/>
            <w:tcBorders>
              <w:tl2br w:val="nil"/>
              <w:tr2bl w:val="nil"/>
            </w:tcBorders>
            <w:vAlign w:val="center"/>
          </w:tcPr>
          <w:p w14:paraId="5CAC79BC">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选用低噪声设备，定期维护保养</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距离敏感目标（</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盛广和屯、宋芳屯居住区、散户1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）100m范围内管段施工时，避免在同一地点安排较多的动力机械，同时在朝向村屯的一侧设置移动声屏障</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379" w:type="pct"/>
            <w:tcBorders>
              <w:tl2br w:val="nil"/>
              <w:tr2bl w:val="nil"/>
            </w:tcBorders>
            <w:vAlign w:val="center"/>
          </w:tcPr>
          <w:p w14:paraId="29AC751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c>
          <w:tcPr>
            <w:tcW w:w="599" w:type="pct"/>
            <w:tcBorders>
              <w:tl2br w:val="nil"/>
              <w:tr2bl w:val="nil"/>
            </w:tcBorders>
            <w:vAlign w:val="center"/>
          </w:tcPr>
          <w:p w14:paraId="7AA6A7AB">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672AD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vMerge w:val="restart"/>
            <w:tcBorders>
              <w:tl2br w:val="nil"/>
              <w:tr2bl w:val="nil"/>
            </w:tcBorders>
            <w:vAlign w:val="center"/>
          </w:tcPr>
          <w:p w14:paraId="7D2E169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固体废物</w:t>
            </w:r>
          </w:p>
        </w:tc>
        <w:tc>
          <w:tcPr>
            <w:tcW w:w="921" w:type="pct"/>
            <w:tcBorders>
              <w:tl2br w:val="nil"/>
              <w:tr2bl w:val="nil"/>
            </w:tcBorders>
            <w:vAlign w:val="center"/>
          </w:tcPr>
          <w:p w14:paraId="6B28A51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管道施工废料</w:t>
            </w:r>
          </w:p>
        </w:tc>
        <w:tc>
          <w:tcPr>
            <w:tcW w:w="2860" w:type="pct"/>
            <w:tcBorders>
              <w:tl2br w:val="nil"/>
              <w:tr2bl w:val="nil"/>
            </w:tcBorders>
            <w:vAlign w:val="center"/>
          </w:tcPr>
          <w:p w14:paraId="6FD7885A">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属于工业固废，拉运至</w:t>
            </w: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第八采油厂工业固废填埋场</w:t>
            </w: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处理。</w:t>
            </w:r>
          </w:p>
        </w:tc>
        <w:tc>
          <w:tcPr>
            <w:tcW w:w="379" w:type="pct"/>
            <w:tcBorders>
              <w:tl2br w:val="nil"/>
              <w:tr2bl w:val="nil"/>
            </w:tcBorders>
            <w:vAlign w:val="center"/>
          </w:tcPr>
          <w:p w14:paraId="7587663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599" w:type="pct"/>
            <w:tcBorders>
              <w:tl2br w:val="nil"/>
              <w:tr2bl w:val="nil"/>
            </w:tcBorders>
            <w:vAlign w:val="center"/>
          </w:tcPr>
          <w:p w14:paraId="1F83A22E">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9D18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vMerge w:val="continue"/>
            <w:tcBorders>
              <w:tl2br w:val="nil"/>
              <w:tr2bl w:val="nil"/>
            </w:tcBorders>
            <w:vAlign w:val="center"/>
          </w:tcPr>
          <w:p w14:paraId="075D7D0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921" w:type="pct"/>
            <w:tcBorders>
              <w:tl2br w:val="nil"/>
              <w:tr2bl w:val="nil"/>
            </w:tcBorders>
            <w:vAlign w:val="center"/>
          </w:tcPr>
          <w:p w14:paraId="5033DB8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穿越工程废弃泥浆</w:t>
            </w:r>
          </w:p>
        </w:tc>
        <w:tc>
          <w:tcPr>
            <w:tcW w:w="2860" w:type="pct"/>
            <w:tcBorders>
              <w:tl2br w:val="nil"/>
              <w:tr2bl w:val="nil"/>
            </w:tcBorders>
            <w:vAlign w:val="center"/>
          </w:tcPr>
          <w:p w14:paraId="157C8B36">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经防渗泥浆池沉降后，上清液回收洒水降尘、固体部分用于井排路护坡。</w:t>
            </w:r>
          </w:p>
        </w:tc>
        <w:tc>
          <w:tcPr>
            <w:tcW w:w="379" w:type="pct"/>
            <w:tcBorders>
              <w:tl2br w:val="nil"/>
              <w:tr2bl w:val="nil"/>
            </w:tcBorders>
            <w:vAlign w:val="center"/>
          </w:tcPr>
          <w:p w14:paraId="7FA3260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599" w:type="pct"/>
            <w:tcBorders>
              <w:tl2br w:val="nil"/>
              <w:tr2bl w:val="nil"/>
            </w:tcBorders>
            <w:vAlign w:val="center"/>
          </w:tcPr>
          <w:p w14:paraId="73149413">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08F88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vMerge w:val="continue"/>
            <w:tcBorders>
              <w:tl2br w:val="nil"/>
              <w:tr2bl w:val="nil"/>
            </w:tcBorders>
            <w:vAlign w:val="center"/>
          </w:tcPr>
          <w:p w14:paraId="4677FB3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921" w:type="pct"/>
            <w:tcBorders>
              <w:tl2br w:val="nil"/>
              <w:tr2bl w:val="nil"/>
            </w:tcBorders>
            <w:vAlign w:val="center"/>
          </w:tcPr>
          <w:p w14:paraId="4250A6FA">
            <w:pPr>
              <w:keepNext w:val="0"/>
              <w:keepLines w:val="0"/>
              <w:pageBreakBefore w:val="0"/>
              <w:widowControl w:val="0"/>
              <w:kinsoku/>
              <w:wordWrap/>
              <w:topLinePunct w:val="0"/>
              <w:bidi w:val="0"/>
              <w:adjustRightInd/>
              <w:snapToGrid/>
              <w:spacing w:after="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废旧设备</w:t>
            </w:r>
          </w:p>
        </w:tc>
        <w:tc>
          <w:tcPr>
            <w:tcW w:w="2860" w:type="pct"/>
            <w:tcBorders>
              <w:tl2br w:val="nil"/>
              <w:tr2bl w:val="nil"/>
            </w:tcBorders>
            <w:vAlign w:val="center"/>
          </w:tcPr>
          <w:p w14:paraId="2EA0F26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送至第八采油厂资产库回收</w:t>
            </w: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w:t>
            </w:r>
          </w:p>
        </w:tc>
        <w:tc>
          <w:tcPr>
            <w:tcW w:w="379" w:type="pct"/>
            <w:tcBorders>
              <w:tl2br w:val="nil"/>
              <w:tr2bl w:val="nil"/>
            </w:tcBorders>
            <w:vAlign w:val="center"/>
          </w:tcPr>
          <w:p w14:paraId="30F315B1">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p>
        </w:tc>
        <w:tc>
          <w:tcPr>
            <w:tcW w:w="599" w:type="pct"/>
            <w:tcBorders>
              <w:tl2br w:val="nil"/>
              <w:tr2bl w:val="nil"/>
            </w:tcBorders>
            <w:vAlign w:val="center"/>
          </w:tcPr>
          <w:p w14:paraId="36C0F158">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1E75B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vMerge w:val="continue"/>
            <w:tcBorders>
              <w:tl2br w:val="nil"/>
              <w:tr2bl w:val="nil"/>
            </w:tcBorders>
            <w:vAlign w:val="center"/>
          </w:tcPr>
          <w:p w14:paraId="078188B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921" w:type="pct"/>
            <w:tcBorders>
              <w:tl2br w:val="nil"/>
              <w:tr2bl w:val="nil"/>
            </w:tcBorders>
            <w:vAlign w:val="center"/>
          </w:tcPr>
          <w:p w14:paraId="2BDB922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生活垃圾</w:t>
            </w:r>
          </w:p>
        </w:tc>
        <w:tc>
          <w:tcPr>
            <w:tcW w:w="2860" w:type="pct"/>
            <w:tcBorders>
              <w:tl2br w:val="nil"/>
              <w:tr2bl w:val="nil"/>
            </w:tcBorders>
            <w:vAlign w:val="center"/>
          </w:tcPr>
          <w:p w14:paraId="7ABDE964">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生活垃圾统一收集，拉运至大庆城控电力有限公司焚烧处理</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w:t>
            </w:r>
          </w:p>
        </w:tc>
        <w:tc>
          <w:tcPr>
            <w:tcW w:w="379" w:type="pct"/>
            <w:tcBorders>
              <w:tl2br w:val="nil"/>
              <w:tr2bl w:val="nil"/>
            </w:tcBorders>
            <w:vAlign w:val="center"/>
          </w:tcPr>
          <w:p w14:paraId="4D6D0747">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p>
        </w:tc>
        <w:tc>
          <w:tcPr>
            <w:tcW w:w="599" w:type="pct"/>
            <w:tcBorders>
              <w:tl2br w:val="nil"/>
              <w:tr2bl w:val="nil"/>
            </w:tcBorders>
            <w:vAlign w:val="center"/>
          </w:tcPr>
          <w:p w14:paraId="5F59BCAB">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5AD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9" w:type="pct"/>
            <w:tcBorders>
              <w:tl2br w:val="nil"/>
              <w:tr2bl w:val="nil"/>
            </w:tcBorders>
            <w:vAlign w:val="center"/>
          </w:tcPr>
          <w:p w14:paraId="58F2F0EC">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生态恢复</w:t>
            </w:r>
          </w:p>
        </w:tc>
        <w:tc>
          <w:tcPr>
            <w:tcW w:w="921" w:type="pct"/>
            <w:tcBorders>
              <w:tl2br w:val="nil"/>
              <w:tr2bl w:val="nil"/>
            </w:tcBorders>
            <w:vAlign w:val="center"/>
          </w:tcPr>
          <w:p w14:paraId="633B8ED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临时占地</w:t>
            </w:r>
          </w:p>
        </w:tc>
        <w:tc>
          <w:tcPr>
            <w:tcW w:w="2860" w:type="pct"/>
            <w:tcBorders>
              <w:tl2br w:val="nil"/>
              <w:tr2bl w:val="nil"/>
            </w:tcBorders>
            <w:vAlign w:val="center"/>
          </w:tcPr>
          <w:p w14:paraId="413543CA">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施工期作业带清理、管沟开挖建设对土壤造成扰动和植被的破坏，工程施工均在临时占地内进行施工，并且施工结束后及时清理施工现场</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304F019F">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对</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临时占地</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24.78</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t>（基本农田</w:t>
            </w:r>
            <w:r>
              <w:rPr>
                <w:rFonts w:hint="eastAsia" w:ascii="Times New Roman" w:hAnsi="Times New Roman" w:eastAsia="宋体" w:cs="Times New Roman"/>
                <w:snapToGrid w:val="0"/>
                <w:color w:val="000000" w:themeColor="text1"/>
                <w:kern w:val="2"/>
                <w:sz w:val="21"/>
                <w:szCs w:val="21"/>
                <w:highlight w:val="none"/>
                <w:vertAlign w:val="baseline"/>
                <w:lang w:val="en-US" w:eastAsia="zh-CN" w:bidi="ar-SA"/>
                <w14:textFill>
                  <w14:solidFill>
                    <w14:schemeClr w14:val="tx1"/>
                  </w14:solidFill>
                </w14:textFill>
              </w:rPr>
              <w:t>12.12hm</w:t>
            </w:r>
            <w:r>
              <w:rPr>
                <w:rFonts w:hint="default" w:ascii="Times New Roman" w:hAnsi="Times New Roman" w:eastAsia="宋体" w:cs="Times New Roman"/>
                <w:snapToGrid w:val="0"/>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、非</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基本草原</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12.56</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、林地0.1</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hm</w:t>
            </w:r>
            <w:r>
              <w:rPr>
                <w:rFonts w:hint="default" w:ascii="Times New Roman" w:hAnsi="Times New Roman" w:eastAsia="宋体" w:cs="Times New Roman"/>
                <w:snapToGrid w:val="0"/>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进行植被恢复。</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按照</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大田作物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补偿费用为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1元/m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复垦费用1</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元/m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天然草补偿标准为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0.37</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元/</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林地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植被恢复</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费用按</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元/m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379" w:type="pct"/>
            <w:tcBorders>
              <w:tl2br w:val="nil"/>
              <w:tr2bl w:val="nil"/>
            </w:tcBorders>
            <w:vAlign w:val="center"/>
          </w:tcPr>
          <w:p w14:paraId="39523F5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43.2</w:t>
            </w:r>
          </w:p>
        </w:tc>
        <w:tc>
          <w:tcPr>
            <w:tcW w:w="599" w:type="pct"/>
            <w:tcBorders>
              <w:tl2br w:val="nil"/>
              <w:tr2bl w:val="nil"/>
            </w:tcBorders>
            <w:vAlign w:val="center"/>
          </w:tcPr>
          <w:p w14:paraId="0D056C63">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04C8D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1" w:type="pct"/>
            <w:gridSpan w:val="3"/>
            <w:tcBorders>
              <w:tl2br w:val="nil"/>
              <w:tr2bl w:val="nil"/>
            </w:tcBorders>
            <w:vAlign w:val="center"/>
          </w:tcPr>
          <w:p w14:paraId="5081B22A">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合计</w:t>
            </w:r>
          </w:p>
        </w:tc>
        <w:tc>
          <w:tcPr>
            <w:tcW w:w="978" w:type="pct"/>
            <w:gridSpan w:val="2"/>
            <w:tcBorders>
              <w:tl2br w:val="nil"/>
              <w:tr2bl w:val="nil"/>
            </w:tcBorders>
            <w:vAlign w:val="center"/>
          </w:tcPr>
          <w:p w14:paraId="7F754A93">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57.2</w:t>
            </w:r>
          </w:p>
        </w:tc>
      </w:tr>
    </w:tbl>
    <w:p w14:paraId="0883F18B">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表7.2-2</w:t>
      </w:r>
      <w:r>
        <w:rPr>
          <w:rFonts w:hint="eastAsia"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本项目运营期环保投资一览表单位：万元</w:t>
      </w:r>
    </w:p>
    <w:tbl>
      <w:tblPr>
        <w:tblStyle w:val="4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2"/>
        <w:gridCol w:w="992"/>
        <w:gridCol w:w="6180"/>
        <w:gridCol w:w="674"/>
        <w:gridCol w:w="1053"/>
      </w:tblGrid>
      <w:tr w14:paraId="0C18B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0" w:type="pct"/>
            <w:gridSpan w:val="2"/>
            <w:tcBorders>
              <w:tl2br w:val="nil"/>
              <w:tr2bl w:val="nil"/>
            </w:tcBorders>
            <w:vAlign w:val="center"/>
          </w:tcPr>
          <w:p w14:paraId="06D1956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环保工程名称</w:t>
            </w:r>
          </w:p>
        </w:tc>
        <w:tc>
          <w:tcPr>
            <w:tcW w:w="3329" w:type="pct"/>
            <w:tcBorders>
              <w:tl2br w:val="nil"/>
              <w:tr2bl w:val="nil"/>
            </w:tcBorders>
            <w:vAlign w:val="center"/>
          </w:tcPr>
          <w:p w14:paraId="758FEC1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环保措施</w:t>
            </w:r>
          </w:p>
        </w:tc>
        <w:tc>
          <w:tcPr>
            <w:tcW w:w="363" w:type="pct"/>
            <w:tcBorders>
              <w:tl2br w:val="nil"/>
              <w:tr2bl w:val="nil"/>
            </w:tcBorders>
            <w:vAlign w:val="center"/>
          </w:tcPr>
          <w:p w14:paraId="219B429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投资</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估算</w:t>
            </w:r>
          </w:p>
        </w:tc>
        <w:tc>
          <w:tcPr>
            <w:tcW w:w="567" w:type="pct"/>
            <w:tcBorders>
              <w:tl2br w:val="nil"/>
              <w:tr2bl w:val="nil"/>
            </w:tcBorders>
            <w:vAlign w:val="center"/>
          </w:tcPr>
          <w:p w14:paraId="296FF0F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备注</w:t>
            </w:r>
          </w:p>
        </w:tc>
      </w:tr>
      <w:tr w14:paraId="198A7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5" w:type="pct"/>
            <w:vMerge w:val="restart"/>
            <w:tcBorders>
              <w:tl2br w:val="nil"/>
              <w:tr2bl w:val="nil"/>
            </w:tcBorders>
            <w:vAlign w:val="center"/>
          </w:tcPr>
          <w:p w14:paraId="5BFAE62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跟踪</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w:t>
            </w:r>
          </w:p>
        </w:tc>
        <w:tc>
          <w:tcPr>
            <w:tcW w:w="534" w:type="pct"/>
            <w:tcBorders>
              <w:tl2br w:val="nil"/>
              <w:tr2bl w:val="nil"/>
            </w:tcBorders>
            <w:vAlign w:val="center"/>
          </w:tcPr>
          <w:p w14:paraId="2D801B2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地下水跟踪监测井</w:t>
            </w:r>
          </w:p>
        </w:tc>
        <w:tc>
          <w:tcPr>
            <w:tcW w:w="3329" w:type="pct"/>
            <w:tcBorders>
              <w:tl2br w:val="nil"/>
              <w:tr2bl w:val="nil"/>
            </w:tcBorders>
            <w:vAlign w:val="center"/>
          </w:tcPr>
          <w:p w14:paraId="66EF388B">
            <w:pPr>
              <w:keepNext w:val="0"/>
              <w:keepLines w:val="0"/>
              <w:pageBreakBefore w:val="0"/>
              <w:widowControl w:val="0"/>
              <w:numPr>
                <w:ilvl w:val="0"/>
                <w:numId w:val="0"/>
              </w:numPr>
              <w:kinsoku/>
              <w:wordWrap/>
              <w:overflowPunct/>
              <w:topLinePunct w:val="0"/>
              <w:autoSpaceDE/>
              <w:autoSpaceDN/>
              <w:bidi w:val="0"/>
              <w:adjustRightInd w:val="0"/>
              <w:snapToGrid w:val="0"/>
              <w:spacing w:after="0"/>
              <w:ind w:left="0" w:leftChars="0"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依托3口跟踪监测井，新建1口跟踪监测井，井深均为20m，定期对地下水进行跟踪监测：</w:t>
            </w:r>
          </w:p>
          <w:p w14:paraId="12D47B7F">
            <w:pPr>
              <w:keepNext w:val="0"/>
              <w:keepLines w:val="0"/>
              <w:pageBreakBefore w:val="0"/>
              <w:widowControl w:val="0"/>
              <w:numPr>
                <w:ilvl w:val="0"/>
                <w:numId w:val="0"/>
              </w:numPr>
              <w:kinsoku/>
              <w:wordWrap/>
              <w:overflowPunct/>
              <w:topLinePunct w:val="0"/>
              <w:autoSpaceDE/>
              <w:autoSpaceDN/>
              <w:bidi w:val="0"/>
              <w:adjustRightInd w:val="0"/>
              <w:snapToGrid w:val="0"/>
              <w:spacing w:after="0"/>
              <w:ind w:left="0" w:leftChars="0"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在本区域上游宋芳屯居住区（125.070827，45.987808）、平立屯（125.290617，46.170945）布设2个潜水背景值监测水井；在区块下游粮油贸易公司（125.069196，45.989418）、升1-2集油阀组间1环集油管线西侧50m处（125.273344，46.178612）各布设1口潜水跟踪监测井。</w:t>
            </w:r>
          </w:p>
        </w:tc>
        <w:tc>
          <w:tcPr>
            <w:tcW w:w="363" w:type="pct"/>
            <w:tcBorders>
              <w:tl2br w:val="nil"/>
              <w:tr2bl w:val="nil"/>
            </w:tcBorders>
            <w:vAlign w:val="center"/>
          </w:tcPr>
          <w:p w14:paraId="01BDC7C1">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567" w:type="pct"/>
            <w:tcBorders>
              <w:tl2br w:val="nil"/>
              <w:tr2bl w:val="nil"/>
            </w:tcBorders>
            <w:vAlign w:val="center"/>
          </w:tcPr>
          <w:p w14:paraId="578A5A09">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1524E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5" w:type="pct"/>
            <w:vMerge w:val="continue"/>
            <w:tcBorders>
              <w:tl2br w:val="nil"/>
              <w:tr2bl w:val="nil"/>
            </w:tcBorders>
            <w:vAlign w:val="center"/>
          </w:tcPr>
          <w:p w14:paraId="55747A4E">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534" w:type="pct"/>
            <w:tcBorders>
              <w:tl2br w:val="nil"/>
              <w:tr2bl w:val="nil"/>
            </w:tcBorders>
            <w:vAlign w:val="center"/>
          </w:tcPr>
          <w:p w14:paraId="6720F24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土壤跟踪监测</w:t>
            </w:r>
          </w:p>
        </w:tc>
        <w:tc>
          <w:tcPr>
            <w:tcW w:w="3329" w:type="pct"/>
            <w:tcBorders>
              <w:tl2br w:val="nil"/>
              <w:tr2bl w:val="nil"/>
            </w:tcBorders>
            <w:vAlign w:val="center"/>
          </w:tcPr>
          <w:p w14:paraId="2B12F3DA">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本项目设置</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个土壤跟踪监测点位，每年监测1次，监测数据应公开。</w:t>
            </w:r>
          </w:p>
        </w:tc>
        <w:tc>
          <w:tcPr>
            <w:tcW w:w="363" w:type="pct"/>
            <w:tcBorders>
              <w:tl2br w:val="nil"/>
              <w:tr2bl w:val="nil"/>
            </w:tcBorders>
            <w:vAlign w:val="center"/>
          </w:tcPr>
          <w:p w14:paraId="363F9A1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567" w:type="pct"/>
            <w:tcBorders>
              <w:tl2br w:val="nil"/>
              <w:tr2bl w:val="nil"/>
            </w:tcBorders>
            <w:vAlign w:val="center"/>
          </w:tcPr>
          <w:p w14:paraId="62927635">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1万元/每个点位</w:t>
            </w:r>
          </w:p>
        </w:tc>
      </w:tr>
      <w:tr w14:paraId="365D6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5" w:type="pct"/>
            <w:vMerge w:val="continue"/>
            <w:tcBorders>
              <w:tl2br w:val="nil"/>
              <w:tr2bl w:val="nil"/>
            </w:tcBorders>
            <w:vAlign w:val="center"/>
          </w:tcPr>
          <w:p w14:paraId="26CD5F5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534" w:type="pct"/>
            <w:tcBorders>
              <w:tl2br w:val="nil"/>
              <w:tr2bl w:val="nil"/>
            </w:tcBorders>
            <w:vAlign w:val="center"/>
          </w:tcPr>
          <w:p w14:paraId="0CD7188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生态跟踪监测</w:t>
            </w:r>
          </w:p>
        </w:tc>
        <w:tc>
          <w:tcPr>
            <w:tcW w:w="3329" w:type="pct"/>
            <w:tcBorders>
              <w:tl2br w:val="nil"/>
              <w:tr2bl w:val="nil"/>
            </w:tcBorders>
            <w:vAlign w:val="center"/>
          </w:tcPr>
          <w:p w14:paraId="37D5781F">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本项目设置</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个生态跟踪监测点位，每年监测1次，监测数据应公开。</w:t>
            </w:r>
          </w:p>
        </w:tc>
        <w:tc>
          <w:tcPr>
            <w:tcW w:w="363" w:type="pct"/>
            <w:tcBorders>
              <w:tl2br w:val="nil"/>
              <w:tr2bl w:val="nil"/>
            </w:tcBorders>
            <w:vAlign w:val="center"/>
          </w:tcPr>
          <w:p w14:paraId="6B3CE46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567" w:type="pct"/>
            <w:tcBorders>
              <w:tl2br w:val="nil"/>
              <w:tr2bl w:val="nil"/>
            </w:tcBorders>
            <w:vAlign w:val="center"/>
          </w:tcPr>
          <w:p w14:paraId="443FD0E4">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1万元/每个点位</w:t>
            </w:r>
          </w:p>
        </w:tc>
      </w:tr>
      <w:tr w14:paraId="18EDB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69" w:type="pct"/>
            <w:gridSpan w:val="3"/>
            <w:tcBorders>
              <w:tl2br w:val="nil"/>
              <w:tr2bl w:val="nil"/>
            </w:tcBorders>
            <w:vAlign w:val="center"/>
          </w:tcPr>
          <w:p w14:paraId="775A0DE4">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合计</w:t>
            </w:r>
          </w:p>
        </w:tc>
        <w:tc>
          <w:tcPr>
            <w:tcW w:w="930" w:type="pct"/>
            <w:gridSpan w:val="2"/>
            <w:tcBorders>
              <w:tl2br w:val="nil"/>
              <w:tr2bl w:val="nil"/>
            </w:tcBorders>
            <w:vAlign w:val="center"/>
          </w:tcPr>
          <w:p w14:paraId="4917C8F6">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r>
    </w:tbl>
    <w:p w14:paraId="0C0F0C4A">
      <w:pPr>
        <w:keepNext w:val="0"/>
        <w:keepLines w:val="0"/>
        <w:pageBreakBefore w:val="0"/>
        <w:widowControl w:val="0"/>
        <w:kinsoku/>
        <w:wordWrap/>
        <w:topLinePunct w:val="0"/>
        <w:bidi w:val="0"/>
        <w:adjustRightInd w:val="0"/>
        <w:snapToGrid w:val="0"/>
        <w:spacing w:after="0"/>
        <w:ind w:left="0" w:leftChars="0" w:firstLine="0" w:firstLineChars="0"/>
        <w:jc w:val="cente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表7.2-3</w:t>
      </w:r>
      <w:r>
        <w:rPr>
          <w:rFonts w:hint="eastAsia"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本项目退役期环保投资一览表单位：万元</w:t>
      </w:r>
    </w:p>
    <w:tbl>
      <w:tblPr>
        <w:tblStyle w:val="4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082"/>
        <w:gridCol w:w="5659"/>
        <w:gridCol w:w="1118"/>
        <w:gridCol w:w="759"/>
      </w:tblGrid>
      <w:tr w14:paraId="382CA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0" w:type="pct"/>
            <w:gridSpan w:val="2"/>
            <w:tcBorders>
              <w:tl2br w:val="nil"/>
              <w:tr2bl w:val="nil"/>
            </w:tcBorders>
            <w:vAlign w:val="center"/>
          </w:tcPr>
          <w:p w14:paraId="6445612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环保工程名称</w:t>
            </w:r>
          </w:p>
        </w:tc>
        <w:tc>
          <w:tcPr>
            <w:tcW w:w="3048" w:type="pct"/>
            <w:tcBorders>
              <w:tl2br w:val="nil"/>
              <w:tr2bl w:val="nil"/>
            </w:tcBorders>
            <w:vAlign w:val="center"/>
          </w:tcPr>
          <w:p w14:paraId="50B787B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环保措施</w:t>
            </w:r>
          </w:p>
        </w:tc>
        <w:tc>
          <w:tcPr>
            <w:tcW w:w="602" w:type="pct"/>
            <w:tcBorders>
              <w:tl2br w:val="nil"/>
              <w:tr2bl w:val="nil"/>
            </w:tcBorders>
            <w:vAlign w:val="center"/>
          </w:tcPr>
          <w:p w14:paraId="08D7A1F0">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投资</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估算</w:t>
            </w:r>
          </w:p>
        </w:tc>
        <w:tc>
          <w:tcPr>
            <w:tcW w:w="408" w:type="pct"/>
            <w:tcBorders>
              <w:tl2br w:val="nil"/>
              <w:tr2bl w:val="nil"/>
            </w:tcBorders>
            <w:vAlign w:val="center"/>
          </w:tcPr>
          <w:p w14:paraId="2FE599ED">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备注</w:t>
            </w:r>
          </w:p>
        </w:tc>
      </w:tr>
      <w:tr w14:paraId="0CD92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57" w:type="pct"/>
            <w:vMerge w:val="restart"/>
            <w:tcBorders>
              <w:tl2br w:val="nil"/>
              <w:tr2bl w:val="nil"/>
            </w:tcBorders>
            <w:vAlign w:val="center"/>
          </w:tcPr>
          <w:p w14:paraId="4761948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w:t>
            </w:r>
          </w:p>
        </w:tc>
        <w:tc>
          <w:tcPr>
            <w:tcW w:w="582" w:type="pct"/>
            <w:tcBorders>
              <w:tl2br w:val="nil"/>
              <w:tr2bl w:val="nil"/>
            </w:tcBorders>
            <w:vAlign w:val="center"/>
          </w:tcPr>
          <w:p w14:paraId="1EB806D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管道清洗废水</w:t>
            </w:r>
          </w:p>
        </w:tc>
        <w:tc>
          <w:tcPr>
            <w:tcW w:w="3048" w:type="pct"/>
            <w:tcBorders>
              <w:tl2br w:val="nil"/>
              <w:tr2bl w:val="nil"/>
            </w:tcBorders>
            <w:vAlign w:val="center"/>
          </w:tcPr>
          <w:p w14:paraId="5C0D813E">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收集后由罐车拉运至</w:t>
            </w:r>
            <w:r>
              <w:rPr>
                <w:rFonts w:hint="eastAsia" w:ascii="Times New Roman" w:hAnsi="Times New Roman" w:eastAsia="宋体" w:cs="Times New Roman"/>
                <w:snapToGrid w:val="0"/>
                <w:color w:val="000000" w:themeColor="text1"/>
                <w:sz w:val="21"/>
                <w:szCs w:val="21"/>
                <w:highlight w:val="none"/>
                <w:vertAlign w:val="baseli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处理。</w:t>
            </w:r>
          </w:p>
        </w:tc>
        <w:tc>
          <w:tcPr>
            <w:tcW w:w="602" w:type="pct"/>
            <w:tcBorders>
              <w:tl2br w:val="nil"/>
              <w:tr2bl w:val="nil"/>
            </w:tcBorders>
            <w:vAlign w:val="center"/>
          </w:tcPr>
          <w:p w14:paraId="3C645B2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c>
          <w:tcPr>
            <w:tcW w:w="408" w:type="pct"/>
            <w:tcBorders>
              <w:tl2br w:val="nil"/>
              <w:tr2bl w:val="nil"/>
            </w:tcBorders>
            <w:vAlign w:val="center"/>
          </w:tcPr>
          <w:p w14:paraId="17FAB40B">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523C2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57" w:type="pct"/>
            <w:vMerge w:val="continue"/>
            <w:tcBorders>
              <w:tl2br w:val="nil"/>
              <w:tr2bl w:val="nil"/>
            </w:tcBorders>
            <w:vAlign w:val="center"/>
          </w:tcPr>
          <w:p w14:paraId="3823208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582" w:type="pct"/>
            <w:tcBorders>
              <w:tl2br w:val="nil"/>
              <w:tr2bl w:val="nil"/>
            </w:tcBorders>
            <w:vAlign w:val="center"/>
          </w:tcPr>
          <w:p w14:paraId="2FDAC57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生活污水</w:t>
            </w:r>
          </w:p>
        </w:tc>
        <w:tc>
          <w:tcPr>
            <w:tcW w:w="3048" w:type="pct"/>
            <w:tcBorders>
              <w:tl2br w:val="nil"/>
              <w:tr2bl w:val="nil"/>
            </w:tcBorders>
            <w:vAlign w:val="center"/>
          </w:tcPr>
          <w:p w14:paraId="65330F9F">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退役期生活污水排入附近已建防渗旱厕，</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用罐车抽排至高平4号污水站，排入大庆市净源环保科技有限公司处理达标后排放。</w:t>
            </w:r>
          </w:p>
        </w:tc>
        <w:tc>
          <w:tcPr>
            <w:tcW w:w="602" w:type="pct"/>
            <w:tcBorders>
              <w:tl2br w:val="nil"/>
              <w:tr2bl w:val="nil"/>
            </w:tcBorders>
            <w:vAlign w:val="center"/>
          </w:tcPr>
          <w:p w14:paraId="2447C13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w:t>
            </w:r>
          </w:p>
        </w:tc>
        <w:tc>
          <w:tcPr>
            <w:tcW w:w="408" w:type="pct"/>
            <w:tcBorders>
              <w:tl2br w:val="nil"/>
              <w:tr2bl w:val="nil"/>
            </w:tcBorders>
            <w:vAlign w:val="center"/>
          </w:tcPr>
          <w:p w14:paraId="56CDAEA8">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依托现有设施</w:t>
            </w:r>
          </w:p>
        </w:tc>
      </w:tr>
      <w:tr w14:paraId="4755E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57" w:type="pct"/>
            <w:tcBorders>
              <w:tl2br w:val="nil"/>
              <w:tr2bl w:val="nil"/>
            </w:tcBorders>
            <w:vAlign w:val="center"/>
          </w:tcPr>
          <w:p w14:paraId="3D8E5B6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噪声</w:t>
            </w:r>
          </w:p>
        </w:tc>
        <w:tc>
          <w:tcPr>
            <w:tcW w:w="582" w:type="pct"/>
            <w:tcBorders>
              <w:tl2br w:val="nil"/>
              <w:tr2bl w:val="nil"/>
            </w:tcBorders>
            <w:vAlign w:val="center"/>
          </w:tcPr>
          <w:p w14:paraId="637F393F">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机械噪声</w:t>
            </w:r>
          </w:p>
        </w:tc>
        <w:tc>
          <w:tcPr>
            <w:tcW w:w="3048" w:type="pct"/>
            <w:tcBorders>
              <w:tl2br w:val="nil"/>
              <w:tr2bl w:val="nil"/>
            </w:tcBorders>
            <w:vAlign w:val="center"/>
          </w:tcPr>
          <w:p w14:paraId="6E5E3713">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选用低噪声设备</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602" w:type="pct"/>
            <w:tcBorders>
              <w:tl2br w:val="nil"/>
              <w:tr2bl w:val="nil"/>
            </w:tcBorders>
            <w:vAlign w:val="center"/>
          </w:tcPr>
          <w:p w14:paraId="02071F9A">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1.5</w:t>
            </w:r>
          </w:p>
        </w:tc>
        <w:tc>
          <w:tcPr>
            <w:tcW w:w="408" w:type="pct"/>
            <w:tcBorders>
              <w:tl2br w:val="nil"/>
              <w:tr2bl w:val="nil"/>
            </w:tcBorders>
            <w:vAlign w:val="center"/>
          </w:tcPr>
          <w:p w14:paraId="5AA5208F">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0B057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57" w:type="pct"/>
            <w:tcBorders>
              <w:tl2br w:val="nil"/>
              <w:tr2bl w:val="nil"/>
            </w:tcBorders>
            <w:vAlign w:val="center"/>
          </w:tcPr>
          <w:p w14:paraId="3047F0B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固废</w:t>
            </w:r>
          </w:p>
        </w:tc>
        <w:tc>
          <w:tcPr>
            <w:tcW w:w="582" w:type="pct"/>
            <w:tcBorders>
              <w:tl2br w:val="nil"/>
              <w:tr2bl w:val="nil"/>
            </w:tcBorders>
            <w:vAlign w:val="center"/>
          </w:tcPr>
          <w:p w14:paraId="174AD406">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生活垃圾</w:t>
            </w:r>
          </w:p>
        </w:tc>
        <w:tc>
          <w:tcPr>
            <w:tcW w:w="3048" w:type="pct"/>
            <w:tcBorders>
              <w:tl2br w:val="nil"/>
              <w:tr2bl w:val="nil"/>
            </w:tcBorders>
            <w:vAlign w:val="center"/>
          </w:tcPr>
          <w:p w14:paraId="6FDAC010">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生活垃圾统一收集，拉运至大庆城控电力有限公司焚烧处理</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w:t>
            </w:r>
          </w:p>
        </w:tc>
        <w:tc>
          <w:tcPr>
            <w:tcW w:w="602" w:type="pct"/>
            <w:tcBorders>
              <w:tl2br w:val="nil"/>
              <w:tr2bl w:val="nil"/>
            </w:tcBorders>
            <w:vAlign w:val="center"/>
          </w:tcPr>
          <w:p w14:paraId="091C81D7">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0.5</w:t>
            </w:r>
          </w:p>
        </w:tc>
        <w:tc>
          <w:tcPr>
            <w:tcW w:w="408" w:type="pct"/>
            <w:tcBorders>
              <w:tl2br w:val="nil"/>
              <w:tr2bl w:val="nil"/>
            </w:tcBorders>
            <w:vAlign w:val="center"/>
          </w:tcPr>
          <w:p w14:paraId="70DD4DF2">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50E59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88" w:type="pct"/>
            <w:gridSpan w:val="3"/>
            <w:tcBorders>
              <w:tl2br w:val="nil"/>
              <w:tr2bl w:val="nil"/>
            </w:tcBorders>
            <w:vAlign w:val="center"/>
          </w:tcPr>
          <w:p w14:paraId="27EB5A83">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合计</w:t>
            </w:r>
          </w:p>
        </w:tc>
        <w:tc>
          <w:tcPr>
            <w:tcW w:w="1011" w:type="pct"/>
            <w:gridSpan w:val="2"/>
            <w:tcBorders>
              <w:tl2br w:val="nil"/>
              <w:tr2bl w:val="nil"/>
            </w:tcBorders>
            <w:vAlign w:val="center"/>
          </w:tcPr>
          <w:p w14:paraId="672C060F">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3.5</w:t>
            </w:r>
          </w:p>
        </w:tc>
      </w:tr>
    </w:tbl>
    <w:p w14:paraId="4364348F">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35" w:name="_Toc10250"/>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7.3环境效益简要分析</w:t>
      </w:r>
      <w:bookmarkEnd w:id="135"/>
    </w:p>
    <w:p w14:paraId="063C0B2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本工程油气集输采用密闭输送流程可使油气损失由0.5%（开式流程）降到0.14175%（油气密闭集输流程）</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对油田含油污水采取处理回注措施，不仅减少了含油污水对地面水体污染，而且可大大节约水资源。由于该项目对油田开发排放的污染物采取了一系列治理措施，不仅大大降低了排入环境中污染物的数量，取得巨大环境效益，而且还会取得一定的经济效益</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2989FC99">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36" w:name="_Toc3576"/>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7.4环境经济损益综合分析</w:t>
      </w:r>
      <w:bookmarkEnd w:id="136"/>
    </w:p>
    <w:p w14:paraId="5E80E56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本项目为油田内部集输管道改造工程，属于陆地石油开采项目的一部分</w:t>
      </w:r>
      <w:r>
        <w:rPr>
          <w:rFonts w:hint="default" w:ascii="Times New Roman" w:hAnsi="Times New Roman" w:eastAsia="宋体" w:cs="Times New Roman"/>
          <w:color w:val="000000" w:themeColor="text1"/>
          <w:sz w:val="24"/>
          <w:szCs w:val="24"/>
          <w:highlight w:val="none"/>
          <w14:textFill>
            <w14:solidFill>
              <w14:schemeClr w14:val="tx1"/>
            </w14:solidFill>
          </w14:textFill>
        </w:rPr>
        <w:t>，服务于国家能源设施重点建设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。本项目总投资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925.42万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其中施工期环保投资为（本项目直接投资）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57.2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万元，运营期环保投资为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万元，退役期环保投资为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总环保投资为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70.7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万元，环保投资占总投资的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B67378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油田开发过程中，由于管道铺设，需要占用一定面积土地，而且由此产生的污染物对周围环境也会造成一定污染，因此引起的环境损失费往往很难直接用经济价值来计算，因此，我们采用植被损失费来估算。</w:t>
      </w:r>
    </w:p>
    <w:p w14:paraId="270E705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结合本项目集输管道等施工内容，本项目优化集输线路，减少管道开挖占地，临时占地全部恢复原有植被类型，草地进行植被恢复、耕地进行复垦。本项目临时占用耕地面积为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12.12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。耕地农作物为玉米，农作物当年粮食产量全部损失，第二、三年产量将下降20%-40%，随后恢复正常产量，农作物单位面积产量以玉米计，按7.5t/hm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计算，三年间临时占地总共损失粮食产量为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163</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t，价格按照1500元/t计，则临时占用耕地损失</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24.5</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万元。</w:t>
      </w:r>
    </w:p>
    <w:p w14:paraId="65939C67">
      <w:pPr>
        <w:pStyle w:val="34"/>
        <w:keepNext w:val="0"/>
        <w:keepLines w:val="0"/>
        <w:pageBreakBefore w:val="0"/>
        <w:widowControl w:val="0"/>
        <w:kinsoku/>
        <w:wordWrap/>
        <w:overflowPunct/>
        <w:topLinePunct w:val="0"/>
        <w:autoSpaceDE/>
        <w:autoSpaceDN/>
        <w:bidi w:val="0"/>
        <w:spacing w:after="0"/>
        <w:ind w:firstLine="480"/>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临时占用草地面积为</w:t>
      </w:r>
      <w:r>
        <w:rPr>
          <w:rFonts w:hint="eastAsia" w:cs="Times New Roman"/>
          <w:snapToGrid/>
          <w:color w:val="000000" w:themeColor="text1"/>
          <w:kern w:val="2"/>
          <w:sz w:val="24"/>
          <w:szCs w:val="24"/>
          <w:highlight w:val="none"/>
          <w:lang w:val="en-US" w:eastAsia="zh-CN" w:bidi="ar-SA"/>
          <w14:textFill>
            <w14:solidFill>
              <w14:schemeClr w14:val="tx1"/>
            </w14:solidFill>
          </w14:textFill>
        </w:rPr>
        <w:t>12.56hm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损失草量按1125kg/hm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计算，3年后可恢复原貌，共损失草量为</w:t>
      </w:r>
      <w:r>
        <w:rPr>
          <w:rFonts w:hint="eastAsia" w:cs="Times New Roman"/>
          <w:color w:val="000000" w:themeColor="text1"/>
          <w:sz w:val="24"/>
          <w:szCs w:val="24"/>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价格按照700元/t计，则临时占用草地损失</w:t>
      </w:r>
      <w:r>
        <w:rPr>
          <w:rFonts w:hint="eastAsia" w:cs="Times New Roman"/>
          <w:snapToGrid/>
          <w:color w:val="000000" w:themeColor="text1"/>
          <w:kern w:val="2"/>
          <w:sz w:val="24"/>
          <w:szCs w:val="24"/>
          <w:highlight w:val="none"/>
          <w:lang w:val="en-US" w:eastAsia="zh-CN" w:bidi="ar-SA"/>
          <w14:textFill>
            <w14:solidFill>
              <w14:schemeClr w14:val="tx1"/>
            </w14:solidFill>
          </w14:textFill>
        </w:rPr>
        <w:t>2.9</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万元。</w:t>
      </w:r>
    </w:p>
    <w:p w14:paraId="2197CB87">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项目</w:t>
      </w:r>
      <w:r>
        <w:rPr>
          <w:rFonts w:hint="eastAsia"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临时</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占用林地</w:t>
      </w:r>
      <w:r>
        <w:rPr>
          <w:rFonts w:hint="eastAsia"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0.1hm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，主要为杨树，植被恢复费用按照10</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元/m</w:t>
      </w:r>
      <w:r>
        <w:rPr>
          <w:rFonts w:hint="default" w:ascii="Times New Roman" w:hAnsi="Times New Roman" w:eastAsia="宋体" w:cs="Times New Roman"/>
          <w:snapToGrid/>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，则林地植被恢复费</w:t>
      </w:r>
      <w:r>
        <w:rPr>
          <w:rFonts w:hint="eastAsia"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1</w:t>
      </w:r>
      <w:r>
        <w:rPr>
          <w:rFonts w:hint="default" w:ascii="Times New Roman" w:hAnsi="Times New Roman" w:eastAsia="宋体" w:cs="Times New Roman"/>
          <w:snapToGrid/>
          <w:color w:val="000000" w:themeColor="text1"/>
          <w:kern w:val="2"/>
          <w:sz w:val="24"/>
          <w:szCs w:val="24"/>
          <w:highlight w:val="none"/>
          <w:vertAlign w:val="baseline"/>
          <w:lang w:val="en-US" w:eastAsia="zh-CN" w:bidi="ar-SA"/>
          <w14:textFill>
            <w14:solidFill>
              <w14:schemeClr w14:val="tx1"/>
            </w14:solidFill>
          </w14:textFill>
        </w:rPr>
        <w:t>万元。</w:t>
      </w:r>
    </w:p>
    <w:p w14:paraId="3E72A1A1">
      <w:pPr>
        <w:keepNext w:val="0"/>
        <w:keepLines w:val="0"/>
        <w:pageBreakBefore w:val="0"/>
        <w:widowControl w:val="0"/>
        <w:kinsoku/>
        <w:wordWrap/>
        <w:overflowPunct w:val="0"/>
        <w:topLinePunct w:val="0"/>
        <w:autoSpaceDE/>
        <w:autoSpaceDN/>
        <w:bidi w:val="0"/>
        <w:adjustRightInd w:val="0"/>
        <w:snapToGrid w:val="0"/>
        <w:spacing w:after="0" w:line="360" w:lineRule="auto"/>
        <w:ind w:firstLine="480" w:firstLineChars="200"/>
        <w:textAlignment w:val="auto"/>
        <w:outlineLvl w:val="9"/>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本项目对</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第八采油厂</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内已开发区块管道等腐蚀老化设施进行更换，具有完善的油、气、水、电、路、信等工程。项目建成后将有效降低油田内部集输管道漏失风险，有利于稳定石油产量安全生产及环境保护。符合大庆市国家能源安全重地的定位。同时，本工程项目管道施工均为临时占地，不涉及永久占地，对土地的影响有限，妥善处理了保障发展和保护资源的关系，符合规划中“严格保护耕地，推进乡村全面振兴”相关要求。</w:t>
      </w:r>
    </w:p>
    <w:p w14:paraId="081C1E29">
      <w:pPr>
        <w:pStyle w:val="33"/>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sectPr>
          <w:pgSz w:w="11906" w:h="16838"/>
          <w:pgMar w:top="1417" w:right="1417" w:bottom="1417" w:left="1417" w:header="850" w:footer="964" w:gutter="0"/>
          <w:pgBorders>
            <w:top w:val="none" w:sz="0" w:space="0"/>
            <w:left w:val="none" w:sz="0" w:space="0"/>
            <w:bottom w:val="none" w:sz="0" w:space="0"/>
            <w:right w:val="none" w:sz="0" w:space="0"/>
          </w:pgBorders>
          <w:pgNumType w:fmt="decimal"/>
          <w:cols w:space="708" w:num="1"/>
          <w:docGrid w:linePitch="360" w:charSpace="0"/>
        </w:sectPr>
      </w:pPr>
    </w:p>
    <w:p w14:paraId="457DDA19">
      <w:pPr>
        <w:keepNext w:val="0"/>
        <w:keepLines w:val="0"/>
        <w:pageBreakBefore w:val="0"/>
        <w:widowControl w:val="0"/>
        <w:tabs>
          <w:tab w:val="center" w:pos="4394"/>
          <w:tab w:val="left" w:pos="5484"/>
        </w:tabs>
        <w:kinsoku/>
        <w:wordWrap/>
        <w:overflowPunct/>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137" w:name="_Toc28375"/>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八、</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环境保护管理及监测计划</w:t>
      </w:r>
      <w:bookmarkEnd w:id="137"/>
    </w:p>
    <w:p w14:paraId="220B6C69">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38" w:name="_Toc20081"/>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8.1HSE管理体系的建立和运行</w:t>
      </w:r>
      <w:bookmarkEnd w:id="138"/>
    </w:p>
    <w:p w14:paraId="2A00F04A">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本工程依据《石油天然气工业健康、安全与环境管理体系》（SY/T6276-2014）的要求，在项目的建设期、运行期和退役期等3个阶段建立和实施HSE管理体系。建设期、运行期和退役期的HSE管理分别包括以下内容：</w:t>
      </w:r>
    </w:p>
    <w:p w14:paraId="7A3C91F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（1）建设期HSE管理主要包括良好的工程（高产、节水、节能）设计、安全、健康与环境保护设施的同时设计、同时施工和同时投入使用，安全、绿色施工等；</w:t>
      </w:r>
    </w:p>
    <w:p w14:paraId="2C7EEBF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（2）运营期HSE管理主要包括HSE组织机构的建立及职责的确定、文件的编写、风险的识别和管理、应急措施的建立、人员的培训、HSE管理体系的运行及保持、清洁生产等；</w:t>
      </w:r>
    </w:p>
    <w:p w14:paraId="33B037A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（3）退役期HSE管理主要考虑油区退役的安全与环境影响。</w:t>
      </w:r>
    </w:p>
    <w:p w14:paraId="217F4B5E">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油田开发建设对环境主要影响是建设期的各种施工作业活动和运行期的风险事故。为最大限度地减轻油田生产对区域内空气环境、水环境及生态的影响，减少事故的发生，以确保油田安全运行，必须建立科学有效的环境管理体制，制定详细周密的环境保护管理计划。</w:t>
      </w:r>
    </w:p>
    <w:p w14:paraId="4F5B84CE">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8.1.1组织结构</w:t>
      </w:r>
    </w:p>
    <w:p w14:paraId="2752E010">
      <w:pPr>
        <w:keepNext w:val="0"/>
        <w:keepLines w:val="0"/>
        <w:pageBreakBefore w:val="0"/>
        <w:widowControl w:val="0"/>
        <w:kinsoku/>
        <w:wordWrap/>
        <w:overflowPunct/>
        <w:topLinePunct w:val="0"/>
        <w:autoSpaceDE/>
        <w:autoSpaceDN/>
        <w:bidi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本工程严格实施HSE环境管理体系，本工程环境管理归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第八采油厂</w:t>
      </w:r>
      <w:r>
        <w:rPr>
          <w:rFonts w:hint="default" w:ascii="Times New Roman" w:hAnsi="Times New Roman" w:eastAsia="宋体" w:cs="Times New Roman"/>
          <w:color w:val="000000" w:themeColor="text1"/>
          <w:sz w:val="24"/>
          <w:szCs w:val="24"/>
          <w:highlight w:val="none"/>
          <w14:textFill>
            <w14:solidFill>
              <w14:schemeClr w14:val="tx1"/>
            </w14:solidFill>
          </w14:textFill>
        </w:rPr>
        <w:t>管理，逐级落实岗位责任制；各层下属单位设环保员一名，相应基层单位经理为HSE管理体系的第一负责人，对单位日常生产过程中的相关环境工作进行管理。</w:t>
      </w:r>
    </w:p>
    <w:p w14:paraId="07264782">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8.1.2规章制度</w:t>
      </w:r>
    </w:p>
    <w:p w14:paraId="237C9058">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8.1-1。</w:t>
      </w:r>
    </w:p>
    <w:p w14:paraId="0BA679CB">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表8.1-1</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环保法规和规章制度一览表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1940"/>
        <w:gridCol w:w="6629"/>
      </w:tblGrid>
      <w:tr w14:paraId="0CC71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48C6FBB9">
            <w:pPr>
              <w:pStyle w:val="49"/>
              <w:keepNext w:val="0"/>
              <w:keepLines w:val="0"/>
              <w:pageBreakBefore w:val="0"/>
              <w:widowControl w:val="0"/>
              <w:kinsoku/>
              <w:wordWrap/>
              <w:topLinePunct w:val="0"/>
              <w:bidi w:val="0"/>
              <w:rPr>
                <w:rFonts w:hint="default" w:ascii="Times New Roman" w:hAnsi="Times New Roman" w:cs="Times New Roman"/>
                <w:b/>
                <w:color w:val="000000" w:themeColor="text1"/>
                <w:szCs w:val="20"/>
                <w:highlight w:val="none"/>
                <w14:textFill>
                  <w14:solidFill>
                    <w14:schemeClr w14:val="tx1"/>
                  </w14:solidFill>
                </w14:textFill>
              </w:rPr>
            </w:pPr>
            <w:r>
              <w:rPr>
                <w:rFonts w:hint="default" w:ascii="Times New Roman" w:hAnsi="Times New Roman" w:cs="Times New Roman"/>
                <w:b/>
                <w:color w:val="000000" w:themeColor="text1"/>
                <w:szCs w:val="20"/>
                <w:highlight w:val="none"/>
                <w14:textFill>
                  <w14:solidFill>
                    <w14:schemeClr w14:val="tx1"/>
                  </w14:solidFill>
                </w14:textFill>
              </w:rPr>
              <w:t>序号</w:t>
            </w:r>
          </w:p>
        </w:tc>
        <w:tc>
          <w:tcPr>
            <w:tcW w:w="1044" w:type="pct"/>
            <w:vAlign w:val="center"/>
          </w:tcPr>
          <w:p w14:paraId="2C8E7997">
            <w:pPr>
              <w:pStyle w:val="49"/>
              <w:keepNext w:val="0"/>
              <w:keepLines w:val="0"/>
              <w:pageBreakBefore w:val="0"/>
              <w:widowControl w:val="0"/>
              <w:kinsoku/>
              <w:wordWrap/>
              <w:topLinePunct w:val="0"/>
              <w:bidi w:val="0"/>
              <w:rPr>
                <w:rFonts w:hint="default" w:ascii="Times New Roman" w:hAnsi="Times New Roman" w:cs="Times New Roman"/>
                <w:b/>
                <w:color w:val="000000" w:themeColor="text1"/>
                <w:szCs w:val="20"/>
                <w:highlight w:val="none"/>
                <w14:textFill>
                  <w14:solidFill>
                    <w14:schemeClr w14:val="tx1"/>
                  </w14:solidFill>
                </w14:textFill>
              </w:rPr>
            </w:pPr>
            <w:r>
              <w:rPr>
                <w:rFonts w:hint="default" w:ascii="Times New Roman" w:hAnsi="Times New Roman" w:cs="Times New Roman"/>
                <w:b/>
                <w:color w:val="000000" w:themeColor="text1"/>
                <w:szCs w:val="20"/>
                <w:highlight w:val="none"/>
                <w14:textFill>
                  <w14:solidFill>
                    <w14:schemeClr w14:val="tx1"/>
                  </w14:solidFill>
                </w14:textFill>
              </w:rPr>
              <w:t>规章名称</w:t>
            </w:r>
          </w:p>
        </w:tc>
        <w:tc>
          <w:tcPr>
            <w:tcW w:w="3568" w:type="pct"/>
            <w:vAlign w:val="center"/>
          </w:tcPr>
          <w:p w14:paraId="61F3B55D">
            <w:pPr>
              <w:pStyle w:val="49"/>
              <w:keepNext w:val="0"/>
              <w:keepLines w:val="0"/>
              <w:pageBreakBefore w:val="0"/>
              <w:widowControl w:val="0"/>
              <w:kinsoku/>
              <w:wordWrap/>
              <w:topLinePunct w:val="0"/>
              <w:bidi w:val="0"/>
              <w:rPr>
                <w:rFonts w:hint="default" w:ascii="Times New Roman" w:hAnsi="Times New Roman" w:cs="Times New Roman"/>
                <w:b/>
                <w:color w:val="000000" w:themeColor="text1"/>
                <w:szCs w:val="20"/>
                <w:highlight w:val="none"/>
                <w14:textFill>
                  <w14:solidFill>
                    <w14:schemeClr w14:val="tx1"/>
                  </w14:solidFill>
                </w14:textFill>
              </w:rPr>
            </w:pPr>
            <w:r>
              <w:rPr>
                <w:rFonts w:hint="default" w:ascii="Times New Roman" w:hAnsi="Times New Roman" w:cs="Times New Roman"/>
                <w:b/>
                <w:color w:val="000000" w:themeColor="text1"/>
                <w:szCs w:val="20"/>
                <w:highlight w:val="none"/>
                <w14:textFill>
                  <w14:solidFill>
                    <w14:schemeClr w14:val="tx1"/>
                  </w14:solidFill>
                </w14:textFill>
              </w:rPr>
              <w:t>主要内容</w:t>
            </w:r>
          </w:p>
        </w:tc>
      </w:tr>
      <w:tr w14:paraId="508E7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1124DE44">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1</w:t>
            </w:r>
          </w:p>
        </w:tc>
        <w:tc>
          <w:tcPr>
            <w:tcW w:w="1044" w:type="pct"/>
            <w:vAlign w:val="center"/>
          </w:tcPr>
          <w:p w14:paraId="291D354A">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国家、省市级的相关环保法律法规</w:t>
            </w:r>
          </w:p>
        </w:tc>
        <w:tc>
          <w:tcPr>
            <w:tcW w:w="3568" w:type="pct"/>
            <w:vAlign w:val="center"/>
          </w:tcPr>
          <w:p w14:paraId="458DB348">
            <w:pPr>
              <w:pStyle w:val="4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国家、省市颁发的环境保护法律、法规。</w:t>
            </w:r>
          </w:p>
        </w:tc>
      </w:tr>
      <w:tr w14:paraId="4D7CF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7A3682AA">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2</w:t>
            </w:r>
          </w:p>
        </w:tc>
        <w:tc>
          <w:tcPr>
            <w:tcW w:w="1044" w:type="pct"/>
            <w:vAlign w:val="center"/>
          </w:tcPr>
          <w:p w14:paraId="24A82016">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油田公司制定的相关环保法律法规</w:t>
            </w:r>
          </w:p>
        </w:tc>
        <w:tc>
          <w:tcPr>
            <w:tcW w:w="3568" w:type="pct"/>
            <w:vAlign w:val="center"/>
          </w:tcPr>
          <w:p w14:paraId="78E2CD37">
            <w:pPr>
              <w:pStyle w:val="4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油田公司的环境管理规定及环境管理规章制度（或环境保护条例及事故预案）。</w:t>
            </w:r>
          </w:p>
        </w:tc>
      </w:tr>
      <w:tr w14:paraId="5A3CE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66C71276">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3</w:t>
            </w:r>
          </w:p>
        </w:tc>
        <w:tc>
          <w:tcPr>
            <w:tcW w:w="1044" w:type="pct"/>
            <w:vAlign w:val="center"/>
          </w:tcPr>
          <w:p w14:paraId="3A2BA978">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环保技术规程及标准</w:t>
            </w:r>
          </w:p>
        </w:tc>
        <w:tc>
          <w:tcPr>
            <w:tcW w:w="3568" w:type="pct"/>
            <w:vAlign w:val="center"/>
          </w:tcPr>
          <w:p w14:paraId="47ED4211">
            <w:pPr>
              <w:pStyle w:val="49"/>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pacing w:val="-8"/>
                <w:szCs w:val="20"/>
                <w:highlight w:val="none"/>
                <w14:textFill>
                  <w14:solidFill>
                    <w14:schemeClr w14:val="tx1"/>
                  </w14:solidFill>
                </w14:textFill>
              </w:rPr>
              <w:t>各级有关环境管理的技术规程、标准，主要包括：国家及省市颁布的</w:t>
            </w:r>
            <w:r>
              <w:rPr>
                <w:rFonts w:hint="default" w:ascii="Times New Roman" w:hAnsi="Times New Roman" w:cs="Times New Roman"/>
                <w:color w:val="000000" w:themeColor="text1"/>
                <w:spacing w:val="-11"/>
                <w:szCs w:val="20"/>
                <w:highlight w:val="none"/>
                <w14:textFill>
                  <w14:solidFill>
                    <w14:schemeClr w14:val="tx1"/>
                  </w14:solidFill>
                </w14:textFill>
              </w:rPr>
              <w:t>相关污染物排放控制标准；油田公司及厂矿等各级单位制定的生产工</w:t>
            </w:r>
            <w:r>
              <w:rPr>
                <w:rFonts w:hint="default" w:ascii="Times New Roman" w:hAnsi="Times New Roman" w:cs="Times New Roman"/>
                <w:color w:val="000000" w:themeColor="text1"/>
                <w:spacing w:val="-6"/>
                <w:szCs w:val="20"/>
                <w:highlight w:val="none"/>
                <w14:textFill>
                  <w14:solidFill>
                    <w14:schemeClr w14:val="tx1"/>
                  </w14:solidFill>
                </w14:textFill>
              </w:rPr>
              <w:t>艺、设备的环境技术管理规程，环境保护设备的操作规程等。</w:t>
            </w:r>
          </w:p>
        </w:tc>
      </w:tr>
      <w:tr w14:paraId="6E6E5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19CE97C5">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4</w:t>
            </w:r>
          </w:p>
        </w:tc>
        <w:tc>
          <w:tcPr>
            <w:tcW w:w="1044" w:type="pct"/>
            <w:vAlign w:val="center"/>
          </w:tcPr>
          <w:p w14:paraId="257087C0">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环境保护责任制</w:t>
            </w:r>
          </w:p>
        </w:tc>
        <w:tc>
          <w:tcPr>
            <w:tcW w:w="3568" w:type="pct"/>
            <w:vAlign w:val="center"/>
          </w:tcPr>
          <w:p w14:paraId="0A276421">
            <w:pPr>
              <w:pStyle w:val="4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公司各类人员环境保护工作范围，应负的责任以及相应的权力。</w:t>
            </w:r>
          </w:p>
        </w:tc>
      </w:tr>
      <w:tr w14:paraId="52535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2C91804E">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5</w:t>
            </w:r>
          </w:p>
        </w:tc>
        <w:tc>
          <w:tcPr>
            <w:tcW w:w="1044" w:type="pct"/>
            <w:vAlign w:val="center"/>
          </w:tcPr>
          <w:p w14:paraId="1F6DDB8B">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三废管理制度</w:t>
            </w:r>
          </w:p>
        </w:tc>
        <w:tc>
          <w:tcPr>
            <w:tcW w:w="3568" w:type="pct"/>
            <w:vAlign w:val="center"/>
          </w:tcPr>
          <w:p w14:paraId="186F0498">
            <w:pPr>
              <w:pStyle w:val="49"/>
              <w:keepNext w:val="0"/>
              <w:keepLines w:val="0"/>
              <w:pageBreakBefore w:val="0"/>
              <w:widowControl w:val="0"/>
              <w:kinsoku/>
              <w:wordWrap/>
              <w:overflowPunct/>
              <w:topLinePunct w:val="0"/>
              <w:autoSpaceDE/>
              <w:autoSpaceDN/>
              <w:bidi w:val="0"/>
              <w:adjustRightInd/>
              <w:snapToGrid/>
              <w:ind w:firstLine="392"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pacing w:val="-7"/>
                <w:szCs w:val="20"/>
                <w:highlight w:val="none"/>
                <w14:textFill>
                  <w14:solidFill>
                    <w14:schemeClr w14:val="tx1"/>
                  </w14:solidFill>
                </w14:textFill>
              </w:rPr>
              <w:t>包括油田开发建设期及生产</w:t>
            </w:r>
            <w:r>
              <w:rPr>
                <w:rFonts w:hint="default" w:ascii="Times New Roman" w:hAnsi="Times New Roman" w:cs="Times New Roman"/>
                <w:color w:val="000000" w:themeColor="text1"/>
                <w:spacing w:val="-7"/>
                <w:szCs w:val="20"/>
                <w:highlight w:val="none"/>
                <w:lang w:eastAsia="zh-CN"/>
                <w14:textFill>
                  <w14:solidFill>
                    <w14:schemeClr w14:val="tx1"/>
                  </w14:solidFill>
                </w14:textFill>
              </w:rPr>
              <w:t>运营期</w:t>
            </w:r>
            <w:r>
              <w:rPr>
                <w:rFonts w:hint="default" w:ascii="Times New Roman" w:hAnsi="Times New Roman" w:cs="Times New Roman"/>
                <w:color w:val="000000" w:themeColor="text1"/>
                <w:spacing w:val="-7"/>
                <w:szCs w:val="20"/>
                <w:highlight w:val="none"/>
                <w14:textFill>
                  <w14:solidFill>
                    <w14:schemeClr w14:val="tx1"/>
                  </w14:solidFill>
                </w14:textFill>
              </w:rPr>
              <w:t>废水、废气、废渣及噪声等方面的</w:t>
            </w:r>
            <w:r>
              <w:rPr>
                <w:rFonts w:hint="default" w:ascii="Times New Roman" w:hAnsi="Times New Roman" w:cs="Times New Roman"/>
                <w:color w:val="000000" w:themeColor="text1"/>
                <w:spacing w:val="-10"/>
                <w:szCs w:val="20"/>
                <w:highlight w:val="none"/>
                <w14:textFill>
                  <w14:solidFill>
                    <w14:schemeClr w14:val="tx1"/>
                  </w14:solidFill>
                </w14:textFill>
              </w:rPr>
              <w:t>管理制度：在油田投入正常生产过程后，三废管理制度主要应包括油田正常运行过程中对含油污泥、含油污水及挥发烃的治理</w:t>
            </w:r>
            <w:r>
              <w:rPr>
                <w:rFonts w:hint="default" w:ascii="Times New Roman" w:hAnsi="Times New Roman" w:cs="Times New Roman"/>
                <w:color w:val="000000" w:themeColor="text1"/>
                <w:szCs w:val="20"/>
                <w:highlight w:val="none"/>
                <w14:textFill>
                  <w14:solidFill>
                    <w14:schemeClr w14:val="tx1"/>
                  </w14:solidFill>
                </w14:textFill>
              </w:rPr>
              <w:t>（</w:t>
            </w:r>
            <w:r>
              <w:rPr>
                <w:rFonts w:hint="default" w:ascii="Times New Roman" w:hAnsi="Times New Roman" w:cs="Times New Roman"/>
                <w:color w:val="000000" w:themeColor="text1"/>
                <w:spacing w:val="-3"/>
                <w:szCs w:val="20"/>
                <w:highlight w:val="none"/>
                <w14:textFill>
                  <w14:solidFill>
                    <w14:schemeClr w14:val="tx1"/>
                  </w14:solidFill>
                </w14:textFill>
              </w:rPr>
              <w:t>回收及利用）等方面的管理制度。</w:t>
            </w:r>
          </w:p>
        </w:tc>
      </w:tr>
      <w:tr w14:paraId="4806D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6AAFAE1D">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6</w:t>
            </w:r>
          </w:p>
        </w:tc>
        <w:tc>
          <w:tcPr>
            <w:tcW w:w="1044" w:type="pct"/>
            <w:vAlign w:val="center"/>
          </w:tcPr>
          <w:p w14:paraId="3F94A6E5">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生态保护管理制度</w:t>
            </w:r>
          </w:p>
        </w:tc>
        <w:tc>
          <w:tcPr>
            <w:tcW w:w="3568" w:type="pct"/>
            <w:vAlign w:val="center"/>
          </w:tcPr>
          <w:p w14:paraId="30708B32">
            <w:pPr>
              <w:pStyle w:val="49"/>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pacing w:val="-8"/>
                <w:szCs w:val="20"/>
                <w:highlight w:val="none"/>
                <w14:textFill>
                  <w14:solidFill>
                    <w14:schemeClr w14:val="tx1"/>
                  </w14:solidFill>
                </w14:textFill>
              </w:rPr>
              <w:t>主要包括油田建设期井场、场站、道路和管道的建设过程对区域内生态环境产生的影响后所做出的恢复计划及生态补偿措施等；在油田进</w:t>
            </w:r>
            <w:r>
              <w:rPr>
                <w:rFonts w:hint="default" w:ascii="Times New Roman" w:hAnsi="Times New Roman" w:cs="Times New Roman"/>
                <w:color w:val="000000" w:themeColor="text1"/>
                <w:spacing w:val="-12"/>
                <w:szCs w:val="20"/>
                <w:highlight w:val="none"/>
                <w14:textFill>
                  <w14:solidFill>
                    <w14:schemeClr w14:val="tx1"/>
                  </w14:solidFill>
                </w14:textFill>
              </w:rPr>
              <w:t>入正常生产</w:t>
            </w:r>
            <w:r>
              <w:rPr>
                <w:rFonts w:hint="default" w:ascii="Times New Roman" w:hAnsi="Times New Roman" w:cs="Times New Roman"/>
                <w:color w:val="000000" w:themeColor="text1"/>
                <w:spacing w:val="-12"/>
                <w:szCs w:val="20"/>
                <w:highlight w:val="none"/>
                <w:lang w:eastAsia="zh-CN"/>
                <w14:textFill>
                  <w14:solidFill>
                    <w14:schemeClr w14:val="tx1"/>
                  </w14:solidFill>
                </w14:textFill>
              </w:rPr>
              <w:t>运营期</w:t>
            </w:r>
            <w:r>
              <w:rPr>
                <w:rFonts w:hint="default" w:ascii="Times New Roman" w:hAnsi="Times New Roman" w:cs="Times New Roman"/>
                <w:color w:val="000000" w:themeColor="text1"/>
                <w:spacing w:val="-12"/>
                <w:szCs w:val="20"/>
                <w:highlight w:val="none"/>
                <w14:textFill>
                  <w14:solidFill>
                    <w14:schemeClr w14:val="tx1"/>
                  </w14:solidFill>
                </w14:textFill>
              </w:rPr>
              <w:t>后，生态保护制度主要包括油田生产过程中所进行的油井作业过程，同时包括在生产过程中对于一些突发事故可能对周</w:t>
            </w:r>
            <w:r>
              <w:rPr>
                <w:rFonts w:hint="default" w:ascii="Times New Roman" w:hAnsi="Times New Roman" w:cs="Times New Roman"/>
                <w:color w:val="000000" w:themeColor="text1"/>
                <w:spacing w:val="-6"/>
                <w:szCs w:val="20"/>
                <w:highlight w:val="none"/>
                <w14:textFill>
                  <w14:solidFill>
                    <w14:schemeClr w14:val="tx1"/>
                  </w14:solidFill>
                </w14:textFill>
              </w:rPr>
              <w:t>围生态环境产生的影响而制定的生态恢复计划和补偿措施等内容。</w:t>
            </w:r>
          </w:p>
        </w:tc>
      </w:tr>
      <w:tr w14:paraId="5EA9A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87" w:type="pct"/>
            <w:vAlign w:val="center"/>
          </w:tcPr>
          <w:p w14:paraId="32945478">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7</w:t>
            </w:r>
          </w:p>
        </w:tc>
        <w:tc>
          <w:tcPr>
            <w:tcW w:w="1044" w:type="pct"/>
            <w:vAlign w:val="center"/>
          </w:tcPr>
          <w:p w14:paraId="01276BA4">
            <w:pPr>
              <w:pStyle w:val="49"/>
              <w:keepNext w:val="0"/>
              <w:keepLines w:val="0"/>
              <w:pageBreakBefore w:val="0"/>
              <w:widowControl w:val="0"/>
              <w:kinsoku/>
              <w:wordWrap/>
              <w:topLinePunct w:val="0"/>
              <w:bidi w:val="0"/>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zCs w:val="20"/>
                <w:highlight w:val="none"/>
                <w14:textFill>
                  <w14:solidFill>
                    <w14:schemeClr w14:val="tx1"/>
                  </w14:solidFill>
                </w14:textFill>
              </w:rPr>
              <w:t>事故管理预案</w:t>
            </w:r>
          </w:p>
        </w:tc>
        <w:tc>
          <w:tcPr>
            <w:tcW w:w="3568" w:type="pct"/>
            <w:vAlign w:val="center"/>
          </w:tcPr>
          <w:p w14:paraId="02F6A414">
            <w:pPr>
              <w:pStyle w:val="49"/>
              <w:keepNext w:val="0"/>
              <w:keepLines w:val="0"/>
              <w:pageBreakBefore w:val="0"/>
              <w:widowControl w:val="0"/>
              <w:kinsoku/>
              <w:wordWrap/>
              <w:overflowPunct/>
              <w:topLinePunct w:val="0"/>
              <w:autoSpaceDE/>
              <w:autoSpaceDN/>
              <w:bidi w:val="0"/>
              <w:adjustRightInd/>
              <w:snapToGrid/>
              <w:ind w:firstLine="392" w:firstLineChars="200"/>
              <w:jc w:val="both"/>
              <w:textAlignment w:val="auto"/>
              <w:rPr>
                <w:rFonts w:hint="default" w:ascii="Times New Roman" w:hAnsi="Times New Roman" w:cs="Times New Roman"/>
                <w:color w:val="000000" w:themeColor="text1"/>
                <w:szCs w:val="20"/>
                <w:highlight w:val="none"/>
                <w14:textFill>
                  <w14:solidFill>
                    <w14:schemeClr w14:val="tx1"/>
                  </w14:solidFill>
                </w14:textFill>
              </w:rPr>
            </w:pPr>
            <w:r>
              <w:rPr>
                <w:rFonts w:hint="default" w:ascii="Times New Roman" w:hAnsi="Times New Roman" w:cs="Times New Roman"/>
                <w:color w:val="000000" w:themeColor="text1"/>
                <w:spacing w:val="-7"/>
                <w:szCs w:val="20"/>
                <w:highlight w:val="none"/>
                <w14:textFill>
                  <w14:solidFill>
                    <w14:schemeClr w14:val="tx1"/>
                  </w14:solidFill>
                </w14:textFill>
              </w:rPr>
              <w:t>明确油田开发建设过程中的诸如集油管道可能存在的</w:t>
            </w:r>
            <w:r>
              <w:rPr>
                <w:rFonts w:hint="default" w:ascii="Times New Roman" w:hAnsi="Times New Roman" w:cs="Times New Roman"/>
                <w:color w:val="000000" w:themeColor="text1"/>
                <w:spacing w:val="-5"/>
                <w:szCs w:val="20"/>
                <w:highlight w:val="none"/>
                <w14:textFill>
                  <w14:solidFill>
                    <w14:schemeClr w14:val="tx1"/>
                  </w14:solidFill>
                </w14:textFill>
              </w:rPr>
              <w:t>突发事故的预防管理措施。</w:t>
            </w:r>
          </w:p>
        </w:tc>
      </w:tr>
    </w:tbl>
    <w:p w14:paraId="79973855">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8.1.3管理措施</w:t>
      </w:r>
    </w:p>
    <w:p w14:paraId="28B628B3">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（1）最高领导层将HSE管理放在与企业生产和经营管理同等重要的位置上；</w:t>
      </w:r>
    </w:p>
    <w:p w14:paraId="408E5014">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（2）公司员工时刻将HSE责任放在心中；</w:t>
      </w:r>
    </w:p>
    <w:p w14:paraId="745C6721">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（3）制定和落实一岗一责制；</w:t>
      </w:r>
    </w:p>
    <w:p w14:paraId="3260D2A3">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（4）加强生产技术及HSE教育和培训；</w:t>
      </w:r>
    </w:p>
    <w:p w14:paraId="2AE0C81D">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（5）做好现场审核和整改；</w:t>
      </w:r>
    </w:p>
    <w:p w14:paraId="39EA8523">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（6）奖优罚劣，持续改进HSE表现。</w:t>
      </w:r>
    </w:p>
    <w:p w14:paraId="5CD75E04">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39" w:name="_Toc14962"/>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8.2环境监控</w:t>
      </w:r>
      <w:bookmarkEnd w:id="139"/>
    </w:p>
    <w:p w14:paraId="3D26388C">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8.2.1环境监控实施计划</w:t>
      </w:r>
    </w:p>
    <w:p w14:paraId="2C2F7371">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w:t>
      </w:r>
      <w:r>
        <w:rPr>
          <w:rFonts w:hint="default" w:ascii="Times New Roman" w:hAnsi="Times New Roman" w:cs="Times New Roman"/>
          <w:color w:val="000000" w:themeColor="text1"/>
          <w:highlight w:val="none"/>
          <w14:textFill>
            <w14:solidFill>
              <w14:schemeClr w14:val="tx1"/>
            </w14:solidFill>
          </w14:textFill>
        </w:rPr>
        <w:t>由</w:t>
      </w:r>
      <w:r>
        <w:rPr>
          <w:rFonts w:hint="eastAsia" w:cs="Times New Roman"/>
          <w:color w:val="000000" w:themeColor="text1"/>
          <w:highlight w:val="none"/>
          <w:lang w:eastAsia="zh-CN"/>
          <w14:textFill>
            <w14:solidFill>
              <w14:schemeClr w14:val="tx1"/>
            </w14:solidFill>
          </w14:textFill>
        </w:rPr>
        <w:t>第八采油厂</w:t>
      </w:r>
      <w:r>
        <w:rPr>
          <w:rFonts w:hint="default" w:ascii="Times New Roman" w:hAnsi="Times New Roman" w:cs="Times New Roman"/>
          <w:color w:val="000000" w:themeColor="text1"/>
          <w:highlight w:val="none"/>
          <w14:textFill>
            <w14:solidFill>
              <w14:schemeClr w14:val="tx1"/>
            </w14:solidFill>
          </w14:textFill>
        </w:rPr>
        <w:t>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分别配备协调员，实行逐级负责制。</w:t>
      </w:r>
    </w:p>
    <w:p w14:paraId="052C4371">
      <w:pPr>
        <w:pStyle w:val="34"/>
        <w:keepNext w:val="0"/>
        <w:keepLines w:val="0"/>
        <w:pageBreakBefore w:val="0"/>
        <w:widowControl w:val="0"/>
        <w:kinsoku/>
        <w:wordWrap/>
        <w:overflowPunct/>
        <w:topLinePunct w:val="0"/>
        <w:autoSpaceDE/>
        <w:autoSpaceDN/>
        <w:bidi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HSE机构在环境管理上的主要任务包括；负责制定本油田施工作业的环境管理方案，制定发生事故的应急计划，监督各项环保措施的落实及环保工程的检查和预验收，负责协调与地方环保、水利、土地等部门的关系以及负责有关环保文件、技术资料的收集建档等。</w:t>
      </w:r>
    </w:p>
    <w:p w14:paraId="10729302">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8.2.2环境管理工作的重点</w:t>
      </w:r>
    </w:p>
    <w:p w14:paraId="15465F46">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工程投产运行后，油田环境管理工作由</w:t>
      </w:r>
      <w:r>
        <w:rPr>
          <w:rFonts w:hint="eastAsia" w:cs="Times New Roman"/>
          <w:color w:val="000000" w:themeColor="text1"/>
          <w:highlight w:val="none"/>
          <w:lang w:eastAsia="zh-CN"/>
          <w14:textFill>
            <w14:solidFill>
              <w14:schemeClr w14:val="tx1"/>
            </w14:solidFill>
          </w14:textFill>
        </w:rPr>
        <w:t>第八采油厂</w:t>
      </w:r>
      <w:r>
        <w:rPr>
          <w:rFonts w:hint="default" w:ascii="Times New Roman" w:hAnsi="Times New Roman" w:cs="Times New Roman"/>
          <w:color w:val="000000" w:themeColor="text1"/>
          <w:highlight w:val="none"/>
          <w14:textFill>
            <w14:solidFill>
              <w14:schemeClr w14:val="tx1"/>
            </w14:solidFill>
          </w14:textFill>
        </w:rPr>
        <w:t>安全环保部负责，在油田生产</w:t>
      </w: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，环境管理除抓好日常站场各种环保设施的运行、维护等工作外，工作重点应针对油气集输生产和管理情况及集输</w:t>
      </w:r>
      <w:r>
        <w:rPr>
          <w:rFonts w:hint="eastAsia" w:cs="Times New Roman"/>
          <w:color w:val="000000" w:themeColor="text1"/>
          <w:highlight w:val="none"/>
          <w:lang w:eastAsia="zh-CN"/>
          <w14:textFill>
            <w14:solidFill>
              <w14:schemeClr w14:val="tx1"/>
            </w14:solidFill>
          </w14:textFill>
        </w:rPr>
        <w:t>管道</w:t>
      </w:r>
      <w:r>
        <w:rPr>
          <w:rFonts w:hint="default" w:ascii="Times New Roman" w:hAnsi="Times New Roman" w:cs="Times New Roman"/>
          <w:color w:val="000000" w:themeColor="text1"/>
          <w:highlight w:val="none"/>
          <w14:textFill>
            <w14:solidFill>
              <w14:schemeClr w14:val="tx1"/>
            </w14:solidFill>
          </w14:textFill>
        </w:rPr>
        <w:t>破裂后油水泄漏等事故的预防和处理上。为此，必须制定相应的事故预防措施、事故应急措施以及恢复补偿措施等。正常油气集输过程中的检查重点为集输管道。集输管道的监控内容为管道运营是否正常，是否有穿孔等潜在危害存在，以杜绝原油泄漏。</w:t>
      </w:r>
    </w:p>
    <w:p w14:paraId="7BEFB1C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8.2.3环境管理人员的基本职责</w:t>
      </w:r>
    </w:p>
    <w:p w14:paraId="279A6195">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（1）协助有关环保部门进行环境保护设施的竣工验收工作；</w:t>
      </w:r>
    </w:p>
    <w:p w14:paraId="0CDE38F6">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（2）定期进行环保安全检查和召开有关会议；</w:t>
      </w:r>
    </w:p>
    <w:p w14:paraId="692D0AD3">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（3）对领导和职工特别是兼职环保人员进行环保安全方面的培训；</w:t>
      </w:r>
    </w:p>
    <w:p w14:paraId="3F5BDF1D">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（4）制定各种可能发生事故的应急计划，定期进行演练；配备各种必要的维护、抢修器材和设备，保证在发生事故时能及时到位；</w:t>
      </w:r>
    </w:p>
    <w:p w14:paraId="7A4F81A8">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（5）主管环保的人员应参加生产调度和管理工作会议，针对生产运行中存在的环境问题，向公司领导和生产部门提出建议和技术处理措施。</w:t>
      </w:r>
    </w:p>
    <w:p w14:paraId="60ADA2C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8.2.4环境监控基本内容</w:t>
      </w:r>
    </w:p>
    <w:p w14:paraId="780EAE4A">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为了油田开发区域内环境的持续改进，对油田开发建设的各项活动进行全过程、全方位的监控。</w:t>
      </w:r>
      <w:r>
        <w:rPr>
          <w:rFonts w:hint="eastAsia" w:cs="Times New Roman"/>
          <w:color w:val="000000" w:themeColor="text1"/>
          <w:highlight w:val="none"/>
          <w:lang w:val="en-US" w:eastAsia="zh-CN"/>
          <w14:textFill>
            <w14:solidFill>
              <w14:schemeClr w14:val="tx1"/>
            </w14:solidFill>
          </w14:textFill>
        </w:rPr>
        <w:t>主要为管道的</w:t>
      </w:r>
      <w:r>
        <w:rPr>
          <w:rFonts w:hint="default" w:ascii="Times New Roman" w:hAnsi="Times New Roman" w:cs="Times New Roman"/>
          <w:color w:val="000000" w:themeColor="text1"/>
          <w:highlight w:val="none"/>
          <w14:textFill>
            <w14:solidFill>
              <w14:schemeClr w14:val="tx1"/>
            </w14:solidFill>
          </w14:textFill>
        </w:rPr>
        <w:t>建设，以及油田正常生产情况下的相应作业施工建设等过程。油田运营期的环境监控主要是原油集输过程中的环境保护措施执行情况。日常监控主要由本站的环保员组织定期进行，由上级部门核查。核查采用检查现场、检查记录、与员工座谈等形式进行；检查和核查应形成记录。</w:t>
      </w:r>
    </w:p>
    <w:p w14:paraId="6F389D7D">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40" w:name="_Toc25010"/>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8.3环境管理与监测计划</w:t>
      </w:r>
      <w:bookmarkEnd w:id="140"/>
    </w:p>
    <w:p w14:paraId="0F516A1C">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8.</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highlight w:val="none"/>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施工期环境</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管理与</w:t>
      </w:r>
      <w:r>
        <w:rPr>
          <w:rFonts w:hint="default" w:ascii="Times New Roman" w:hAnsi="Times New Roman" w:eastAsia="宋体" w:cs="Times New Roman"/>
          <w:b/>
          <w:color w:val="000000" w:themeColor="text1"/>
          <w:sz w:val="28"/>
          <w:szCs w:val="28"/>
          <w:highlight w:val="none"/>
          <w14:textFill>
            <w14:solidFill>
              <w14:schemeClr w14:val="tx1"/>
            </w14:solidFill>
          </w14:textFill>
        </w:rPr>
        <w:t>监测计划</w:t>
      </w:r>
    </w:p>
    <w:p w14:paraId="09CC77FF">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8.3.1.1加强工程承包方管理</w:t>
      </w:r>
    </w:p>
    <w:p w14:paraId="3353153B">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要与具有相关资质的施工作业单位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签订</w:t>
      </w:r>
      <w:r>
        <w:rPr>
          <w:rFonts w:hint="default" w:ascii="Times New Roman" w:hAnsi="Times New Roman" w:eastAsia="宋体" w:cs="Times New Roman"/>
          <w:color w:val="000000" w:themeColor="text1"/>
          <w:sz w:val="24"/>
          <w:szCs w:val="24"/>
          <w:highlight w:val="none"/>
          <w14:textFill>
            <w14:solidFill>
              <w14:schemeClr w14:val="tx1"/>
            </w14:solidFill>
          </w14:textFill>
        </w:rPr>
        <w:t>《工程服务安全生产合同》，执行HSE管理体系，对项目实施HSE立卷管理，并按其内容执行。针对工程的承包方，应加强环境管理，制定出严格的环保管理制度</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812E50C">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（1）在承包方的选择上应优先选择那些环保管理水平高、环保业绩好的单位；</w:t>
      </w:r>
    </w:p>
    <w:p w14:paraId="47B37F1E">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（2）在承包合同中应明确有关环境保护条款，如环境保护目标，采取的水、气、声和生态保护措施等，将环保工作的好坏作为工程验收的标准之一；</w:t>
      </w:r>
    </w:p>
    <w:p w14:paraId="74C06CA6">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（3）各分承包方应按照项目部的环境管理制度要求，建立相应的环境管理机构，明确环保管理人员，明确人员职责等；</w:t>
      </w:r>
    </w:p>
    <w:p w14:paraId="46064581">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（4）各分承包方在施工之前，编制详细的“环境管理方案”，并连同施工计划一起呈报项目经理部以及有关的环保部门，批准后方可以开工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3175AD94">
      <w:pPr>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强施工监理：环境监理人员需依据环评报告及批复要求，对施工活动实施全链条、可视化的监督与管理。在生态保护方面，重点监督表土剥离、保存与回覆的规范性，确保剥离厚度达标、堆放点防护有效（如覆盖防尘网）、后期回覆优先用于复垦；严格控制施工作业带范围，严禁车辆、设备越界碾压。在污染防控方面，重点监控危险废物的收集、暂存与合规处置，严防“跑冒滴漏”；监督扬尘控制措施（如洒水、苫盖）及噪声防治措施的落实情况。在环境风险防范方面，则重点关注管道焊接质量、防腐等级及压力测试，确保其防渗漏性能从源头得到保障。通过对“三同时”（环保设施与主体工程同时设计、同时施工、同时投产使用）制度的执行情况进行监督，环境监理旨在最终形成完整的监理记录与报告，为项目环保竣工验收提供核心依据，从而切实将施工活动对生态环境的负面影响降至最低</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54DC0E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8.3.1.2注重人员培训</w:t>
      </w:r>
    </w:p>
    <w:p w14:paraId="1B087DD0">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作业之前必须对全体施工人员进行包括环保知识、意识和能力的培训。其中环保能力的培训主要包括：保护环境的规定；减少和收集、处理固体废物的方法；管理、存放及处理危险品的方法；国家及当地政府的环境保护法律、法规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A945FA1">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8.3.1.3施工期环境监测计划</w:t>
      </w:r>
    </w:p>
    <w:p w14:paraId="61132C5A">
      <w:pPr>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施工期的环境监测可包括对作业场所的控制监测和事故发生后的影响监测。主要是对施工场界的噪声、扬尘等进行一次性监测，发生事故时对周围的空气、土壤等进行监测。具体见表8.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p>
    <w:p w14:paraId="65034C06">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表8.</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default" w:ascii="Times New Roman" w:hAnsi="Times New Roman" w:cs="Times New Roman"/>
          <w:color w:val="000000" w:themeColor="text1"/>
          <w:highlight w:val="none"/>
          <w:lang w:eastAsia="zh-CN"/>
          <w14:textFill>
            <w14:solidFill>
              <w14:schemeClr w14:val="tx1"/>
            </w14:solidFill>
          </w14:textFill>
        </w:rPr>
        <w:t>工程施工期污染物排放监测计划表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54"/>
        <w:gridCol w:w="2792"/>
        <w:gridCol w:w="2880"/>
        <w:gridCol w:w="1366"/>
      </w:tblGrid>
      <w:tr w14:paraId="75F5E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noWrap w:val="0"/>
            <w:tcMar>
              <w:top w:w="28" w:type="dxa"/>
              <w:left w:w="28" w:type="dxa"/>
              <w:bottom w:w="28" w:type="dxa"/>
              <w:right w:w="28" w:type="dxa"/>
            </w:tcMar>
            <w:vAlign w:val="center"/>
          </w:tcPr>
          <w:p w14:paraId="787348C0">
            <w:pPr>
              <w:pStyle w:val="49"/>
              <w:keepNext w:val="0"/>
              <w:keepLines w:val="0"/>
              <w:pageBreakBefore w:val="0"/>
              <w:widowControl w:val="0"/>
              <w:kinsoku/>
              <w:wordWrap/>
              <w:topLinePunct w:val="0"/>
              <w:bidi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序号</w:t>
            </w:r>
          </w:p>
        </w:tc>
        <w:tc>
          <w:tcPr>
            <w:tcW w:w="1354" w:type="dxa"/>
            <w:tcBorders>
              <w:tl2br w:val="nil"/>
              <w:tr2bl w:val="nil"/>
            </w:tcBorders>
            <w:noWrap w:val="0"/>
            <w:tcMar>
              <w:top w:w="28" w:type="dxa"/>
              <w:left w:w="28" w:type="dxa"/>
              <w:bottom w:w="28" w:type="dxa"/>
              <w:right w:w="28" w:type="dxa"/>
            </w:tcMar>
            <w:vAlign w:val="center"/>
          </w:tcPr>
          <w:p w14:paraId="600D1470">
            <w:pPr>
              <w:pStyle w:val="49"/>
              <w:keepNext w:val="0"/>
              <w:keepLines w:val="0"/>
              <w:pageBreakBefore w:val="0"/>
              <w:widowControl w:val="0"/>
              <w:kinsoku/>
              <w:wordWrap/>
              <w:topLinePunct w:val="0"/>
              <w:bidi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监测内容</w:t>
            </w:r>
          </w:p>
        </w:tc>
        <w:tc>
          <w:tcPr>
            <w:tcW w:w="2792" w:type="dxa"/>
            <w:tcBorders>
              <w:tl2br w:val="nil"/>
              <w:tr2bl w:val="nil"/>
            </w:tcBorders>
            <w:noWrap w:val="0"/>
            <w:tcMar>
              <w:top w:w="28" w:type="dxa"/>
              <w:left w:w="28" w:type="dxa"/>
              <w:bottom w:w="28" w:type="dxa"/>
              <w:right w:w="28" w:type="dxa"/>
            </w:tcMar>
            <w:vAlign w:val="center"/>
          </w:tcPr>
          <w:p w14:paraId="0F52E4D0">
            <w:pPr>
              <w:pStyle w:val="49"/>
              <w:keepNext w:val="0"/>
              <w:keepLines w:val="0"/>
              <w:pageBreakBefore w:val="0"/>
              <w:widowControl w:val="0"/>
              <w:kinsoku/>
              <w:wordWrap/>
              <w:topLinePunct w:val="0"/>
              <w:bidi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监测（检查）项目</w:t>
            </w:r>
          </w:p>
        </w:tc>
        <w:tc>
          <w:tcPr>
            <w:tcW w:w="2880" w:type="dxa"/>
            <w:tcBorders>
              <w:tl2br w:val="nil"/>
              <w:tr2bl w:val="nil"/>
            </w:tcBorders>
            <w:noWrap w:val="0"/>
            <w:tcMar>
              <w:top w:w="28" w:type="dxa"/>
              <w:left w:w="28" w:type="dxa"/>
              <w:bottom w:w="28" w:type="dxa"/>
              <w:right w:w="28" w:type="dxa"/>
            </w:tcMar>
            <w:vAlign w:val="center"/>
          </w:tcPr>
          <w:p w14:paraId="583DE48A">
            <w:pPr>
              <w:pStyle w:val="49"/>
              <w:keepNext w:val="0"/>
              <w:keepLines w:val="0"/>
              <w:pageBreakBefore w:val="0"/>
              <w:widowControl w:val="0"/>
              <w:kinsoku/>
              <w:wordWrap/>
              <w:topLinePunct w:val="0"/>
              <w:bidi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监测点位</w:t>
            </w:r>
          </w:p>
        </w:tc>
        <w:tc>
          <w:tcPr>
            <w:tcW w:w="1366" w:type="dxa"/>
            <w:tcBorders>
              <w:tl2br w:val="nil"/>
              <w:tr2bl w:val="nil"/>
            </w:tcBorders>
            <w:noWrap w:val="0"/>
            <w:tcMar>
              <w:top w:w="28" w:type="dxa"/>
              <w:left w:w="28" w:type="dxa"/>
              <w:bottom w:w="28" w:type="dxa"/>
              <w:right w:w="28" w:type="dxa"/>
            </w:tcMar>
            <w:vAlign w:val="center"/>
          </w:tcPr>
          <w:p w14:paraId="20417628">
            <w:pPr>
              <w:pStyle w:val="49"/>
              <w:keepNext w:val="0"/>
              <w:keepLines w:val="0"/>
              <w:pageBreakBefore w:val="0"/>
              <w:widowControl w:val="0"/>
              <w:kinsoku/>
              <w:wordWrap/>
              <w:topLinePunct w:val="0"/>
              <w:bidi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监测频次</w:t>
            </w:r>
          </w:p>
        </w:tc>
      </w:tr>
      <w:tr w14:paraId="05BA0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noWrap w:val="0"/>
            <w:vAlign w:val="center"/>
          </w:tcPr>
          <w:p w14:paraId="7F5A5245">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c>
          <w:tcPr>
            <w:tcW w:w="1354" w:type="dxa"/>
            <w:tcBorders>
              <w:tl2br w:val="nil"/>
              <w:tr2bl w:val="nil"/>
            </w:tcBorders>
            <w:noWrap w:val="0"/>
            <w:vAlign w:val="center"/>
          </w:tcPr>
          <w:p w14:paraId="1686B78D">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场界扬尘</w:t>
            </w:r>
          </w:p>
        </w:tc>
        <w:tc>
          <w:tcPr>
            <w:tcW w:w="2792" w:type="dxa"/>
            <w:tcBorders>
              <w:tl2br w:val="nil"/>
              <w:tr2bl w:val="nil"/>
            </w:tcBorders>
            <w:noWrap w:val="0"/>
            <w:tcMar>
              <w:top w:w="28" w:type="dxa"/>
              <w:left w:w="28" w:type="dxa"/>
              <w:bottom w:w="28" w:type="dxa"/>
              <w:right w:w="28" w:type="dxa"/>
            </w:tcMar>
            <w:vAlign w:val="center"/>
          </w:tcPr>
          <w:p w14:paraId="61783DE4">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颗粒物</w:t>
            </w:r>
          </w:p>
        </w:tc>
        <w:tc>
          <w:tcPr>
            <w:tcW w:w="2880" w:type="dxa"/>
            <w:tcBorders>
              <w:tl2br w:val="nil"/>
              <w:tr2bl w:val="nil"/>
            </w:tcBorders>
            <w:noWrap w:val="0"/>
            <w:tcMar>
              <w:top w:w="28" w:type="dxa"/>
              <w:left w:w="28" w:type="dxa"/>
              <w:bottom w:w="28" w:type="dxa"/>
              <w:right w:w="28" w:type="dxa"/>
            </w:tcMar>
            <w:vAlign w:val="center"/>
          </w:tcPr>
          <w:p w14:paraId="4552696E">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场界外</w:t>
            </w:r>
            <w:r>
              <w:rPr>
                <w:rFonts w:hint="default" w:ascii="Times New Roman" w:hAnsi="Times New Roman" w:cs="Times New Roman"/>
                <w:color w:val="000000" w:themeColor="text1"/>
                <w:highlight w:val="none"/>
                <w:lang w:val="en-US" w:eastAsia="zh-CN"/>
                <w14:textFill>
                  <w14:solidFill>
                    <w14:schemeClr w14:val="tx1"/>
                  </w14:solidFill>
                </w14:textFill>
              </w:rPr>
              <w:t>10m范围内</w:t>
            </w:r>
          </w:p>
        </w:tc>
        <w:tc>
          <w:tcPr>
            <w:tcW w:w="1366" w:type="dxa"/>
            <w:tcBorders>
              <w:tl2br w:val="nil"/>
              <w:tr2bl w:val="nil"/>
            </w:tcBorders>
            <w:noWrap w:val="0"/>
            <w:tcMar>
              <w:top w:w="28" w:type="dxa"/>
              <w:left w:w="28" w:type="dxa"/>
              <w:bottom w:w="28" w:type="dxa"/>
              <w:right w:w="28" w:type="dxa"/>
            </w:tcMar>
            <w:vAlign w:val="center"/>
          </w:tcPr>
          <w:p w14:paraId="7F7884BD">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1次/</w:t>
            </w:r>
            <w:r>
              <w:rPr>
                <w:rFonts w:hint="default" w:ascii="Times New Roman" w:hAnsi="Times New Roman" w:cs="Times New Roman"/>
                <w:color w:val="000000" w:themeColor="text1"/>
                <w:highlight w:val="none"/>
                <w:lang w:eastAsia="zh-CN"/>
                <w14:textFill>
                  <w14:solidFill>
                    <w14:schemeClr w14:val="tx1"/>
                  </w14:solidFill>
                </w14:textFill>
              </w:rPr>
              <w:t>施工期</w:t>
            </w:r>
          </w:p>
        </w:tc>
      </w:tr>
      <w:tr w14:paraId="07B81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noWrap w:val="0"/>
            <w:tcMar>
              <w:top w:w="28" w:type="dxa"/>
              <w:left w:w="28" w:type="dxa"/>
              <w:bottom w:w="28" w:type="dxa"/>
              <w:right w:w="28" w:type="dxa"/>
            </w:tcMar>
            <w:vAlign w:val="center"/>
          </w:tcPr>
          <w:p w14:paraId="146A9AAA">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2</w:t>
            </w:r>
          </w:p>
        </w:tc>
        <w:tc>
          <w:tcPr>
            <w:tcW w:w="1354" w:type="dxa"/>
            <w:tcBorders>
              <w:tl2br w:val="nil"/>
              <w:tr2bl w:val="nil"/>
            </w:tcBorders>
            <w:noWrap w:val="0"/>
            <w:tcMar>
              <w:top w:w="28" w:type="dxa"/>
              <w:left w:w="28" w:type="dxa"/>
              <w:bottom w:w="28" w:type="dxa"/>
              <w:right w:w="28" w:type="dxa"/>
            </w:tcMar>
            <w:vAlign w:val="center"/>
          </w:tcPr>
          <w:p w14:paraId="5D7D6D69">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场界噪声</w:t>
            </w:r>
          </w:p>
        </w:tc>
        <w:tc>
          <w:tcPr>
            <w:tcW w:w="2792" w:type="dxa"/>
            <w:tcBorders>
              <w:tl2br w:val="nil"/>
              <w:tr2bl w:val="nil"/>
            </w:tcBorders>
            <w:noWrap w:val="0"/>
            <w:tcMar>
              <w:top w:w="28" w:type="dxa"/>
              <w:left w:w="28" w:type="dxa"/>
              <w:bottom w:w="28" w:type="dxa"/>
              <w:right w:w="28" w:type="dxa"/>
            </w:tcMar>
            <w:vAlign w:val="center"/>
          </w:tcPr>
          <w:p w14:paraId="7057AE02">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连续等效A声级</w:t>
            </w:r>
          </w:p>
        </w:tc>
        <w:tc>
          <w:tcPr>
            <w:tcW w:w="2880" w:type="dxa"/>
            <w:tcBorders>
              <w:tl2br w:val="nil"/>
              <w:tr2bl w:val="nil"/>
            </w:tcBorders>
            <w:noWrap w:val="0"/>
            <w:tcMar>
              <w:top w:w="28" w:type="dxa"/>
              <w:left w:w="28" w:type="dxa"/>
              <w:bottom w:w="28" w:type="dxa"/>
              <w:right w:w="28" w:type="dxa"/>
            </w:tcMar>
            <w:vAlign w:val="center"/>
          </w:tcPr>
          <w:p w14:paraId="15CB0E2E">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场界</w:t>
            </w:r>
            <w:r>
              <w:rPr>
                <w:rFonts w:hint="default" w:ascii="Times New Roman" w:hAnsi="Times New Roman" w:eastAsia="宋体" w:cs="Times New Roman"/>
                <w:color w:val="000000" w:themeColor="text1"/>
                <w:highlight w:val="none"/>
                <w:lang w:eastAsia="zh-CN"/>
                <w14:textFill>
                  <w14:solidFill>
                    <w14:schemeClr w14:val="tx1"/>
                  </w14:solidFill>
                </w14:textFill>
              </w:rPr>
              <w:t>外1m</w:t>
            </w:r>
          </w:p>
        </w:tc>
        <w:tc>
          <w:tcPr>
            <w:tcW w:w="1366" w:type="dxa"/>
            <w:tcBorders>
              <w:tl2br w:val="nil"/>
              <w:tr2bl w:val="nil"/>
            </w:tcBorders>
            <w:noWrap w:val="0"/>
            <w:tcMar>
              <w:top w:w="28" w:type="dxa"/>
              <w:left w:w="28" w:type="dxa"/>
              <w:bottom w:w="28" w:type="dxa"/>
              <w:right w:w="28" w:type="dxa"/>
            </w:tcMar>
            <w:vAlign w:val="center"/>
          </w:tcPr>
          <w:p w14:paraId="7B102753">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1次/</w:t>
            </w:r>
            <w:r>
              <w:rPr>
                <w:rFonts w:hint="default" w:ascii="Times New Roman" w:hAnsi="Times New Roman" w:cs="Times New Roman"/>
                <w:color w:val="000000" w:themeColor="text1"/>
                <w:highlight w:val="none"/>
                <w:lang w:eastAsia="zh-CN"/>
                <w14:textFill>
                  <w14:solidFill>
                    <w14:schemeClr w14:val="tx1"/>
                  </w14:solidFill>
                </w14:textFill>
              </w:rPr>
              <w:t>施工期</w:t>
            </w:r>
          </w:p>
        </w:tc>
      </w:tr>
      <w:tr w14:paraId="3528C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tl2br w:val="nil"/>
              <w:tr2bl w:val="nil"/>
            </w:tcBorders>
            <w:noWrap w:val="0"/>
            <w:tcMar>
              <w:top w:w="28" w:type="dxa"/>
              <w:left w:w="28" w:type="dxa"/>
              <w:bottom w:w="28" w:type="dxa"/>
              <w:right w:w="28" w:type="dxa"/>
            </w:tcMar>
            <w:vAlign w:val="center"/>
          </w:tcPr>
          <w:p w14:paraId="65955136">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p>
        </w:tc>
        <w:tc>
          <w:tcPr>
            <w:tcW w:w="1354" w:type="dxa"/>
            <w:tcBorders>
              <w:tl2br w:val="nil"/>
              <w:tr2bl w:val="nil"/>
            </w:tcBorders>
            <w:noWrap w:val="0"/>
            <w:tcMar>
              <w:top w:w="28" w:type="dxa"/>
              <w:left w:w="28" w:type="dxa"/>
              <w:bottom w:w="28" w:type="dxa"/>
              <w:right w:w="28" w:type="dxa"/>
            </w:tcMar>
            <w:vAlign w:val="center"/>
          </w:tcPr>
          <w:p w14:paraId="5B3B4D10">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事故监测</w:t>
            </w:r>
          </w:p>
        </w:tc>
        <w:tc>
          <w:tcPr>
            <w:tcW w:w="2792" w:type="dxa"/>
            <w:tcBorders>
              <w:tl2br w:val="nil"/>
              <w:tr2bl w:val="nil"/>
            </w:tcBorders>
            <w:noWrap w:val="0"/>
            <w:tcMar>
              <w:top w:w="28" w:type="dxa"/>
              <w:left w:w="28" w:type="dxa"/>
              <w:bottom w:w="28" w:type="dxa"/>
              <w:right w:w="28" w:type="dxa"/>
            </w:tcMar>
            <w:vAlign w:val="center"/>
          </w:tcPr>
          <w:p w14:paraId="13D17D1A">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空气：非甲烷总烃；</w:t>
            </w:r>
          </w:p>
          <w:p w14:paraId="52D8DF06">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土壤：石油烃；</w:t>
            </w:r>
          </w:p>
          <w:p w14:paraId="4A7D27EE">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地表水：石油类</w:t>
            </w:r>
          </w:p>
          <w:p w14:paraId="363A62FB">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地下水：石油类</w:t>
            </w:r>
          </w:p>
        </w:tc>
        <w:tc>
          <w:tcPr>
            <w:tcW w:w="2880" w:type="dxa"/>
            <w:tcBorders>
              <w:tl2br w:val="nil"/>
              <w:tr2bl w:val="nil"/>
            </w:tcBorders>
            <w:noWrap w:val="0"/>
            <w:tcMar>
              <w:top w:w="28" w:type="dxa"/>
              <w:left w:w="28" w:type="dxa"/>
              <w:bottom w:w="28" w:type="dxa"/>
              <w:right w:w="28" w:type="dxa"/>
            </w:tcMar>
            <w:vAlign w:val="center"/>
          </w:tcPr>
          <w:p w14:paraId="2E061755">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空气及土壤为事故地点；</w:t>
            </w:r>
            <w:r>
              <w:rPr>
                <w:rFonts w:hint="eastAsia" w:ascii="Times New Roman" w:hAnsi="Times New Roman" w:cs="Times New Roman"/>
                <w:color w:val="000000" w:themeColor="text1"/>
                <w:highlight w:val="none"/>
                <w:lang w:eastAsia="zh-CN"/>
                <w14:textFill>
                  <w14:solidFill>
                    <w14:schemeClr w14:val="tx1"/>
                  </w14:solidFill>
                </w14:textFill>
              </w:rPr>
              <w:t>地表水、</w:t>
            </w:r>
            <w:r>
              <w:rPr>
                <w:rFonts w:hint="default" w:ascii="Times New Roman" w:hAnsi="Times New Roman" w:eastAsia="宋体" w:cs="Times New Roman"/>
                <w:color w:val="000000" w:themeColor="text1"/>
                <w:highlight w:val="none"/>
                <w:lang w:eastAsia="zh-CN"/>
                <w14:textFill>
                  <w14:solidFill>
                    <w14:schemeClr w14:val="tx1"/>
                  </w14:solidFill>
                </w14:textFill>
              </w:rPr>
              <w:t>地下水为事故地点周围区域</w:t>
            </w:r>
          </w:p>
        </w:tc>
        <w:tc>
          <w:tcPr>
            <w:tcW w:w="1366" w:type="dxa"/>
            <w:tcBorders>
              <w:tl2br w:val="nil"/>
              <w:tr2bl w:val="nil"/>
            </w:tcBorders>
            <w:noWrap w:val="0"/>
            <w:tcMar>
              <w:top w:w="28" w:type="dxa"/>
              <w:left w:w="28" w:type="dxa"/>
              <w:bottom w:w="28" w:type="dxa"/>
              <w:right w:w="28" w:type="dxa"/>
            </w:tcMar>
            <w:vAlign w:val="center"/>
          </w:tcPr>
          <w:p w14:paraId="3600635A">
            <w:pPr>
              <w:pStyle w:val="49"/>
              <w:keepNext w:val="0"/>
              <w:keepLines w:val="0"/>
              <w:pageBreakBefore w:val="0"/>
              <w:widowControl w:val="0"/>
              <w:kinsoku/>
              <w:wordWrap/>
              <w:topLinePunct w:val="0"/>
              <w:bidi w:val="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事故发生24小时内</w:t>
            </w:r>
          </w:p>
        </w:tc>
      </w:tr>
    </w:tbl>
    <w:p w14:paraId="6E4198BE">
      <w:pPr>
        <w:keepNext w:val="0"/>
        <w:keepLines w:val="0"/>
        <w:pageBreakBefore w:val="0"/>
        <w:widowControl w:val="0"/>
        <w:kinsoku/>
        <w:wordWrap/>
        <w:overflowPunct/>
        <w:topLinePunct w:val="0"/>
        <w:autoSpaceDE/>
        <w:autoSpaceDN/>
        <w:bidi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8.</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3.2</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运营期</w:t>
      </w:r>
      <w:r>
        <w:rPr>
          <w:rFonts w:hint="default" w:ascii="Times New Roman" w:hAnsi="Times New Roman" w:eastAsia="宋体" w:cs="Times New Roman"/>
          <w:b/>
          <w:color w:val="000000" w:themeColor="text1"/>
          <w:sz w:val="28"/>
          <w:szCs w:val="28"/>
          <w:highlight w:val="none"/>
          <w14:textFill>
            <w14:solidFill>
              <w14:schemeClr w14:val="tx1"/>
            </w14:solidFill>
          </w14:textFill>
        </w:rPr>
        <w:t>环境</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管理与</w:t>
      </w:r>
      <w:r>
        <w:rPr>
          <w:rFonts w:hint="default" w:ascii="Times New Roman" w:hAnsi="Times New Roman" w:eastAsia="宋体" w:cs="Times New Roman"/>
          <w:b/>
          <w:color w:val="000000" w:themeColor="text1"/>
          <w:sz w:val="28"/>
          <w:szCs w:val="28"/>
          <w:highlight w:val="none"/>
          <w14:textFill>
            <w14:solidFill>
              <w14:schemeClr w14:val="tx1"/>
            </w14:solidFill>
          </w14:textFill>
        </w:rPr>
        <w:t>监测计划</w:t>
      </w:r>
    </w:p>
    <w:p w14:paraId="7074FEF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8.3.2.1运营期环境管理</w:t>
      </w:r>
    </w:p>
    <w:p w14:paraId="2C928E6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（1）进行环境监测，掌握污染现状；</w:t>
      </w:r>
    </w:p>
    <w:p w14:paraId="0A9BDCE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（2）定时定点监测周围环境，及时掌握环境状况的资料，促进环境管理的深入和污染治理的落实；</w:t>
      </w:r>
    </w:p>
    <w:p w14:paraId="5FCC71D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（3）落实环境管理制度；</w:t>
      </w:r>
    </w:p>
    <w:p w14:paraId="2A57E72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（4）制定环保经济责任考核制度，提高各部门对环境保护的责任感；</w:t>
      </w:r>
    </w:p>
    <w:p w14:paraId="3A29A9C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（5）强化专业人员培训。</w:t>
      </w:r>
    </w:p>
    <w:p w14:paraId="3B8B04D6">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3"/>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8.3.2.2运营期环境监测计划</w:t>
      </w:r>
    </w:p>
    <w:p w14:paraId="1FB21AD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本工程生产运营期需要进行的环境监测任务委托取得相关资质的地方环境监测站进行。环境监测应按国家和地方的环保要求进行，应采用国家规定的标准监测方法，并应按照规定，定期向有关环境保护主管部门上报监测结果。</w:t>
      </w:r>
    </w:p>
    <w:p w14:paraId="49C1301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根据《排污单位自行监测技术指南总则》（HJ819-2017）要求，结合油田运营期环境污染的特点，主要针对油田污染物排放、油田开发区生态恢复情况、事故等制定监测计划，包括污染源监测计划、环境质量监测计划及生态调查方案，具体见表8.3-</w:t>
      </w: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w:t>
      </w:r>
    </w:p>
    <w:p w14:paraId="0607A563">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表8.</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lang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监测计划</w:t>
      </w:r>
      <w:r>
        <w:rPr>
          <w:rFonts w:hint="default" w:ascii="Times New Roman" w:hAnsi="Times New Roman" w:cs="Times New Roman"/>
          <w:color w:val="000000" w:themeColor="text1"/>
          <w:highlight w:val="none"/>
          <w:lang w:eastAsia="zh-CN"/>
          <w14:textFill>
            <w14:solidFill>
              <w14:schemeClr w14:val="tx1"/>
            </w14:solidFill>
          </w14:textFill>
        </w:rPr>
        <w:t>表</w:t>
      </w:r>
    </w:p>
    <w:tbl>
      <w:tblPr>
        <w:tblStyle w:val="18"/>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26"/>
        <w:gridCol w:w="2520"/>
        <w:gridCol w:w="1104"/>
        <w:gridCol w:w="1365"/>
        <w:gridCol w:w="1875"/>
        <w:gridCol w:w="1171"/>
      </w:tblGrid>
      <w:tr w14:paraId="27E3C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527" w:type="dxa"/>
          </w:tcPr>
          <w:p w14:paraId="487C87EE">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序号</w:t>
            </w:r>
          </w:p>
        </w:tc>
        <w:tc>
          <w:tcPr>
            <w:tcW w:w="726" w:type="dxa"/>
            <w:vAlign w:val="center"/>
          </w:tcPr>
          <w:p w14:paraId="1B0770FA">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监测内容</w:t>
            </w:r>
          </w:p>
        </w:tc>
        <w:tc>
          <w:tcPr>
            <w:tcW w:w="2520" w:type="dxa"/>
            <w:vAlign w:val="center"/>
          </w:tcPr>
          <w:p w14:paraId="405FB724">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监测项目</w:t>
            </w:r>
          </w:p>
        </w:tc>
        <w:tc>
          <w:tcPr>
            <w:tcW w:w="4344" w:type="dxa"/>
            <w:gridSpan w:val="3"/>
            <w:vAlign w:val="center"/>
          </w:tcPr>
          <w:p w14:paraId="117882C1">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监测点位</w:t>
            </w:r>
          </w:p>
        </w:tc>
        <w:tc>
          <w:tcPr>
            <w:tcW w:w="1171" w:type="dxa"/>
            <w:vAlign w:val="center"/>
          </w:tcPr>
          <w:p w14:paraId="2B2D8D87">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t>监测时间及频次</w:t>
            </w:r>
          </w:p>
        </w:tc>
      </w:tr>
      <w:tr w14:paraId="2ABF8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527" w:type="dxa"/>
            <w:vMerge w:val="restart"/>
            <w:vAlign w:val="center"/>
          </w:tcPr>
          <w:p w14:paraId="480BDA8C">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726" w:type="dxa"/>
            <w:vMerge w:val="restart"/>
            <w:vAlign w:val="center"/>
          </w:tcPr>
          <w:p w14:paraId="0254FC3B">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w:t>
            </w:r>
          </w:p>
        </w:tc>
        <w:tc>
          <w:tcPr>
            <w:tcW w:w="2520" w:type="dxa"/>
            <w:vMerge w:val="restart"/>
            <w:vAlign w:val="center"/>
          </w:tcPr>
          <w:p w14:paraId="626D635B">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初次监测：</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pH、总硬度、溶解性总固体、</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硫酸盐、氯化物、铁、锰、铜、锌、铝、</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挥发酚</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、阴阳离子表面活性剂、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耗氧量</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氨氮、硫化物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亚硝酸盐、硝酸盐、氰化物、氟化物、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碘化物、</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汞、砷、</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硒、</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镉、六价铬</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三氯甲烷、四氯甲烷、苯、甲苯、色；</w:t>
            </w:r>
          </w:p>
          <w:p w14:paraId="41D5DC8B">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后续监测：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H、氨氮、石油类、挥发性酚类、耗氧量、石油烃（C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）、汞、砷、铬（六价）</w:t>
            </w:r>
          </w:p>
        </w:tc>
        <w:tc>
          <w:tcPr>
            <w:tcW w:w="1104" w:type="dxa"/>
            <w:vAlign w:val="center"/>
          </w:tcPr>
          <w:p w14:paraId="2E6812C0">
            <w:pPr>
              <w:pStyle w:val="3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宋芳屯居住区</w:t>
            </w:r>
          </w:p>
        </w:tc>
        <w:tc>
          <w:tcPr>
            <w:tcW w:w="1365" w:type="dxa"/>
            <w:vMerge w:val="restart"/>
            <w:vAlign w:val="center"/>
          </w:tcPr>
          <w:p w14:paraId="0A6AD785">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潜水跟踪监测点</w:t>
            </w:r>
          </w:p>
        </w:tc>
        <w:tc>
          <w:tcPr>
            <w:tcW w:w="1875" w:type="dxa"/>
            <w:vAlign w:val="center"/>
          </w:tcPr>
          <w:p w14:paraId="20ABDA70">
            <w:pPr>
              <w:pStyle w:val="39"/>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微软雅黑"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125.070827°，45.987808°</w:t>
            </w:r>
          </w:p>
        </w:tc>
        <w:tc>
          <w:tcPr>
            <w:tcW w:w="1171" w:type="dxa"/>
            <w:vMerge w:val="restart"/>
            <w:vAlign w:val="center"/>
          </w:tcPr>
          <w:p w14:paraId="226FD6E5">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1次/</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季度</w:t>
            </w:r>
          </w:p>
        </w:tc>
      </w:tr>
      <w:tr w14:paraId="53CC2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527" w:type="dxa"/>
            <w:vMerge w:val="continue"/>
            <w:vAlign w:val="center"/>
          </w:tcPr>
          <w:p w14:paraId="325CB2D2">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26" w:type="dxa"/>
            <w:vMerge w:val="continue"/>
            <w:vAlign w:val="center"/>
          </w:tcPr>
          <w:p w14:paraId="69249606">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0" w:type="dxa"/>
            <w:vMerge w:val="continue"/>
            <w:vAlign w:val="center"/>
          </w:tcPr>
          <w:p w14:paraId="1ADE04D9">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4" w:type="dxa"/>
            <w:vAlign w:val="center"/>
          </w:tcPr>
          <w:p w14:paraId="2B023221">
            <w:pPr>
              <w:keepNext w:val="0"/>
              <w:keepLines w:val="0"/>
              <w:pageBreakBefore w:val="0"/>
              <w:widowControl w:val="0"/>
              <w:kinsoku/>
              <w:wordWrap/>
              <w:overflowPunct/>
              <w:topLinePunct w:val="0"/>
              <w:autoSpaceDE/>
              <w:autoSpaceDN/>
              <w:bidi w:val="0"/>
              <w:adjustRightInd/>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粮油贸易公司</w:t>
            </w:r>
          </w:p>
        </w:tc>
        <w:tc>
          <w:tcPr>
            <w:tcW w:w="1365" w:type="dxa"/>
            <w:vMerge w:val="continue"/>
            <w:vAlign w:val="center"/>
          </w:tcPr>
          <w:p w14:paraId="76F183F2">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875" w:type="dxa"/>
            <w:vAlign w:val="center"/>
          </w:tcPr>
          <w:p w14:paraId="31E9F80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125.069196°，45.989418°</w:t>
            </w:r>
          </w:p>
        </w:tc>
        <w:tc>
          <w:tcPr>
            <w:tcW w:w="1171" w:type="dxa"/>
            <w:vMerge w:val="continue"/>
            <w:vAlign w:val="center"/>
          </w:tcPr>
          <w:p w14:paraId="48E8BA7B">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13F8A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527" w:type="dxa"/>
            <w:vMerge w:val="continue"/>
            <w:vAlign w:val="center"/>
          </w:tcPr>
          <w:p w14:paraId="37AC7065">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26" w:type="dxa"/>
            <w:vMerge w:val="continue"/>
            <w:vAlign w:val="center"/>
          </w:tcPr>
          <w:p w14:paraId="638F5A3A">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0" w:type="dxa"/>
            <w:vMerge w:val="continue"/>
            <w:vAlign w:val="center"/>
          </w:tcPr>
          <w:p w14:paraId="4FA9C4EF">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4" w:type="dxa"/>
            <w:vAlign w:val="center"/>
          </w:tcPr>
          <w:p w14:paraId="52A7F745">
            <w:pPr>
              <w:pStyle w:val="39"/>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平立屯</w:t>
            </w:r>
          </w:p>
        </w:tc>
        <w:tc>
          <w:tcPr>
            <w:tcW w:w="1365" w:type="dxa"/>
            <w:vMerge w:val="continue"/>
            <w:vAlign w:val="center"/>
          </w:tcPr>
          <w:p w14:paraId="358C9369">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875" w:type="dxa"/>
            <w:vAlign w:val="center"/>
          </w:tcPr>
          <w:p w14:paraId="2000D03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125.290617°，46.170945°</w:t>
            </w:r>
          </w:p>
        </w:tc>
        <w:tc>
          <w:tcPr>
            <w:tcW w:w="1171" w:type="dxa"/>
            <w:vMerge w:val="continue"/>
            <w:vAlign w:val="center"/>
          </w:tcPr>
          <w:p w14:paraId="49A007F0">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EAE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527" w:type="dxa"/>
            <w:vMerge w:val="continue"/>
            <w:vAlign w:val="center"/>
          </w:tcPr>
          <w:p w14:paraId="34916E71">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26" w:type="dxa"/>
            <w:vMerge w:val="continue"/>
            <w:vAlign w:val="center"/>
          </w:tcPr>
          <w:p w14:paraId="2CF7A9FD">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0" w:type="dxa"/>
            <w:vMerge w:val="continue"/>
            <w:vAlign w:val="center"/>
          </w:tcPr>
          <w:p w14:paraId="1F5E1B45">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104" w:type="dxa"/>
            <w:vAlign w:val="center"/>
          </w:tcPr>
          <w:p w14:paraId="1FD7D792">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新建跟踪监测井</w:t>
            </w:r>
          </w:p>
        </w:tc>
        <w:tc>
          <w:tcPr>
            <w:tcW w:w="1365" w:type="dxa"/>
            <w:vMerge w:val="continue"/>
            <w:vAlign w:val="center"/>
          </w:tcPr>
          <w:p w14:paraId="4365BC74">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875" w:type="dxa"/>
            <w:vAlign w:val="center"/>
          </w:tcPr>
          <w:p w14:paraId="587EADF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125.273344°，46.178612°</w:t>
            </w:r>
          </w:p>
        </w:tc>
        <w:tc>
          <w:tcPr>
            <w:tcW w:w="1171" w:type="dxa"/>
            <w:vMerge w:val="continue"/>
            <w:vAlign w:val="center"/>
          </w:tcPr>
          <w:p w14:paraId="39AA9D1B">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31EF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27" w:type="dxa"/>
            <w:vAlign w:val="center"/>
          </w:tcPr>
          <w:p w14:paraId="74B32BC6">
            <w:pPr>
              <w:keepNext w:val="0"/>
              <w:keepLines w:val="0"/>
              <w:pageBreakBefore w:val="0"/>
              <w:widowControl w:val="0"/>
              <w:kinsoku/>
              <w:wordWrap/>
              <w:overflowPunct/>
              <w:topLinePunct w:val="0"/>
              <w:autoSpaceDE/>
              <w:autoSpaceDN/>
              <w:bidi w:val="0"/>
              <w:adjustRightInd/>
              <w:snapToGrid w:val="0"/>
              <w:spacing w:after="0"/>
              <w:ind w:left="0" w:leftChars="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726" w:type="dxa"/>
            <w:vAlign w:val="center"/>
          </w:tcPr>
          <w:p w14:paraId="2DCBD267">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土壤</w:t>
            </w:r>
          </w:p>
        </w:tc>
        <w:tc>
          <w:tcPr>
            <w:tcW w:w="2520" w:type="dxa"/>
            <w:vAlign w:val="center"/>
          </w:tcPr>
          <w:p w14:paraId="791BF78C">
            <w:pPr>
              <w:keepNext w:val="0"/>
              <w:keepLines w:val="0"/>
              <w:pageBreakBefore w:val="0"/>
              <w:widowControl w:val="0"/>
              <w:kinsoku/>
              <w:wordWrap/>
              <w:overflowPunct/>
              <w:topLinePunct w:val="0"/>
              <w:autoSpaceDE/>
              <w:autoSpaceDN/>
              <w:bidi w:val="0"/>
              <w:adjustRightInd/>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石油类、石油烃（C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）、砷、六价铬</w:t>
            </w:r>
          </w:p>
        </w:tc>
        <w:tc>
          <w:tcPr>
            <w:tcW w:w="4344" w:type="dxa"/>
            <w:gridSpan w:val="3"/>
            <w:vAlign w:val="center"/>
          </w:tcPr>
          <w:p w14:paraId="1C59E718">
            <w:pPr>
              <w:keepNext w:val="0"/>
              <w:keepLines w:val="0"/>
              <w:pageBreakBefore w:val="0"/>
              <w:widowControl w:val="0"/>
              <w:kinsoku/>
              <w:wordWrap/>
              <w:topLinePunct w:val="0"/>
              <w:bidi w:val="0"/>
              <w:adjustRightInd/>
              <w:snapToGrid/>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芳3转油站外输油管道表层土壤、芳3转油站外输油管道外西侧30m表层土壤、升1-2集油阀组间1环集油管线表层土壤、升1-2集油阀组间1环集油管线外西侧30m表层土壤</w:t>
            </w:r>
          </w:p>
        </w:tc>
        <w:tc>
          <w:tcPr>
            <w:tcW w:w="1171" w:type="dxa"/>
            <w:vAlign w:val="center"/>
          </w:tcPr>
          <w:p w14:paraId="393A81B6">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1次/5年</w:t>
            </w:r>
          </w:p>
        </w:tc>
      </w:tr>
      <w:tr w14:paraId="2F516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7" w:type="dxa"/>
            <w:vAlign w:val="center"/>
          </w:tcPr>
          <w:p w14:paraId="4D076575">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c>
          <w:tcPr>
            <w:tcW w:w="726" w:type="dxa"/>
            <w:vAlign w:val="center"/>
          </w:tcPr>
          <w:p w14:paraId="15D41E25">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事故监测</w:t>
            </w:r>
          </w:p>
        </w:tc>
        <w:tc>
          <w:tcPr>
            <w:tcW w:w="2520" w:type="dxa"/>
            <w:vAlign w:val="center"/>
          </w:tcPr>
          <w:p w14:paraId="10F8BBFB">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空气：非甲烷总烃；土壤：石油烃；</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地表水：石油类</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地下水：石油类</w:t>
            </w:r>
          </w:p>
        </w:tc>
        <w:tc>
          <w:tcPr>
            <w:tcW w:w="4344" w:type="dxa"/>
            <w:gridSpan w:val="3"/>
            <w:vAlign w:val="center"/>
          </w:tcPr>
          <w:p w14:paraId="17CF1E34">
            <w:pPr>
              <w:keepNext w:val="0"/>
              <w:keepLines w:val="0"/>
              <w:pageBreakBefore w:val="0"/>
              <w:widowControl w:val="0"/>
              <w:kinsoku/>
              <w:wordWrap/>
              <w:overflowPunct/>
              <w:topLinePunct w:val="0"/>
              <w:autoSpaceDE/>
              <w:autoSpaceDN/>
              <w:bidi w:val="0"/>
              <w:adjustRightInd/>
              <w:snapToGrid w:val="0"/>
              <w:spacing w:after="0"/>
              <w:ind w:left="0" w:firstLine="420" w:firstLineChars="200"/>
              <w:contextualSpacing/>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空气及土壤为事故地点；</w:t>
            </w:r>
          </w:p>
          <w:p w14:paraId="6C068396">
            <w:pPr>
              <w:keepNext w:val="0"/>
              <w:keepLines w:val="0"/>
              <w:pageBreakBefore w:val="0"/>
              <w:widowControl w:val="0"/>
              <w:kinsoku/>
              <w:wordWrap/>
              <w:overflowPunct/>
              <w:topLinePunct w:val="0"/>
              <w:autoSpaceDE/>
              <w:autoSpaceDN/>
              <w:bidi w:val="0"/>
              <w:adjustRightInd/>
              <w:snapToGrid w:val="0"/>
              <w:spacing w:after="0"/>
              <w:ind w:left="0" w:firstLine="420" w:firstLineChars="200"/>
              <w:contextualSpacing/>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地表水、</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地下水为事故地点周围区域</w:t>
            </w:r>
          </w:p>
        </w:tc>
        <w:tc>
          <w:tcPr>
            <w:tcW w:w="1171" w:type="dxa"/>
            <w:vAlign w:val="center"/>
          </w:tcPr>
          <w:p w14:paraId="778092FD">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事故发生24小时内</w:t>
            </w:r>
          </w:p>
        </w:tc>
      </w:tr>
    </w:tbl>
    <w:p w14:paraId="0F1F565F">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8.</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3.3退役期</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环境</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管理</w:t>
      </w:r>
    </w:p>
    <w:p w14:paraId="783E522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snapToGrid/>
          <w:color w:val="000000" w:themeColor="text1"/>
          <w:kern w:val="2"/>
          <w:sz w:val="24"/>
          <w:szCs w:val="24"/>
          <w:highlight w:val="none"/>
          <w:lang w:val="en-US" w:eastAsia="zh-CN" w:bidi="ar-SA"/>
          <w14:textFill>
            <w14:solidFill>
              <w14:schemeClr w14:val="tx1"/>
            </w14:solidFill>
          </w14:textFill>
        </w:rPr>
        <w:t>建设单位在项目退役期应做好环境管理，主要包含以下方面：</w:t>
      </w:r>
    </w:p>
    <w:p w14:paraId="0A1D529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（1）及时掌握环境状况的资料，促进环境管理的深入和污染治理的落实；</w:t>
      </w:r>
    </w:p>
    <w:p w14:paraId="6C3D562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）落实环境管理制度；</w:t>
      </w:r>
    </w:p>
    <w:p w14:paraId="532F0D9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）检查</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退役期施工的</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环保措施可行性。</w:t>
      </w:r>
    </w:p>
    <w:p w14:paraId="409CE4FA">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2"/>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8.</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3.4</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排污许可管理</w:t>
      </w:r>
    </w:p>
    <w:p w14:paraId="30CE6CE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本工程属于石油天然气开采行业，根据《固定污染源排污许可分类管理名录（2019年版）》，</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排污许可管理类别</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简化管理。</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排污许可证</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编</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91230607716675409L011X</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未</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新建加热装置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故项目建成后，</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大庆油田有限责任</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公司第八采油厂</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无需</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重新申请排污许可</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14:paraId="7B8E1371">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41" w:name="_Toc18201"/>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8.4项目污染物排放清单</w:t>
      </w:r>
      <w:bookmarkEnd w:id="141"/>
    </w:p>
    <w:p w14:paraId="67099D0C">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.1施工期污染物排放清单</w:t>
      </w:r>
    </w:p>
    <w:p w14:paraId="6593FC86">
      <w:pPr>
        <w:pStyle w:val="36"/>
        <w:keepNext w:val="0"/>
        <w:keepLines w:val="0"/>
        <w:pageBreakBefore w:val="0"/>
        <w:widowControl w:val="0"/>
        <w:kinsoku/>
        <w:wordWrap/>
        <w:topLinePunct w:val="0"/>
        <w:bidi w:val="0"/>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本工程施工期污染物排放清单</w:t>
      </w:r>
      <w:r>
        <w:rPr>
          <w:rFonts w:hint="default" w:ascii="Times New Roman" w:hAnsi="Times New Roman" w:cs="Times New Roman"/>
          <w:color w:val="000000" w:themeColor="text1"/>
          <w:highlight w:val="none"/>
          <w:lang w:eastAsia="zh-CN"/>
          <w14:textFill>
            <w14:solidFill>
              <w14:schemeClr w14:val="tx1"/>
            </w14:solidFill>
          </w14:textFill>
        </w:rPr>
        <w:t>见</w:t>
      </w:r>
      <w:r>
        <w:rPr>
          <w:rFonts w:hint="default" w:ascii="Times New Roman" w:hAnsi="Times New Roman" w:cs="Times New Roman"/>
          <w:color w:val="000000" w:themeColor="text1"/>
          <w:highlight w:val="none"/>
          <w14:textFill>
            <w14:solidFill>
              <w14:schemeClr w14:val="tx1"/>
            </w14:solidFill>
          </w14:textFill>
        </w:rPr>
        <w:t>表8.</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-1。</w:t>
      </w:r>
    </w:p>
    <w:p w14:paraId="0A69FD42">
      <w:pPr>
        <w:pStyle w:val="44"/>
        <w:keepNext w:val="0"/>
        <w:keepLines w:val="0"/>
        <w:pageBreakBefore w:val="0"/>
        <w:widowControl w:val="0"/>
        <w:kinsoku/>
        <w:wordWrap/>
        <w:topLinePunct w:val="0"/>
        <w:bidi w:val="0"/>
        <w:ind w:left="0" w:leftChars="0"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表8.</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lang w:eastAsia="zh-CN"/>
          <w14:textFill>
            <w14:solidFill>
              <w14:schemeClr w14:val="tx1"/>
            </w14:solidFill>
          </w14:textFill>
        </w:rPr>
        <w:t>施工期污染物排放清单</w:t>
      </w:r>
    </w:p>
    <w:tbl>
      <w:tblPr>
        <w:tblStyle w:val="1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88"/>
        <w:gridCol w:w="886"/>
        <w:gridCol w:w="832"/>
        <w:gridCol w:w="1015"/>
        <w:gridCol w:w="3376"/>
        <w:gridCol w:w="2057"/>
      </w:tblGrid>
      <w:tr w14:paraId="43191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tcBorders>
              <w:tl2br w:val="nil"/>
              <w:tr2bl w:val="nil"/>
            </w:tcBorders>
            <w:noWrap w:val="0"/>
            <w:vAlign w:val="center"/>
          </w:tcPr>
          <w:p w14:paraId="1821B83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序号</w:t>
            </w:r>
          </w:p>
        </w:tc>
        <w:tc>
          <w:tcPr>
            <w:tcW w:w="370" w:type="pct"/>
            <w:tcBorders>
              <w:tl2br w:val="nil"/>
              <w:tr2bl w:val="nil"/>
            </w:tcBorders>
            <w:noWrap w:val="0"/>
            <w:vAlign w:val="center"/>
          </w:tcPr>
          <w:p w14:paraId="3EA0FC20">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污染物种类</w:t>
            </w:r>
          </w:p>
        </w:tc>
        <w:tc>
          <w:tcPr>
            <w:tcW w:w="477" w:type="pct"/>
            <w:tcBorders>
              <w:tl2br w:val="nil"/>
              <w:tr2bl w:val="nil"/>
            </w:tcBorders>
            <w:noWrap w:val="0"/>
            <w:vAlign w:val="center"/>
          </w:tcPr>
          <w:p w14:paraId="62330D31">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污染物</w:t>
            </w:r>
          </w:p>
          <w:p w14:paraId="23E06AB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名称</w:t>
            </w:r>
          </w:p>
        </w:tc>
        <w:tc>
          <w:tcPr>
            <w:tcW w:w="448" w:type="pct"/>
            <w:tcBorders>
              <w:tl2br w:val="nil"/>
              <w:tr2bl w:val="nil"/>
            </w:tcBorders>
            <w:noWrap w:val="0"/>
            <w:vAlign w:val="center"/>
          </w:tcPr>
          <w:p w14:paraId="7B46E835">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主要污染因子</w:t>
            </w:r>
          </w:p>
        </w:tc>
        <w:tc>
          <w:tcPr>
            <w:tcW w:w="546" w:type="pct"/>
            <w:tcBorders>
              <w:tl2br w:val="nil"/>
              <w:tr2bl w:val="nil"/>
            </w:tcBorders>
            <w:noWrap w:val="0"/>
            <w:vAlign w:val="center"/>
          </w:tcPr>
          <w:p w14:paraId="3D21754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排放量</w:t>
            </w:r>
          </w:p>
        </w:tc>
        <w:tc>
          <w:tcPr>
            <w:tcW w:w="1818" w:type="pct"/>
            <w:tcBorders>
              <w:tl2br w:val="nil"/>
              <w:tr2bl w:val="nil"/>
            </w:tcBorders>
            <w:noWrap w:val="0"/>
            <w:vAlign w:val="center"/>
          </w:tcPr>
          <w:p w14:paraId="36FF595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控制措施及去向</w:t>
            </w:r>
          </w:p>
        </w:tc>
        <w:tc>
          <w:tcPr>
            <w:tcW w:w="1108" w:type="pct"/>
            <w:tcBorders>
              <w:tl2br w:val="nil"/>
              <w:tr2bl w:val="nil"/>
            </w:tcBorders>
            <w:noWrap w:val="0"/>
            <w:vAlign w:val="center"/>
          </w:tcPr>
          <w:p w14:paraId="41967655">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排放管理要求</w:t>
            </w:r>
          </w:p>
        </w:tc>
      </w:tr>
      <w:tr w14:paraId="74C86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14:paraId="0AD81BF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370" w:type="pct"/>
            <w:vMerge w:val="restart"/>
            <w:tcBorders>
              <w:tl2br w:val="nil"/>
              <w:tr2bl w:val="nil"/>
            </w:tcBorders>
            <w:noWrap w:val="0"/>
            <w:vAlign w:val="center"/>
          </w:tcPr>
          <w:p w14:paraId="0F4D525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废气</w:t>
            </w:r>
          </w:p>
        </w:tc>
        <w:tc>
          <w:tcPr>
            <w:tcW w:w="477" w:type="pct"/>
            <w:tcBorders>
              <w:tl2br w:val="nil"/>
              <w:tr2bl w:val="nil"/>
            </w:tcBorders>
            <w:noWrap w:val="0"/>
            <w:vAlign w:val="center"/>
          </w:tcPr>
          <w:p w14:paraId="7EE92DE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施工扬尘</w:t>
            </w:r>
          </w:p>
        </w:tc>
        <w:tc>
          <w:tcPr>
            <w:tcW w:w="448" w:type="pct"/>
            <w:tcBorders>
              <w:tl2br w:val="nil"/>
              <w:tr2bl w:val="nil"/>
            </w:tcBorders>
            <w:noWrap w:val="0"/>
            <w:vAlign w:val="center"/>
          </w:tcPr>
          <w:p w14:paraId="480239F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颗粒物</w:t>
            </w:r>
          </w:p>
        </w:tc>
        <w:tc>
          <w:tcPr>
            <w:tcW w:w="546" w:type="pct"/>
            <w:tcBorders>
              <w:tl2br w:val="nil"/>
              <w:tr2bl w:val="nil"/>
            </w:tcBorders>
            <w:noWrap w:val="0"/>
            <w:vAlign w:val="center"/>
          </w:tcPr>
          <w:p w14:paraId="141AA69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44.6</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h</w:t>
            </w:r>
          </w:p>
        </w:tc>
        <w:tc>
          <w:tcPr>
            <w:tcW w:w="1818" w:type="pct"/>
            <w:tcBorders>
              <w:tl2br w:val="nil"/>
              <w:tr2bl w:val="nil"/>
            </w:tcBorders>
            <w:noWrap w:val="0"/>
            <w:vAlign w:val="center"/>
          </w:tcPr>
          <w:p w14:paraId="0C2710A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洒水抑尘、原料苫盖等措施</w:t>
            </w:r>
          </w:p>
        </w:tc>
        <w:tc>
          <w:tcPr>
            <w:tcW w:w="1108" w:type="pct"/>
            <w:vMerge w:val="restart"/>
            <w:tcBorders>
              <w:tl2br w:val="nil"/>
              <w:tr2bl w:val="nil"/>
            </w:tcBorders>
            <w:noWrap w:val="0"/>
            <w:vAlign w:val="center"/>
          </w:tcPr>
          <w:p w14:paraId="6D7D7E54">
            <w:pPr>
              <w:keepNext w:val="0"/>
              <w:keepLines w:val="0"/>
              <w:pageBreakBefore w:val="0"/>
              <w:widowControl w:val="0"/>
              <w:kinsoku/>
              <w:wordWrap/>
              <w:overflowPunct/>
              <w:topLinePunct w:val="0"/>
              <w:autoSpaceDE/>
              <w:autoSpaceDN/>
              <w:bidi w:val="0"/>
              <w:adjustRightInd/>
              <w:snapToGrid w:val="0"/>
              <w:spacing w:after="0" w:line="240" w:lineRule="auto"/>
              <w:ind w:right="0" w:rightChars="0"/>
              <w:jc w:val="center"/>
              <w:textAlignment w:val="auto"/>
              <w:outlineLvl w:val="9"/>
              <w:rPr>
                <w:rFonts w:hint="default" w:ascii="Times New Roman" w:hAnsi="Times New Roman" w:eastAsia="微软雅黑"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执行《大气污染物综合排放标准》（GB16297-1996）颗粒物无组织排放限值：≤1.0mg/m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p>
        </w:tc>
      </w:tr>
      <w:tr w14:paraId="18F43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30" w:type="pct"/>
            <w:vMerge w:val="continue"/>
            <w:tcBorders>
              <w:tl2br w:val="nil"/>
              <w:tr2bl w:val="nil"/>
            </w:tcBorders>
            <w:noWrap w:val="0"/>
            <w:vAlign w:val="center"/>
          </w:tcPr>
          <w:p w14:paraId="7054EE80">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4F36C648">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77" w:type="pct"/>
            <w:tcBorders>
              <w:tl2br w:val="nil"/>
              <w:tr2bl w:val="nil"/>
            </w:tcBorders>
            <w:noWrap w:val="0"/>
            <w:vAlign w:val="center"/>
          </w:tcPr>
          <w:p w14:paraId="20D4305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焊接烟尘</w:t>
            </w:r>
          </w:p>
        </w:tc>
        <w:tc>
          <w:tcPr>
            <w:tcW w:w="448" w:type="pct"/>
            <w:tcBorders>
              <w:tl2br w:val="nil"/>
              <w:tr2bl w:val="nil"/>
            </w:tcBorders>
            <w:noWrap w:val="0"/>
            <w:vAlign w:val="center"/>
          </w:tcPr>
          <w:p w14:paraId="453628E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金属氧化物</w:t>
            </w:r>
          </w:p>
        </w:tc>
        <w:tc>
          <w:tcPr>
            <w:tcW w:w="546" w:type="pct"/>
            <w:tcBorders>
              <w:tl2br w:val="nil"/>
              <w:tr2bl w:val="nil"/>
            </w:tcBorders>
            <w:noWrap w:val="0"/>
            <w:vAlign w:val="center"/>
          </w:tcPr>
          <w:p w14:paraId="10E6DC2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t/施工期</w:t>
            </w:r>
          </w:p>
        </w:tc>
        <w:tc>
          <w:tcPr>
            <w:tcW w:w="1818" w:type="pct"/>
            <w:tcBorders>
              <w:tl2br w:val="nil"/>
              <w:tr2bl w:val="nil"/>
            </w:tcBorders>
            <w:noWrap w:val="0"/>
            <w:vAlign w:val="center"/>
          </w:tcPr>
          <w:p w14:paraId="43E0BC5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空气稀释</w:t>
            </w:r>
          </w:p>
        </w:tc>
        <w:tc>
          <w:tcPr>
            <w:tcW w:w="1108" w:type="pct"/>
            <w:vMerge w:val="continue"/>
            <w:tcBorders>
              <w:tl2br w:val="nil"/>
              <w:tr2bl w:val="nil"/>
            </w:tcBorders>
            <w:noWrap w:val="0"/>
            <w:vAlign w:val="center"/>
          </w:tcPr>
          <w:p w14:paraId="3EC8F15D">
            <w:pPr>
              <w:keepNext w:val="0"/>
              <w:keepLines w:val="0"/>
              <w:pageBreakBefore w:val="0"/>
              <w:widowControl w:val="0"/>
              <w:kinsoku/>
              <w:wordWrap/>
              <w:overflowPunct/>
              <w:topLinePunct w:val="0"/>
              <w:autoSpaceDE/>
              <w:autoSpaceDN/>
              <w:bidi w:val="0"/>
              <w:adjustRightInd/>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41E83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452A7452">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51F0D33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77" w:type="pct"/>
            <w:tcBorders>
              <w:tl2br w:val="nil"/>
              <w:tr2bl w:val="nil"/>
            </w:tcBorders>
            <w:noWrap w:val="0"/>
            <w:vAlign w:val="center"/>
          </w:tcPr>
          <w:p w14:paraId="6C03A05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车辆排放的废气</w:t>
            </w:r>
          </w:p>
        </w:tc>
        <w:tc>
          <w:tcPr>
            <w:tcW w:w="448" w:type="pct"/>
            <w:tcBorders>
              <w:tl2br w:val="nil"/>
              <w:tr2bl w:val="nil"/>
            </w:tcBorders>
            <w:noWrap w:val="0"/>
            <w:vAlign w:val="center"/>
          </w:tcPr>
          <w:p w14:paraId="2B18E67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、TSP、CO</w:t>
            </w:r>
          </w:p>
        </w:tc>
        <w:tc>
          <w:tcPr>
            <w:tcW w:w="546" w:type="pct"/>
            <w:tcBorders>
              <w:tl2br w:val="nil"/>
              <w:tr2bl w:val="nil"/>
            </w:tcBorders>
            <w:noWrap w:val="0"/>
            <w:vAlign w:val="center"/>
          </w:tcPr>
          <w:p w14:paraId="267411E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少量</w:t>
            </w:r>
          </w:p>
        </w:tc>
        <w:tc>
          <w:tcPr>
            <w:tcW w:w="1818" w:type="pct"/>
            <w:tcBorders>
              <w:tl2br w:val="nil"/>
              <w:tr2bl w:val="nil"/>
            </w:tcBorders>
            <w:noWrap w:val="0"/>
            <w:vAlign w:val="center"/>
          </w:tcPr>
          <w:p w14:paraId="277BE23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车辆使用优质汽油、柴油</w:t>
            </w:r>
          </w:p>
        </w:tc>
        <w:tc>
          <w:tcPr>
            <w:tcW w:w="1108" w:type="pct"/>
            <w:tcBorders>
              <w:tl2br w:val="nil"/>
              <w:tr2bl w:val="nil"/>
            </w:tcBorders>
            <w:noWrap w:val="0"/>
            <w:vAlign w:val="center"/>
          </w:tcPr>
          <w:p w14:paraId="007A083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微软雅黑"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无组织排放</w:t>
            </w:r>
          </w:p>
        </w:tc>
      </w:tr>
      <w:tr w14:paraId="66BD5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14:paraId="743F91CE">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w:t>
            </w:r>
          </w:p>
        </w:tc>
        <w:tc>
          <w:tcPr>
            <w:tcW w:w="370" w:type="pct"/>
            <w:vMerge w:val="restart"/>
            <w:tcBorders>
              <w:tl2br w:val="nil"/>
              <w:tr2bl w:val="nil"/>
            </w:tcBorders>
            <w:noWrap w:val="0"/>
            <w:vAlign w:val="center"/>
          </w:tcPr>
          <w:p w14:paraId="383EFB24">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废水</w:t>
            </w:r>
          </w:p>
        </w:tc>
        <w:tc>
          <w:tcPr>
            <w:tcW w:w="477" w:type="pct"/>
            <w:tcBorders>
              <w:tl2br w:val="nil"/>
              <w:tr2bl w:val="nil"/>
            </w:tcBorders>
            <w:noWrap w:val="0"/>
            <w:vAlign w:val="center"/>
          </w:tcPr>
          <w:p w14:paraId="42DD4FCF">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生活污水</w:t>
            </w:r>
          </w:p>
        </w:tc>
        <w:tc>
          <w:tcPr>
            <w:tcW w:w="448" w:type="pct"/>
            <w:tcBorders>
              <w:tl2br w:val="nil"/>
              <w:tr2bl w:val="nil"/>
            </w:tcBorders>
            <w:noWrap w:val="0"/>
            <w:vAlign w:val="center"/>
          </w:tcPr>
          <w:p w14:paraId="7019513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COD、NH</w:t>
            </w:r>
            <w:r>
              <w:rPr>
                <w:rFonts w:hint="default" w:ascii="Times New Roman" w:hAnsi="Times New Roman" w:eastAsia="宋体" w:cs="Times New Roman"/>
                <w:color w:val="000000" w:themeColor="text1"/>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-N</w:t>
            </w:r>
          </w:p>
        </w:tc>
        <w:tc>
          <w:tcPr>
            <w:tcW w:w="546" w:type="pct"/>
            <w:tcBorders>
              <w:tl2br w:val="nil"/>
              <w:tr2bl w:val="nil"/>
            </w:tcBorders>
            <w:noWrap w:val="0"/>
            <w:vAlign w:val="center"/>
          </w:tcPr>
          <w:p w14:paraId="1EE4229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57.6t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818" w:type="pct"/>
            <w:tcBorders>
              <w:tl2br w:val="nil"/>
              <w:tr2bl w:val="nil"/>
            </w:tcBorders>
            <w:noWrap w:val="0"/>
            <w:vAlign w:val="center"/>
          </w:tcPr>
          <w:p w14:paraId="43F7D8F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施工人员</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用罐车定期拉运到区域内高平4号污水站，排入大庆市净源环保科技有限公司处理</w:t>
            </w:r>
          </w:p>
        </w:tc>
        <w:tc>
          <w:tcPr>
            <w:tcW w:w="1108" w:type="pct"/>
            <w:tcBorders>
              <w:tl2br w:val="nil"/>
              <w:tr2bl w:val="nil"/>
            </w:tcBorders>
            <w:noWrap w:val="0"/>
            <w:vAlign w:val="center"/>
          </w:tcPr>
          <w:p w14:paraId="564A9B9D">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不外排</w:t>
            </w:r>
          </w:p>
        </w:tc>
      </w:tr>
      <w:tr w14:paraId="752E5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noWrap w:val="0"/>
            <w:vAlign w:val="center"/>
          </w:tcPr>
          <w:p w14:paraId="46AB5B2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221D1030">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77" w:type="pct"/>
            <w:tcBorders>
              <w:tl2br w:val="nil"/>
              <w:tr2bl w:val="nil"/>
            </w:tcBorders>
            <w:noWrap w:val="0"/>
            <w:vAlign w:val="center"/>
          </w:tcPr>
          <w:p w14:paraId="568C0BF9">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新建管道试压废水</w:t>
            </w:r>
          </w:p>
        </w:tc>
        <w:tc>
          <w:tcPr>
            <w:tcW w:w="448" w:type="pct"/>
            <w:tcBorders>
              <w:tl2br w:val="nil"/>
              <w:tr2bl w:val="nil"/>
            </w:tcBorders>
            <w:noWrap w:val="0"/>
            <w:vAlign w:val="center"/>
          </w:tcPr>
          <w:p w14:paraId="2705A139">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SS</w:t>
            </w:r>
          </w:p>
        </w:tc>
        <w:tc>
          <w:tcPr>
            <w:tcW w:w="546" w:type="pct"/>
            <w:tcBorders>
              <w:tl2br w:val="nil"/>
              <w:tr2bl w:val="nil"/>
            </w:tcBorders>
            <w:noWrap w:val="0"/>
            <w:vAlign w:val="center"/>
          </w:tcPr>
          <w:p w14:paraId="5D598151">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112.1t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818" w:type="pct"/>
            <w:vMerge w:val="restart"/>
            <w:tcBorders>
              <w:tl2br w:val="nil"/>
              <w:tr2bl w:val="nil"/>
            </w:tcBorders>
            <w:noWrap w:val="0"/>
            <w:vAlign w:val="center"/>
          </w:tcPr>
          <w:p w14:paraId="256E0AA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由罐车拉运至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处理，出水指标为含油量≤10mg/L、悬浮固体含量≤5mg/L、粒径中值≤2μm，回注地下开采油层，不外排</w:t>
            </w:r>
          </w:p>
        </w:tc>
        <w:tc>
          <w:tcPr>
            <w:tcW w:w="1108" w:type="pct"/>
            <w:vMerge w:val="restart"/>
            <w:tcBorders>
              <w:tl2br w:val="nil"/>
              <w:tr2bl w:val="nil"/>
            </w:tcBorders>
            <w:noWrap w:val="0"/>
            <w:vAlign w:val="center"/>
          </w:tcPr>
          <w:p w14:paraId="79A72279">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《大庆油田地面工程建设设计规定》（Q/SYDQ0639-2015）、</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《碎屑岩油藏注水水质指标技术要求及分析方法》（SY/T5329-2022）</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标准要求</w:t>
            </w:r>
          </w:p>
        </w:tc>
      </w:tr>
      <w:tr w14:paraId="7D620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30" w:type="pct"/>
            <w:vMerge w:val="continue"/>
            <w:tcBorders>
              <w:tl2br w:val="nil"/>
              <w:tr2bl w:val="nil"/>
            </w:tcBorders>
            <w:noWrap w:val="0"/>
            <w:vAlign w:val="center"/>
          </w:tcPr>
          <w:p w14:paraId="59F11AFA">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0208193E">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477" w:type="pct"/>
            <w:tcBorders>
              <w:tl2br w:val="nil"/>
              <w:tr2bl w:val="nil"/>
            </w:tcBorders>
            <w:noWrap w:val="0"/>
            <w:vAlign w:val="center"/>
          </w:tcPr>
          <w:p w14:paraId="6CA7E77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废旧管道清管废水</w:t>
            </w:r>
          </w:p>
        </w:tc>
        <w:tc>
          <w:tcPr>
            <w:tcW w:w="448" w:type="pct"/>
            <w:tcBorders>
              <w:tl2br w:val="nil"/>
              <w:tr2bl w:val="nil"/>
            </w:tcBorders>
            <w:noWrap w:val="0"/>
            <w:vAlign w:val="center"/>
          </w:tcPr>
          <w:p w14:paraId="4BAAAD87">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石油类、SS</w:t>
            </w:r>
          </w:p>
        </w:tc>
        <w:tc>
          <w:tcPr>
            <w:tcW w:w="546" w:type="pct"/>
            <w:tcBorders>
              <w:tl2br w:val="nil"/>
              <w:tr2bl w:val="nil"/>
            </w:tcBorders>
            <w:noWrap w:val="0"/>
            <w:vAlign w:val="center"/>
          </w:tcPr>
          <w:p w14:paraId="1D7D0ED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335.4t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818" w:type="pct"/>
            <w:vMerge w:val="continue"/>
            <w:tcBorders>
              <w:tl2br w:val="nil"/>
              <w:tr2bl w:val="nil"/>
            </w:tcBorders>
            <w:noWrap w:val="0"/>
            <w:vAlign w:val="center"/>
          </w:tcPr>
          <w:p w14:paraId="433A57E7">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108" w:type="pct"/>
            <w:vMerge w:val="continue"/>
            <w:tcBorders>
              <w:tl2br w:val="nil"/>
              <w:tr2bl w:val="nil"/>
            </w:tcBorders>
            <w:noWrap w:val="0"/>
            <w:vAlign w:val="center"/>
          </w:tcPr>
          <w:p w14:paraId="3171038F">
            <w:pPr>
              <w:keepNext w:val="0"/>
              <w:keepLines w:val="0"/>
              <w:pageBreakBefore w:val="0"/>
              <w:widowControl w:val="0"/>
              <w:kinsoku/>
              <w:wordWrap/>
              <w:overflowPunct/>
              <w:topLinePunct w:val="0"/>
              <w:autoSpaceDE/>
              <w:autoSpaceDN/>
              <w:bidi w:val="0"/>
              <w:adjustRightInd/>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7526B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14:paraId="325691F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c>
          <w:tcPr>
            <w:tcW w:w="370" w:type="pct"/>
            <w:vMerge w:val="restart"/>
            <w:tcBorders>
              <w:tl2br w:val="nil"/>
              <w:tr2bl w:val="nil"/>
            </w:tcBorders>
            <w:noWrap w:val="0"/>
            <w:vAlign w:val="center"/>
          </w:tcPr>
          <w:p w14:paraId="202B365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固废</w:t>
            </w:r>
          </w:p>
        </w:tc>
        <w:tc>
          <w:tcPr>
            <w:tcW w:w="925" w:type="pct"/>
            <w:gridSpan w:val="2"/>
            <w:tcBorders>
              <w:tl2br w:val="nil"/>
              <w:tr2bl w:val="nil"/>
            </w:tcBorders>
            <w:noWrap w:val="0"/>
            <w:vAlign w:val="center"/>
          </w:tcPr>
          <w:p w14:paraId="20FAACD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管道施工废料</w:t>
            </w:r>
          </w:p>
        </w:tc>
        <w:tc>
          <w:tcPr>
            <w:tcW w:w="546" w:type="pct"/>
            <w:tcBorders>
              <w:tl2br w:val="nil"/>
              <w:tr2bl w:val="nil"/>
            </w:tcBorders>
            <w:noWrap w:val="0"/>
            <w:vAlign w:val="center"/>
          </w:tcPr>
          <w:p w14:paraId="21E1171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818" w:type="pct"/>
            <w:tcBorders>
              <w:tl2br w:val="nil"/>
              <w:tr2bl w:val="nil"/>
            </w:tcBorders>
            <w:noWrap w:val="0"/>
            <w:vAlign w:val="center"/>
          </w:tcPr>
          <w:p w14:paraId="7007051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送至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第八采油厂</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工业固废填埋场处理</w:t>
            </w:r>
          </w:p>
        </w:tc>
        <w:tc>
          <w:tcPr>
            <w:tcW w:w="1108" w:type="pct"/>
            <w:tcBorders>
              <w:tl2br w:val="nil"/>
              <w:tr2bl w:val="nil"/>
            </w:tcBorders>
            <w:noWrap w:val="0"/>
            <w:vAlign w:val="center"/>
          </w:tcPr>
          <w:p w14:paraId="3BD0AB6F">
            <w:pPr>
              <w:keepNext w:val="0"/>
              <w:keepLines w:val="0"/>
              <w:pageBreakBefore w:val="0"/>
              <w:widowControl w:val="0"/>
              <w:kinsoku/>
              <w:wordWrap/>
              <w:overflowPunct/>
              <w:topLinePunct w:val="0"/>
              <w:autoSpaceDE/>
              <w:autoSpaceDN/>
              <w:bidi w:val="0"/>
              <w:adjustRightInd/>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不外排</w:t>
            </w:r>
          </w:p>
        </w:tc>
      </w:tr>
      <w:tr w14:paraId="2BACF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289F746E">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515DBBE1">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5" w:type="pct"/>
            <w:gridSpan w:val="2"/>
            <w:tcBorders>
              <w:tl2br w:val="nil"/>
              <w:tr2bl w:val="nil"/>
            </w:tcBorders>
            <w:noWrap w:val="0"/>
            <w:vAlign w:val="center"/>
          </w:tcPr>
          <w:p w14:paraId="4E81C15B">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穿越工程废弃泥浆</w:t>
            </w:r>
          </w:p>
        </w:tc>
        <w:tc>
          <w:tcPr>
            <w:tcW w:w="546" w:type="pct"/>
            <w:tcBorders>
              <w:tl2br w:val="nil"/>
              <w:tr2bl w:val="nil"/>
            </w:tcBorders>
            <w:noWrap w:val="0"/>
            <w:vAlign w:val="center"/>
          </w:tcPr>
          <w:p w14:paraId="42D2A3B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68m</w:t>
            </w:r>
            <w:r>
              <w:rPr>
                <w:rFonts w:hint="eastAsia"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p>
        </w:tc>
        <w:tc>
          <w:tcPr>
            <w:tcW w:w="1818" w:type="pct"/>
            <w:tcBorders>
              <w:tl2br w:val="nil"/>
              <w:tr2bl w:val="nil"/>
            </w:tcBorders>
            <w:noWrap w:val="0"/>
            <w:vAlign w:val="center"/>
          </w:tcPr>
          <w:p w14:paraId="1D6DE9F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经防渗泥浆池沉降后，上清液回收洒水降尘、固体部分用于井排路护坡。</w:t>
            </w:r>
          </w:p>
        </w:tc>
        <w:tc>
          <w:tcPr>
            <w:tcW w:w="1108" w:type="pct"/>
            <w:tcBorders>
              <w:tl2br w:val="nil"/>
              <w:tr2bl w:val="nil"/>
            </w:tcBorders>
            <w:noWrap w:val="0"/>
            <w:vAlign w:val="center"/>
          </w:tcPr>
          <w:p w14:paraId="29F3DDE7">
            <w:pPr>
              <w:keepNext w:val="0"/>
              <w:keepLines w:val="0"/>
              <w:pageBreakBefore w:val="0"/>
              <w:widowControl w:val="0"/>
              <w:kinsoku/>
              <w:wordWrap/>
              <w:overflowPunct/>
              <w:topLinePunct w:val="0"/>
              <w:autoSpaceDE/>
              <w:autoSpaceDN/>
              <w:bidi w:val="0"/>
              <w:adjustRightInd/>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r>
      <w:tr w14:paraId="27497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4FFC725E">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70" w:type="pct"/>
            <w:vMerge w:val="continue"/>
            <w:tcBorders>
              <w:tl2br w:val="nil"/>
              <w:tr2bl w:val="nil"/>
            </w:tcBorders>
            <w:noWrap w:val="0"/>
            <w:vAlign w:val="center"/>
          </w:tcPr>
          <w:p w14:paraId="4CD6CC7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5" w:type="pct"/>
            <w:gridSpan w:val="2"/>
            <w:tcBorders>
              <w:tl2br w:val="nil"/>
              <w:tr2bl w:val="nil"/>
            </w:tcBorders>
            <w:noWrap w:val="0"/>
            <w:vAlign w:val="center"/>
          </w:tcPr>
          <w:p w14:paraId="3831297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生活垃圾</w:t>
            </w:r>
          </w:p>
        </w:tc>
        <w:tc>
          <w:tcPr>
            <w:tcW w:w="546" w:type="pct"/>
            <w:tcBorders>
              <w:tl2br w:val="nil"/>
              <w:tr2bl w:val="nil"/>
            </w:tcBorders>
            <w:noWrap w:val="0"/>
            <w:vAlign w:val="center"/>
          </w:tcPr>
          <w:p w14:paraId="368F22B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/施工期</w:t>
            </w:r>
          </w:p>
        </w:tc>
        <w:tc>
          <w:tcPr>
            <w:tcW w:w="1818" w:type="pct"/>
            <w:tcBorders>
              <w:tl2br w:val="nil"/>
              <w:tr2bl w:val="nil"/>
            </w:tcBorders>
            <w:noWrap w:val="0"/>
            <w:vAlign w:val="center"/>
          </w:tcPr>
          <w:p w14:paraId="1C620C8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拉运至大庆城控电力有限公司焚烧处理</w:t>
            </w:r>
          </w:p>
        </w:tc>
        <w:tc>
          <w:tcPr>
            <w:tcW w:w="1108" w:type="pct"/>
            <w:tcBorders>
              <w:tl2br w:val="nil"/>
              <w:tr2bl w:val="nil"/>
            </w:tcBorders>
            <w:noWrap w:val="0"/>
            <w:vAlign w:val="center"/>
          </w:tcPr>
          <w:p w14:paraId="080A2CD6">
            <w:pPr>
              <w:keepNext w:val="0"/>
              <w:keepLines w:val="0"/>
              <w:pageBreakBefore w:val="0"/>
              <w:widowControl w:val="0"/>
              <w:kinsoku/>
              <w:wordWrap/>
              <w:overflowPunct/>
              <w:topLinePunct w:val="0"/>
              <w:autoSpaceDE/>
              <w:autoSpaceDN/>
              <w:bidi w:val="0"/>
              <w:adjustRightInd/>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不外排</w:t>
            </w:r>
          </w:p>
        </w:tc>
      </w:tr>
      <w:tr w14:paraId="0D5BE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tcBorders>
              <w:tl2br w:val="nil"/>
              <w:tr2bl w:val="nil"/>
            </w:tcBorders>
            <w:noWrap w:val="0"/>
            <w:vAlign w:val="center"/>
          </w:tcPr>
          <w:p w14:paraId="5C143BD5">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4</w:t>
            </w:r>
          </w:p>
        </w:tc>
        <w:tc>
          <w:tcPr>
            <w:tcW w:w="370" w:type="pct"/>
            <w:tcBorders>
              <w:tl2br w:val="nil"/>
              <w:tr2bl w:val="nil"/>
            </w:tcBorders>
            <w:noWrap w:val="0"/>
            <w:vAlign w:val="center"/>
          </w:tcPr>
          <w:p w14:paraId="14FE8AC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噪声</w:t>
            </w:r>
          </w:p>
        </w:tc>
        <w:tc>
          <w:tcPr>
            <w:tcW w:w="477" w:type="pct"/>
            <w:tcBorders>
              <w:tl2br w:val="nil"/>
              <w:tr2bl w:val="nil"/>
            </w:tcBorders>
            <w:noWrap w:val="0"/>
            <w:vAlign w:val="center"/>
          </w:tcPr>
          <w:p w14:paraId="5EFEA2B4">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机械噪声</w:t>
            </w:r>
          </w:p>
        </w:tc>
        <w:tc>
          <w:tcPr>
            <w:tcW w:w="448" w:type="pct"/>
            <w:tcBorders>
              <w:tl2br w:val="nil"/>
              <w:tr2bl w:val="nil"/>
            </w:tcBorders>
            <w:noWrap w:val="0"/>
            <w:vAlign w:val="center"/>
          </w:tcPr>
          <w:p w14:paraId="0B5BADE1">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噪声</w:t>
            </w:r>
          </w:p>
        </w:tc>
        <w:tc>
          <w:tcPr>
            <w:tcW w:w="546" w:type="pct"/>
            <w:tcBorders>
              <w:tl2br w:val="nil"/>
              <w:tr2bl w:val="nil"/>
            </w:tcBorders>
            <w:noWrap w:val="0"/>
            <w:vAlign w:val="center"/>
          </w:tcPr>
          <w:p w14:paraId="72042A04">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80-96dB（A）</w:t>
            </w:r>
          </w:p>
        </w:tc>
        <w:tc>
          <w:tcPr>
            <w:tcW w:w="1818" w:type="pct"/>
            <w:tcBorders>
              <w:tl2br w:val="nil"/>
              <w:tr2bl w:val="nil"/>
            </w:tcBorders>
            <w:noWrap w:val="0"/>
            <w:vAlign w:val="center"/>
          </w:tcPr>
          <w:p w14:paraId="01909537">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选用低噪声设备，并采取基础减震等措施，夜间不施工</w:t>
            </w:r>
          </w:p>
        </w:tc>
        <w:tc>
          <w:tcPr>
            <w:tcW w:w="1108" w:type="pct"/>
            <w:tcBorders>
              <w:tl2br w:val="nil"/>
              <w:tr2bl w:val="nil"/>
            </w:tcBorders>
            <w:noWrap w:val="0"/>
            <w:vAlign w:val="center"/>
          </w:tcPr>
          <w:p w14:paraId="698818E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场界噪声</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执行</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《建筑施工噪声排放标准》（GB12523-2025）</w:t>
            </w:r>
          </w:p>
        </w:tc>
      </w:tr>
    </w:tbl>
    <w:p w14:paraId="085D2DDC">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.2运营期污染物排放清单</w:t>
      </w:r>
    </w:p>
    <w:p w14:paraId="65A288D8">
      <w:pPr>
        <w:pStyle w:val="36"/>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本工程运行期污染物排放清单见</w:t>
      </w: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lang w:val="en-US" w:eastAsia="zh-CN"/>
          <w14:textFill>
            <w14:solidFill>
              <w14:schemeClr w14:val="tx1"/>
            </w14:solidFill>
          </w14:textFill>
        </w:rPr>
        <w:t>8.4-2</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本项目运营期集输</w:t>
      </w:r>
      <w:r>
        <w:rPr>
          <w:rFonts w:hint="eastAsia"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采用密闭输送方式输送含水原油，</w:t>
      </w:r>
      <w:r>
        <w:rPr>
          <w:rFonts w:hint="eastAsia" w:eastAsia="宋体" w:cs="Times New Roman"/>
          <w:snapToGrid w:val="0"/>
          <w:color w:val="000000" w:themeColor="text1"/>
          <w:sz w:val="24"/>
          <w:szCs w:val="20"/>
          <w:highlight w:val="none"/>
          <w:lang w:val="en-US" w:eastAsia="zh-CN" w:bidi="ar-SA"/>
          <w14:textFill>
            <w14:solidFill>
              <w14:schemeClr w14:val="tx1"/>
            </w14:solidFill>
          </w14:textFill>
        </w:rPr>
        <w:t>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在正常运行状况下无废气、废水、噪声和固体废物产生及排放</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p>
    <w:p w14:paraId="40ABC9C0">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8.</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3退役期</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污染物排放清单</w:t>
      </w:r>
    </w:p>
    <w:p w14:paraId="4EF6EB61">
      <w:pPr>
        <w:pStyle w:val="6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表8.4-2</w:t>
      </w:r>
      <w:r>
        <w:rPr>
          <w:rFonts w:hint="eastAsia"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sz w:val="24"/>
          <w:szCs w:val="22"/>
          <w:highlight w:val="none"/>
          <w:lang w:val="en-US" w:eastAsia="zh-CN" w:bidi="ar-SA"/>
          <w14:textFill>
            <w14:solidFill>
              <w14:schemeClr w14:val="tx1"/>
            </w14:solidFill>
          </w14:textFill>
        </w:rPr>
        <w:t>本工程退役期污染物排放清单</w:t>
      </w:r>
    </w:p>
    <w:tbl>
      <w:tblPr>
        <w:tblStyle w:val="1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06"/>
        <w:gridCol w:w="930"/>
        <w:gridCol w:w="1245"/>
        <w:gridCol w:w="877"/>
        <w:gridCol w:w="2043"/>
        <w:gridCol w:w="3056"/>
      </w:tblGrid>
      <w:tr w14:paraId="2591D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tcBorders>
              <w:tl2br w:val="nil"/>
              <w:tr2bl w:val="nil"/>
            </w:tcBorders>
            <w:noWrap w:val="0"/>
            <w:vAlign w:val="center"/>
          </w:tcPr>
          <w:p w14:paraId="01BAB75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序号</w:t>
            </w:r>
          </w:p>
        </w:tc>
        <w:tc>
          <w:tcPr>
            <w:tcW w:w="380" w:type="pct"/>
            <w:tcBorders>
              <w:tl2br w:val="nil"/>
              <w:tr2bl w:val="nil"/>
            </w:tcBorders>
            <w:noWrap w:val="0"/>
            <w:vAlign w:val="center"/>
          </w:tcPr>
          <w:p w14:paraId="2C48D915">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污染物种类</w:t>
            </w:r>
          </w:p>
        </w:tc>
        <w:tc>
          <w:tcPr>
            <w:tcW w:w="500" w:type="pct"/>
            <w:tcBorders>
              <w:tl2br w:val="nil"/>
              <w:tr2bl w:val="nil"/>
            </w:tcBorders>
            <w:noWrap w:val="0"/>
            <w:vAlign w:val="center"/>
          </w:tcPr>
          <w:p w14:paraId="56903DAA">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污染物名称</w:t>
            </w:r>
          </w:p>
        </w:tc>
        <w:tc>
          <w:tcPr>
            <w:tcW w:w="670" w:type="pct"/>
            <w:tcBorders>
              <w:tl2br w:val="nil"/>
              <w:tr2bl w:val="nil"/>
            </w:tcBorders>
            <w:noWrap w:val="0"/>
            <w:vAlign w:val="center"/>
          </w:tcPr>
          <w:p w14:paraId="654F0F5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主要污染因子</w:t>
            </w:r>
          </w:p>
        </w:tc>
        <w:tc>
          <w:tcPr>
            <w:tcW w:w="472" w:type="pct"/>
            <w:tcBorders>
              <w:tl2br w:val="nil"/>
              <w:tr2bl w:val="nil"/>
            </w:tcBorders>
            <w:noWrap w:val="0"/>
            <w:vAlign w:val="center"/>
          </w:tcPr>
          <w:p w14:paraId="694D49E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排放量</w:t>
            </w:r>
          </w:p>
        </w:tc>
        <w:tc>
          <w:tcPr>
            <w:tcW w:w="1100" w:type="pct"/>
            <w:tcBorders>
              <w:tl2br w:val="nil"/>
              <w:tr2bl w:val="nil"/>
            </w:tcBorders>
            <w:noWrap w:val="0"/>
            <w:vAlign w:val="center"/>
          </w:tcPr>
          <w:p w14:paraId="380FE214">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控制措施及去向</w:t>
            </w:r>
          </w:p>
        </w:tc>
        <w:tc>
          <w:tcPr>
            <w:tcW w:w="1646" w:type="pct"/>
            <w:tcBorders>
              <w:tl2br w:val="nil"/>
              <w:tr2bl w:val="nil"/>
            </w:tcBorders>
            <w:noWrap w:val="0"/>
            <w:vAlign w:val="center"/>
          </w:tcPr>
          <w:p w14:paraId="749C8470">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排放管理要求</w:t>
            </w:r>
          </w:p>
        </w:tc>
      </w:tr>
      <w:tr w14:paraId="6FED7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28" w:type="pct"/>
            <w:vMerge w:val="restart"/>
            <w:tcBorders>
              <w:tl2br w:val="nil"/>
              <w:tr2bl w:val="nil"/>
            </w:tcBorders>
            <w:noWrap w:val="0"/>
            <w:vAlign w:val="center"/>
          </w:tcPr>
          <w:p w14:paraId="2F2C4E21">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380" w:type="pct"/>
            <w:vMerge w:val="restart"/>
            <w:tcBorders>
              <w:tl2br w:val="nil"/>
              <w:tr2bl w:val="nil"/>
            </w:tcBorders>
            <w:noWrap w:val="0"/>
            <w:vAlign w:val="center"/>
          </w:tcPr>
          <w:p w14:paraId="2D87B65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废水</w:t>
            </w:r>
          </w:p>
        </w:tc>
        <w:tc>
          <w:tcPr>
            <w:tcW w:w="500" w:type="pct"/>
            <w:tcBorders>
              <w:tl2br w:val="nil"/>
              <w:tr2bl w:val="nil"/>
            </w:tcBorders>
            <w:noWrap w:val="0"/>
            <w:vAlign w:val="center"/>
          </w:tcPr>
          <w:p w14:paraId="65F9F417">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废弃管道清管废水</w:t>
            </w:r>
          </w:p>
        </w:tc>
        <w:tc>
          <w:tcPr>
            <w:tcW w:w="670" w:type="pct"/>
            <w:tcBorders>
              <w:tl2br w:val="nil"/>
              <w:tr2bl w:val="nil"/>
            </w:tcBorders>
            <w:noWrap w:val="0"/>
            <w:vAlign w:val="center"/>
          </w:tcPr>
          <w:p w14:paraId="18D8D2E8">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石油类、SS</w:t>
            </w:r>
          </w:p>
        </w:tc>
        <w:tc>
          <w:tcPr>
            <w:tcW w:w="472" w:type="pct"/>
            <w:tcBorders>
              <w:tl2br w:val="nil"/>
              <w:tr2bl w:val="nil"/>
            </w:tcBorders>
            <w:noWrap w:val="0"/>
            <w:vAlign w:val="center"/>
          </w:tcPr>
          <w:p w14:paraId="076C91E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335.4t</w:t>
            </w:r>
          </w:p>
        </w:tc>
        <w:tc>
          <w:tcPr>
            <w:tcW w:w="1100" w:type="pct"/>
            <w:tcBorders>
              <w:tl2br w:val="nil"/>
              <w:tr2bl w:val="nil"/>
            </w:tcBorders>
            <w:noWrap w:val="0"/>
            <w:vAlign w:val="center"/>
          </w:tcPr>
          <w:p w14:paraId="0D2AF94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由罐车拉运至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处理，回注地下开采油层，不外排</w:t>
            </w:r>
          </w:p>
        </w:tc>
        <w:tc>
          <w:tcPr>
            <w:tcW w:w="1646" w:type="pct"/>
            <w:tcBorders>
              <w:tl2br w:val="nil"/>
              <w:tr2bl w:val="nil"/>
            </w:tcBorders>
            <w:noWrap w:val="0"/>
            <w:vAlign w:val="center"/>
          </w:tcPr>
          <w:p w14:paraId="1EE0079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满足《大庆油田地面工程建设设计规定》（Q/SYDQ0639-2015）、</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《碎屑岩油藏注水水质指标技术要求及分析方法》（SY/T5329-2022）</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标准要求</w:t>
            </w:r>
          </w:p>
        </w:tc>
      </w:tr>
      <w:tr w14:paraId="43655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28" w:type="pct"/>
            <w:vMerge w:val="continue"/>
            <w:tcBorders>
              <w:tl2br w:val="nil"/>
              <w:tr2bl w:val="nil"/>
            </w:tcBorders>
            <w:noWrap w:val="0"/>
            <w:vAlign w:val="center"/>
          </w:tcPr>
          <w:p w14:paraId="3CAA25D7">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380" w:type="pct"/>
            <w:vMerge w:val="continue"/>
            <w:tcBorders>
              <w:tl2br w:val="nil"/>
              <w:tr2bl w:val="nil"/>
            </w:tcBorders>
            <w:noWrap w:val="0"/>
            <w:vAlign w:val="center"/>
          </w:tcPr>
          <w:p w14:paraId="3842A380">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00" w:type="pct"/>
            <w:tcBorders>
              <w:tl2br w:val="nil"/>
              <w:tr2bl w:val="nil"/>
            </w:tcBorders>
            <w:noWrap w:val="0"/>
            <w:vAlign w:val="center"/>
          </w:tcPr>
          <w:p w14:paraId="4A57367B">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生活污水</w:t>
            </w:r>
          </w:p>
        </w:tc>
        <w:tc>
          <w:tcPr>
            <w:tcW w:w="670" w:type="pct"/>
            <w:tcBorders>
              <w:tl2br w:val="nil"/>
              <w:tr2bl w:val="nil"/>
            </w:tcBorders>
            <w:noWrap w:val="0"/>
            <w:vAlign w:val="center"/>
          </w:tcPr>
          <w:p w14:paraId="37CA92E0">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COD、NH</w:t>
            </w:r>
            <w:r>
              <w:rPr>
                <w:rFonts w:hint="default" w:ascii="Times New Roman" w:hAnsi="Times New Roman" w:eastAsia="宋体" w:cs="Times New Roman"/>
                <w:color w:val="000000" w:themeColor="text1"/>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-N</w:t>
            </w:r>
          </w:p>
        </w:tc>
        <w:tc>
          <w:tcPr>
            <w:tcW w:w="472" w:type="pct"/>
            <w:tcBorders>
              <w:tl2br w:val="nil"/>
              <w:tr2bl w:val="nil"/>
            </w:tcBorders>
            <w:noWrap w:val="0"/>
            <w:vAlign w:val="center"/>
          </w:tcPr>
          <w:p w14:paraId="3741B512">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少量</w:t>
            </w:r>
          </w:p>
        </w:tc>
        <w:tc>
          <w:tcPr>
            <w:tcW w:w="1100" w:type="pct"/>
            <w:tcBorders>
              <w:tl2br w:val="nil"/>
              <w:tr2bl w:val="nil"/>
            </w:tcBorders>
            <w:noWrap w:val="0"/>
            <w:vAlign w:val="center"/>
          </w:tcPr>
          <w:p w14:paraId="04F55806">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生活污水排入附近计量间等已建防渗旱厕，</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用罐车定期拉运到区域内高平4号污水站，排入大庆市净源环保科技有限公司处理</w:t>
            </w:r>
          </w:p>
        </w:tc>
        <w:tc>
          <w:tcPr>
            <w:tcW w:w="1646" w:type="pct"/>
            <w:tcBorders>
              <w:tl2br w:val="nil"/>
              <w:tr2bl w:val="nil"/>
            </w:tcBorders>
            <w:noWrap w:val="0"/>
            <w:vAlign w:val="center"/>
          </w:tcPr>
          <w:p w14:paraId="473A95C2">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不外排</w:t>
            </w:r>
          </w:p>
        </w:tc>
      </w:tr>
      <w:tr w14:paraId="20AE7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tcBorders>
              <w:tl2br w:val="nil"/>
              <w:tr2bl w:val="nil"/>
            </w:tcBorders>
            <w:noWrap w:val="0"/>
            <w:vAlign w:val="center"/>
          </w:tcPr>
          <w:p w14:paraId="249CD92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w:t>
            </w:r>
          </w:p>
        </w:tc>
        <w:tc>
          <w:tcPr>
            <w:tcW w:w="380" w:type="pct"/>
            <w:tcBorders>
              <w:tl2br w:val="nil"/>
              <w:tr2bl w:val="nil"/>
            </w:tcBorders>
            <w:noWrap w:val="0"/>
            <w:vAlign w:val="center"/>
          </w:tcPr>
          <w:p w14:paraId="4B0A0AD9">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噪声</w:t>
            </w:r>
          </w:p>
        </w:tc>
        <w:tc>
          <w:tcPr>
            <w:tcW w:w="500" w:type="pct"/>
            <w:tcBorders>
              <w:tl2br w:val="nil"/>
              <w:tr2bl w:val="nil"/>
            </w:tcBorders>
            <w:noWrap w:val="0"/>
            <w:vAlign w:val="center"/>
          </w:tcPr>
          <w:p w14:paraId="64DCF133">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机械噪声</w:t>
            </w:r>
          </w:p>
        </w:tc>
        <w:tc>
          <w:tcPr>
            <w:tcW w:w="670" w:type="pct"/>
            <w:tcBorders>
              <w:tl2br w:val="nil"/>
              <w:tr2bl w:val="nil"/>
            </w:tcBorders>
            <w:noWrap w:val="0"/>
            <w:vAlign w:val="center"/>
          </w:tcPr>
          <w:p w14:paraId="2FC12B31">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噪声</w:t>
            </w:r>
          </w:p>
        </w:tc>
        <w:tc>
          <w:tcPr>
            <w:tcW w:w="472" w:type="pct"/>
            <w:tcBorders>
              <w:tl2br w:val="nil"/>
              <w:tr2bl w:val="nil"/>
            </w:tcBorders>
            <w:noWrap w:val="0"/>
            <w:vAlign w:val="center"/>
          </w:tcPr>
          <w:p w14:paraId="6CF5780E">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80-90dB（A）</w:t>
            </w:r>
          </w:p>
        </w:tc>
        <w:tc>
          <w:tcPr>
            <w:tcW w:w="1100" w:type="pct"/>
            <w:tcBorders>
              <w:tl2br w:val="nil"/>
              <w:tr2bl w:val="nil"/>
            </w:tcBorders>
            <w:noWrap w:val="0"/>
            <w:vAlign w:val="center"/>
          </w:tcPr>
          <w:p w14:paraId="50185F6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选用低噪声设备</w:t>
            </w:r>
          </w:p>
        </w:tc>
        <w:tc>
          <w:tcPr>
            <w:tcW w:w="1646" w:type="pct"/>
            <w:tcBorders>
              <w:tl2br w:val="nil"/>
              <w:tr2bl w:val="nil"/>
            </w:tcBorders>
            <w:noWrap w:val="0"/>
            <w:vAlign w:val="center"/>
          </w:tcPr>
          <w:p w14:paraId="3821D34C">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场界噪声符合</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《建筑施工噪声排放标准》（GB12523-2025）</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要求：昼间≤70dB（A），夜间≤55dB（A）</w:t>
            </w:r>
          </w:p>
        </w:tc>
      </w:tr>
      <w:tr w14:paraId="6939E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tcBorders>
              <w:tl2br w:val="nil"/>
              <w:tr2bl w:val="nil"/>
            </w:tcBorders>
            <w:noWrap w:val="0"/>
            <w:vAlign w:val="center"/>
          </w:tcPr>
          <w:p w14:paraId="2A53AB87">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3</w:t>
            </w:r>
          </w:p>
        </w:tc>
        <w:tc>
          <w:tcPr>
            <w:tcW w:w="380" w:type="pct"/>
            <w:tcBorders>
              <w:tl2br w:val="nil"/>
              <w:tr2bl w:val="nil"/>
            </w:tcBorders>
            <w:noWrap w:val="0"/>
            <w:vAlign w:val="center"/>
          </w:tcPr>
          <w:p w14:paraId="5B31DAC5">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固废</w:t>
            </w:r>
          </w:p>
        </w:tc>
        <w:tc>
          <w:tcPr>
            <w:tcW w:w="500" w:type="pct"/>
            <w:tcBorders>
              <w:tl2br w:val="nil"/>
              <w:tr2bl w:val="nil"/>
            </w:tcBorders>
            <w:noWrap w:val="0"/>
            <w:vAlign w:val="center"/>
          </w:tcPr>
          <w:p w14:paraId="10A05379">
            <w:pPr>
              <w:keepNext w:val="0"/>
              <w:keepLines w:val="0"/>
              <w:pageBreakBefore w:val="0"/>
              <w:widowControl w:val="0"/>
              <w:kinsoku/>
              <w:wordWrap/>
              <w:overflowPunct/>
              <w:topLinePunct w:val="0"/>
              <w:autoSpaceDE/>
              <w:autoSpaceDN/>
              <w:bidi w:val="0"/>
              <w:adjustRightInd w:val="0"/>
              <w:snapToGrid w:val="0"/>
              <w:spacing w:after="0"/>
              <w:ind w:left="0" w:firstLine="0" w:firstLineChars="0"/>
              <w:contextualSpacing/>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员工</w:t>
            </w:r>
          </w:p>
        </w:tc>
        <w:tc>
          <w:tcPr>
            <w:tcW w:w="670" w:type="pct"/>
            <w:tcBorders>
              <w:tl2br w:val="nil"/>
              <w:tr2bl w:val="nil"/>
            </w:tcBorders>
            <w:noWrap w:val="0"/>
            <w:vAlign w:val="center"/>
          </w:tcPr>
          <w:p w14:paraId="78A5081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生活垃圾</w:t>
            </w:r>
          </w:p>
        </w:tc>
        <w:tc>
          <w:tcPr>
            <w:tcW w:w="472" w:type="pct"/>
            <w:tcBorders>
              <w:tl2br w:val="nil"/>
              <w:tr2bl w:val="nil"/>
            </w:tcBorders>
            <w:noWrap w:val="0"/>
            <w:vAlign w:val="center"/>
          </w:tcPr>
          <w:p w14:paraId="6D49F38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少量</w:t>
            </w:r>
          </w:p>
        </w:tc>
        <w:tc>
          <w:tcPr>
            <w:tcW w:w="1100" w:type="pct"/>
            <w:tcBorders>
              <w:tl2br w:val="nil"/>
              <w:tr2bl w:val="nil"/>
            </w:tcBorders>
            <w:noWrap w:val="0"/>
            <w:vAlign w:val="center"/>
          </w:tcPr>
          <w:p w14:paraId="0AE4332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拉运至大庆城控电力有限公司焚烧处理</w:t>
            </w:r>
          </w:p>
        </w:tc>
        <w:tc>
          <w:tcPr>
            <w:tcW w:w="1646" w:type="pct"/>
            <w:tcBorders>
              <w:tl2br w:val="nil"/>
              <w:tr2bl w:val="nil"/>
            </w:tcBorders>
            <w:noWrap w:val="0"/>
            <w:vAlign w:val="center"/>
          </w:tcPr>
          <w:p w14:paraId="640ABCC2">
            <w:pPr>
              <w:keepNext w:val="0"/>
              <w:keepLines w:val="0"/>
              <w:pageBreakBefore w:val="0"/>
              <w:widowControl w:val="0"/>
              <w:kinsoku/>
              <w:wordWrap/>
              <w:overflowPunct/>
              <w:topLinePunct w:val="0"/>
              <w:autoSpaceDE/>
              <w:autoSpaceDN/>
              <w:bidi w:val="0"/>
              <w:adjustRightInd/>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不外排</w:t>
            </w:r>
          </w:p>
        </w:tc>
      </w:tr>
    </w:tbl>
    <w:p w14:paraId="5D8EA983">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42" w:name="_Toc28316"/>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8.5总量控制清单</w:t>
      </w:r>
      <w:bookmarkEnd w:id="142"/>
    </w:p>
    <w:p w14:paraId="7B9A56DD">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本项目施工期、退役期产生的各种污染物将随施工活动的结束而消失，</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管道</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运营期正常工况下不会产生污染物。</w:t>
      </w:r>
    </w:p>
    <w:p w14:paraId="60A5BAF3">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pPr>
      <w:bookmarkStart w:id="143" w:name="_Toc30047"/>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8.6“三同时”竣工环保验收</w:t>
      </w:r>
      <w:bookmarkEnd w:id="143"/>
    </w:p>
    <w:p w14:paraId="22480200">
      <w:pPr>
        <w:pStyle w:val="36"/>
        <w:keepNext w:val="0"/>
        <w:keepLines w:val="0"/>
        <w:pageBreakBefore w:val="0"/>
        <w:widowControl w:val="0"/>
        <w:kinsoku/>
        <w:wordWrap/>
        <w:overflowPunct/>
        <w:topLinePunct w:val="0"/>
        <w:autoSpaceDE/>
        <w:autoSpaceDN/>
        <w:bidi w:val="0"/>
        <w:adjustRightInd w:val="0"/>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为进一步落实本工程工程设计和环境影响评价提出的各项环保措施，确保环保工程发挥真正作用，本评价列出“三同时”项目表和竣工验收监测与调查的相关要求，具体内容见表8.</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、表</w:t>
      </w:r>
      <w:r>
        <w:rPr>
          <w:rFonts w:hint="default" w:ascii="Times New Roman" w:hAnsi="Times New Roman" w:cs="Times New Roman"/>
          <w:color w:val="000000" w:themeColor="text1"/>
          <w:highlight w:val="none"/>
          <w:lang w:val="en-US" w:eastAsia="zh-CN"/>
          <w14:textFill>
            <w14:solidFill>
              <w14:schemeClr w14:val="tx1"/>
            </w14:solidFill>
          </w14:textFill>
        </w:rPr>
        <w:t>8.6-2</w:t>
      </w:r>
      <w:r>
        <w:rPr>
          <w:rFonts w:hint="default" w:ascii="Times New Roman" w:hAnsi="Times New Roman" w:cs="Times New Roman"/>
          <w:color w:val="000000" w:themeColor="text1"/>
          <w:highlight w:val="none"/>
          <w14:textFill>
            <w14:solidFill>
              <w14:schemeClr w14:val="tx1"/>
            </w14:solidFill>
          </w14:textFill>
        </w:rPr>
        <w:t>。</w:t>
      </w:r>
    </w:p>
    <w:p w14:paraId="4DDAFE0C">
      <w:pPr>
        <w:keepNext w:val="0"/>
        <w:keepLines w:val="0"/>
        <w:pageBreakBefore w:val="0"/>
        <w:widowControl w:val="0"/>
        <w:kinsoku/>
        <w:wordWrap/>
        <w:overflowPunct/>
        <w:topLinePunct w:val="0"/>
        <w:autoSpaceDE/>
        <w:autoSpaceDN/>
        <w:bidi w:val="0"/>
        <w:adjustRightInd w:val="0"/>
        <w:snapToGrid w:val="0"/>
        <w:spacing w:after="0"/>
        <w:jc w:val="center"/>
        <w:textAlignment w:val="auto"/>
        <w:rPr>
          <w:rStyle w:val="43"/>
          <w:rFonts w:hint="default" w:ascii="Times New Roman" w:hAnsi="Times New Roman" w:cs="Times New Roman"/>
          <w:color w:val="000000" w:themeColor="text1"/>
          <w:highlight w:val="none"/>
          <w14:textFill>
            <w14:solidFill>
              <w14:schemeClr w14:val="tx1"/>
            </w14:solidFill>
          </w14:textFill>
        </w:rPr>
      </w:pPr>
      <w:r>
        <w:rPr>
          <w:rStyle w:val="43"/>
          <w:rFonts w:hint="default" w:ascii="Times New Roman" w:hAnsi="Times New Roman" w:cs="Times New Roman"/>
          <w:color w:val="000000" w:themeColor="text1"/>
          <w:highlight w:val="none"/>
          <w14:textFill>
            <w14:solidFill>
              <w14:schemeClr w14:val="tx1"/>
            </w14:solidFill>
          </w14:textFill>
        </w:rPr>
        <w:t>表8.</w:t>
      </w:r>
      <w:r>
        <w:rPr>
          <w:rStyle w:val="43"/>
          <w:rFonts w:hint="default" w:ascii="Times New Roman" w:hAnsi="Times New Roman" w:eastAsia="宋体" w:cs="Times New Roman"/>
          <w:color w:val="000000" w:themeColor="text1"/>
          <w:highlight w:val="none"/>
          <w:lang w:val="en-US" w:eastAsia="zh-CN"/>
          <w14:textFill>
            <w14:solidFill>
              <w14:schemeClr w14:val="tx1"/>
            </w14:solidFill>
          </w14:textFill>
        </w:rPr>
        <w:t>6</w:t>
      </w:r>
      <w:r>
        <w:rPr>
          <w:rStyle w:val="43"/>
          <w:rFonts w:hint="default" w:ascii="Times New Roman" w:hAnsi="Times New Roman" w:cs="Times New Roman"/>
          <w:color w:val="000000" w:themeColor="text1"/>
          <w:highlight w:val="none"/>
          <w14:textFill>
            <w14:solidFill>
              <w14:schemeClr w14:val="tx1"/>
            </w14:solidFill>
          </w14:textFill>
        </w:rPr>
        <w:t>-1</w:t>
      </w:r>
      <w:r>
        <w:rPr>
          <w:rStyle w:val="43"/>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Style w:val="43"/>
          <w:rFonts w:hint="default" w:ascii="Times New Roman" w:hAnsi="Times New Roman" w:cs="Times New Roman"/>
          <w:color w:val="000000" w:themeColor="text1"/>
          <w:highlight w:val="none"/>
          <w14:textFill>
            <w14:solidFill>
              <w14:schemeClr w14:val="tx1"/>
            </w14:solidFill>
          </w14:textFill>
        </w:rPr>
        <w:t>“三同时”环境污染防治措施及环保验收一览表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97"/>
        <w:gridCol w:w="4423"/>
        <w:gridCol w:w="3304"/>
      </w:tblGrid>
      <w:tr w14:paraId="1030B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gridSpan w:val="2"/>
            <w:tcBorders>
              <w:tl2br w:val="nil"/>
              <w:tr2bl w:val="nil"/>
            </w:tcBorders>
            <w:vAlign w:val="center"/>
          </w:tcPr>
          <w:p w14:paraId="6DD0011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防治内容</w:t>
            </w:r>
          </w:p>
        </w:tc>
        <w:tc>
          <w:tcPr>
            <w:tcW w:w="2382" w:type="pct"/>
            <w:tcBorders>
              <w:tl2br w:val="nil"/>
              <w:tr2bl w:val="nil"/>
            </w:tcBorders>
            <w:vAlign w:val="center"/>
          </w:tcPr>
          <w:p w14:paraId="797107A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环保措施</w:t>
            </w:r>
          </w:p>
        </w:tc>
        <w:tc>
          <w:tcPr>
            <w:tcW w:w="1779" w:type="pct"/>
            <w:tcBorders>
              <w:tl2br w:val="nil"/>
              <w:tr2bl w:val="nil"/>
            </w:tcBorders>
            <w:vAlign w:val="center"/>
          </w:tcPr>
          <w:p w14:paraId="0D659F9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验收标准</w:t>
            </w:r>
          </w:p>
        </w:tc>
      </w:tr>
      <w:tr w14:paraId="3A0C4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restart"/>
            <w:tcBorders>
              <w:tl2br w:val="nil"/>
              <w:tr2bl w:val="nil"/>
            </w:tcBorders>
            <w:vAlign w:val="center"/>
          </w:tcPr>
          <w:p w14:paraId="6A44038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w:t>
            </w:r>
          </w:p>
        </w:tc>
        <w:tc>
          <w:tcPr>
            <w:tcW w:w="590" w:type="pct"/>
            <w:tcBorders>
              <w:tl2br w:val="nil"/>
              <w:tr2bl w:val="nil"/>
            </w:tcBorders>
            <w:vAlign w:val="center"/>
          </w:tcPr>
          <w:p w14:paraId="3020C60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施工扬尘、焊接烟尘</w:t>
            </w:r>
          </w:p>
        </w:tc>
        <w:tc>
          <w:tcPr>
            <w:tcW w:w="2382" w:type="pct"/>
            <w:tcBorders>
              <w:tl2br w:val="nil"/>
              <w:tr2bl w:val="nil"/>
            </w:tcBorders>
            <w:vAlign w:val="center"/>
          </w:tcPr>
          <w:p w14:paraId="73DFF48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场地洒水抑尘</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，表土及建材堆放设置挡风板、上覆遮盖材料，施工运输车辆采取密闭措施或加盖防尘布</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779" w:type="pct"/>
            <w:tcBorders>
              <w:tl2br w:val="nil"/>
              <w:tr2bl w:val="nil"/>
            </w:tcBorders>
            <w:vAlign w:val="center"/>
          </w:tcPr>
          <w:p w14:paraId="7F398914">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施工场界颗粒物执行《大气污染物综合排放标准》（GB16297-1996）颗粒物无组织排放限值：≤1.0mg/m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w:t>
            </w:r>
          </w:p>
        </w:tc>
      </w:tr>
      <w:tr w14:paraId="6BB81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vAlign w:val="center"/>
          </w:tcPr>
          <w:p w14:paraId="789DC06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vAlign w:val="center"/>
          </w:tcPr>
          <w:p w14:paraId="6F33659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车辆排放的废气</w:t>
            </w:r>
          </w:p>
        </w:tc>
        <w:tc>
          <w:tcPr>
            <w:tcW w:w="2382" w:type="pct"/>
            <w:tcBorders>
              <w:tl2br w:val="nil"/>
              <w:tr2bl w:val="nil"/>
            </w:tcBorders>
            <w:vAlign w:val="center"/>
          </w:tcPr>
          <w:p w14:paraId="2ED7D83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使用产品质量达标的优质汽油</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779" w:type="pct"/>
            <w:tcBorders>
              <w:tl2br w:val="nil"/>
              <w:tr2bl w:val="nil"/>
            </w:tcBorders>
            <w:vAlign w:val="center"/>
          </w:tcPr>
          <w:p w14:paraId="3802F43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420" w:firstLineChars="200"/>
              <w:jc w:val="both"/>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无组织排放</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3DC4C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restart"/>
            <w:tcBorders>
              <w:tl2br w:val="nil"/>
              <w:tr2bl w:val="nil"/>
            </w:tcBorders>
            <w:vAlign w:val="center"/>
          </w:tcPr>
          <w:p w14:paraId="45D0AE7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590" w:type="pct"/>
            <w:tcBorders>
              <w:tl2br w:val="nil"/>
              <w:tr2bl w:val="nil"/>
            </w:tcBorders>
            <w:vAlign w:val="center"/>
          </w:tcPr>
          <w:p w14:paraId="0C5DC1E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生活污水</w:t>
            </w:r>
          </w:p>
        </w:tc>
        <w:tc>
          <w:tcPr>
            <w:tcW w:w="2382" w:type="pct"/>
            <w:tcBorders>
              <w:tl2br w:val="nil"/>
              <w:tr2bl w:val="nil"/>
            </w:tcBorders>
            <w:vAlign w:val="center"/>
          </w:tcPr>
          <w:p w14:paraId="24A575FA">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施工人员</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用罐车抽排至高平4号污水站，排入大庆市净源环保科技有限公司处理达标后排放。</w:t>
            </w:r>
          </w:p>
        </w:tc>
        <w:tc>
          <w:tcPr>
            <w:tcW w:w="1779" w:type="pct"/>
            <w:tcBorders>
              <w:tl2br w:val="nil"/>
              <w:tr2bl w:val="nil"/>
            </w:tcBorders>
            <w:vAlign w:val="center"/>
          </w:tcPr>
          <w:p w14:paraId="337531D7">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不外排</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3B112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vAlign w:val="center"/>
          </w:tcPr>
          <w:p w14:paraId="6795011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vAlign w:val="center"/>
          </w:tcPr>
          <w:p w14:paraId="74B577FD">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新建管道试压废水</w:t>
            </w:r>
          </w:p>
        </w:tc>
        <w:tc>
          <w:tcPr>
            <w:tcW w:w="2382" w:type="pct"/>
            <w:vMerge w:val="restart"/>
            <w:tcBorders>
              <w:tl2br w:val="nil"/>
              <w:tr2bl w:val="nil"/>
            </w:tcBorders>
            <w:vAlign w:val="center"/>
          </w:tcPr>
          <w:p w14:paraId="068328B4">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由罐车拉运至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处理，回注地下开采油层，不外排</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1779" w:type="pct"/>
            <w:vMerge w:val="restart"/>
            <w:tcBorders>
              <w:tl2br w:val="nil"/>
              <w:tr2bl w:val="nil"/>
            </w:tcBorders>
            <w:vAlign w:val="center"/>
          </w:tcPr>
          <w:p w14:paraId="30FF46F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满足《大庆油田地面工程建设设计规定》（Q/SYDQ0639-2015）、</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《碎屑岩油藏注水水质指标技术要求及分析方法》（SY/T5329-2022）</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标准要求</w:t>
            </w:r>
          </w:p>
        </w:tc>
      </w:tr>
      <w:tr w14:paraId="4C29C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vAlign w:val="center"/>
          </w:tcPr>
          <w:p w14:paraId="7C5A744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vAlign w:val="center"/>
          </w:tcPr>
          <w:p w14:paraId="440C3334">
            <w:pPr>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废旧管道清管废水</w:t>
            </w:r>
          </w:p>
        </w:tc>
        <w:tc>
          <w:tcPr>
            <w:tcW w:w="2382" w:type="pct"/>
            <w:vMerge w:val="continue"/>
            <w:tcBorders>
              <w:tl2br w:val="nil"/>
              <w:tr2bl w:val="nil"/>
            </w:tcBorders>
            <w:vAlign w:val="center"/>
          </w:tcPr>
          <w:p w14:paraId="42DD074D">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79" w:type="pct"/>
            <w:vMerge w:val="continue"/>
            <w:tcBorders>
              <w:tl2br w:val="nil"/>
              <w:tr2bl w:val="nil"/>
            </w:tcBorders>
            <w:vAlign w:val="center"/>
          </w:tcPr>
          <w:p w14:paraId="7A18BF4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r>
      <w:tr w14:paraId="2AA3A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46" w:type="pct"/>
            <w:vMerge w:val="restart"/>
            <w:tcBorders>
              <w:tl2br w:val="nil"/>
              <w:tr2bl w:val="nil"/>
            </w:tcBorders>
            <w:vAlign w:val="center"/>
          </w:tcPr>
          <w:p w14:paraId="5C0F936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w:t>
            </w:r>
          </w:p>
        </w:tc>
        <w:tc>
          <w:tcPr>
            <w:tcW w:w="590" w:type="pct"/>
            <w:tcBorders>
              <w:tl2br w:val="nil"/>
              <w:tr2bl w:val="nil"/>
            </w:tcBorders>
            <w:vAlign w:val="center"/>
          </w:tcPr>
          <w:p w14:paraId="0523855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分区防渗</w:t>
            </w:r>
          </w:p>
        </w:tc>
        <w:tc>
          <w:tcPr>
            <w:tcW w:w="2382" w:type="pct"/>
            <w:tcBorders>
              <w:tl2br w:val="nil"/>
              <w:tr2bl w:val="nil"/>
            </w:tcBorders>
            <w:vAlign w:val="center"/>
          </w:tcPr>
          <w:p w14:paraId="065B738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地下集输管道采用防腐钢管，设计壁厚的腐蚀余量</w:t>
            </w:r>
            <w: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t>大于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3mm，</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管道的连接方式采用焊接</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定期对管道腐蚀情况及壁厚进行检测，发现问题及时处理，防止泄漏事故的发生；提高自动化水平，对管道的压力进行实时监控</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14:paraId="5C870993">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定向钻施工时，防渗泥浆池、泥浆配置区等区域，场地铺设1.5mm厚高密度聚乙烯膜构筑防渗层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防渗性能等效黏土防渗层Mb≥</w:t>
            </w:r>
            <w:r>
              <w:rPr>
                <w:rFonts w:hint="eastAsia" w:ascii="Times New Roman" w:hAnsi="Times New Roman" w:eastAsia="宋体" w:cs="Times New Roman"/>
                <w:bCs/>
                <w:snapToGrid w:val="0"/>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m、K≤1.0×10</w:t>
            </w:r>
            <w:r>
              <w:rPr>
                <w:rFonts w:hint="default" w:ascii="Times New Roman" w:hAnsi="Times New Roman" w:eastAsia="宋体" w:cs="Times New Roman"/>
                <w:bCs/>
                <w:snapToGrid w:val="0"/>
                <w:color w:val="000000" w:themeColor="text1"/>
                <w:kern w:val="0"/>
                <w:sz w:val="21"/>
                <w:szCs w:val="21"/>
                <w:highlight w:val="none"/>
                <w:vertAlign w:val="superscript"/>
                <w14:textFill>
                  <w14:solidFill>
                    <w14:schemeClr w14:val="tx1"/>
                  </w14:solidFill>
                </w14:textFill>
              </w:rPr>
              <w:t>-7</w:t>
            </w:r>
            <w:r>
              <w:rPr>
                <w:rFonts w:hint="default" w:ascii="Times New Roman" w:hAnsi="Times New Roman" w:eastAsia="宋体" w:cs="Times New Roman"/>
                <w:bCs/>
                <w:snapToGrid w:val="0"/>
                <w:color w:val="000000" w:themeColor="text1"/>
                <w:kern w:val="0"/>
                <w:sz w:val="21"/>
                <w:szCs w:val="21"/>
                <w:highlight w:val="none"/>
                <w14:textFill>
                  <w14:solidFill>
                    <w14:schemeClr w14:val="tx1"/>
                  </w14:solidFill>
                </w14:textFill>
              </w:rPr>
              <w:t>cm/s，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满足《环境影响评价技术导则地下水环境》（HJ610-2016）一般防渗区技术要求</w:t>
            </w:r>
            <w:r>
              <w:rPr>
                <w:rFonts w:hint="default" w:ascii="Times New Roman" w:hAnsi="Times New Roman" w:eastAsia="宋体" w:cs="Times New Roman"/>
                <w:bCs/>
                <w:snapToGrid w:val="0"/>
                <w:color w:val="000000" w:themeColor="text1"/>
                <w:kern w:val="0"/>
                <w:sz w:val="21"/>
                <w:szCs w:val="21"/>
                <w:highlight w:val="none"/>
                <w:lang w:eastAsia="zh-CN"/>
                <w14:textFill>
                  <w14:solidFill>
                    <w14:schemeClr w14:val="tx1"/>
                  </w14:solidFill>
                </w14:textFill>
              </w:rPr>
              <w:t>。</w:t>
            </w:r>
          </w:p>
        </w:tc>
        <w:tc>
          <w:tcPr>
            <w:tcW w:w="1779" w:type="pct"/>
            <w:tcBorders>
              <w:tl2br w:val="nil"/>
              <w:tr2bl w:val="nil"/>
            </w:tcBorders>
            <w:vAlign w:val="center"/>
          </w:tcPr>
          <w:p w14:paraId="2D88742F">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防渗性能要求达到等效黏土防渗层Mb≥6.0m，K≤1×10</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cm/s，防渗性能满足《环境影响评价技术导则地下水环境》（HJ610-2016）中重点防渗区的要求；施工期留存影像资料</w:t>
            </w:r>
          </w:p>
        </w:tc>
      </w:tr>
      <w:tr w14:paraId="6BE1F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vAlign w:val="center"/>
          </w:tcPr>
          <w:p w14:paraId="3E7DE2B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vAlign w:val="center"/>
          </w:tcPr>
          <w:p w14:paraId="56AD216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跟踪监测井</w:t>
            </w:r>
          </w:p>
        </w:tc>
        <w:tc>
          <w:tcPr>
            <w:tcW w:w="2382" w:type="pct"/>
            <w:tcBorders>
              <w:tl2br w:val="nil"/>
              <w:tr2bl w:val="nil"/>
            </w:tcBorders>
            <w:vAlign w:val="center"/>
          </w:tcPr>
          <w:p w14:paraId="61E5FDD6">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依托3口跟踪监测井，新建1口跟踪监测井，井深均为20m，定期对地下水进行跟踪监测：</w:t>
            </w:r>
          </w:p>
          <w:p w14:paraId="03EFD8E3">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在本区域上游宋芳屯居住区（125.070827，45.987808）、平立屯（125.290617，46.170945）布设2个潜水背景值监测水井；在区块下游粮油贸易公司（125.069196，45.989418）、升1-2集油阀组间1环集油管线西侧50m处（125.273344，46.178612）各布设1口潜水跟踪监测井。</w:t>
            </w:r>
          </w:p>
        </w:tc>
        <w:tc>
          <w:tcPr>
            <w:tcW w:w="1779" w:type="pct"/>
            <w:tcBorders>
              <w:tl2br w:val="nil"/>
              <w:tr2bl w:val="nil"/>
            </w:tcBorders>
            <w:vAlign w:val="center"/>
          </w:tcPr>
          <w:p w14:paraId="74C42C1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地下水水质执行《地下水质量标准》（GB/T14848-2017）III类标准，石油类参考执行《地表水环境质量标准》（GB3838-2002）中</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II</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类标准</w:t>
            </w:r>
          </w:p>
        </w:tc>
      </w:tr>
      <w:tr w14:paraId="0A227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tcBorders>
              <w:tl2br w:val="nil"/>
              <w:tr2bl w:val="nil"/>
            </w:tcBorders>
            <w:vAlign w:val="center"/>
          </w:tcPr>
          <w:p w14:paraId="40BD674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590" w:type="pct"/>
            <w:tcBorders>
              <w:tl2br w:val="nil"/>
              <w:tr2bl w:val="nil"/>
            </w:tcBorders>
            <w:vAlign w:val="center"/>
          </w:tcPr>
          <w:p w14:paraId="5C797C2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施工场地设备噪声</w:t>
            </w:r>
          </w:p>
        </w:tc>
        <w:tc>
          <w:tcPr>
            <w:tcW w:w="2382" w:type="pct"/>
            <w:tcBorders>
              <w:tl2br w:val="nil"/>
              <w:tr2bl w:val="nil"/>
            </w:tcBorders>
            <w:vAlign w:val="center"/>
          </w:tcPr>
          <w:p w14:paraId="689EB46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选用低噪声机械、合理布局、高</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设备分散放置，远离村屯，禁止夜间10时至次日6时进行高噪声施工，加强设备维护保养，</w:t>
            </w: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降低噪声源强度</w:t>
            </w:r>
            <w:r>
              <w:rPr>
                <w:rFonts w:hint="eastAsia"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w:t>
            </w:r>
          </w:p>
        </w:tc>
        <w:tc>
          <w:tcPr>
            <w:tcW w:w="1779" w:type="pct"/>
            <w:tcBorders>
              <w:tl2br w:val="nil"/>
              <w:tr2bl w:val="nil"/>
            </w:tcBorders>
            <w:vAlign w:val="center"/>
          </w:tcPr>
          <w:p w14:paraId="2548475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施工期噪声满足</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《建筑施工噪声排放标准》（GB12523-2025）</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限值，昼间≤70dB（A），夜间≤55dB（A）</w:t>
            </w:r>
          </w:p>
        </w:tc>
      </w:tr>
      <w:tr w14:paraId="3CAAD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vMerge w:val="restart"/>
            <w:tcBorders>
              <w:tl2br w:val="nil"/>
              <w:tr2bl w:val="nil"/>
            </w:tcBorders>
            <w:shd w:val="clear" w:color="auto" w:fill="auto"/>
            <w:vAlign w:val="center"/>
          </w:tcPr>
          <w:p w14:paraId="548498D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固废</w:t>
            </w:r>
          </w:p>
        </w:tc>
        <w:tc>
          <w:tcPr>
            <w:tcW w:w="590" w:type="pct"/>
            <w:tcBorders>
              <w:tl2br w:val="nil"/>
              <w:tr2bl w:val="nil"/>
            </w:tcBorders>
            <w:shd w:val="clear" w:color="auto" w:fill="auto"/>
            <w:vAlign w:val="center"/>
          </w:tcPr>
          <w:p w14:paraId="161AEE5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管道</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施工废料</w:t>
            </w:r>
          </w:p>
        </w:tc>
        <w:tc>
          <w:tcPr>
            <w:tcW w:w="2382" w:type="pct"/>
            <w:tcBorders>
              <w:tl2br w:val="nil"/>
              <w:tr2bl w:val="nil"/>
            </w:tcBorders>
            <w:shd w:val="clear" w:color="auto" w:fill="auto"/>
            <w:vAlign w:val="center"/>
          </w:tcPr>
          <w:p w14:paraId="0873A9EA">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送至</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第八采油厂</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工业固废填埋场处理</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1779" w:type="pct"/>
            <w:tcBorders>
              <w:tl2br w:val="nil"/>
              <w:tr2bl w:val="nil"/>
            </w:tcBorders>
            <w:shd w:val="clear" w:color="auto" w:fill="auto"/>
            <w:vAlign w:val="center"/>
          </w:tcPr>
          <w:p w14:paraId="1D277A95">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《一般工业固体废物贮存和填埋污染控制标准》（GB18599-2020）</w:t>
            </w:r>
          </w:p>
        </w:tc>
      </w:tr>
      <w:tr w14:paraId="3B70D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vMerge w:val="continue"/>
            <w:tcBorders>
              <w:tl2br w:val="nil"/>
              <w:tr2bl w:val="nil"/>
            </w:tcBorders>
            <w:shd w:val="clear" w:color="auto" w:fill="auto"/>
            <w:vAlign w:val="center"/>
          </w:tcPr>
          <w:p w14:paraId="64C202D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shd w:val="clear" w:color="auto" w:fill="auto"/>
            <w:vAlign w:val="center"/>
          </w:tcPr>
          <w:p w14:paraId="65029F1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穿越工程废弃泥浆</w:t>
            </w:r>
          </w:p>
        </w:tc>
        <w:tc>
          <w:tcPr>
            <w:tcW w:w="2382" w:type="pct"/>
            <w:tcBorders>
              <w:tl2br w:val="nil"/>
              <w:tr2bl w:val="nil"/>
            </w:tcBorders>
            <w:shd w:val="clear" w:color="auto" w:fill="auto"/>
            <w:vAlign w:val="center"/>
          </w:tcPr>
          <w:p w14:paraId="38406EB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经防渗泥浆池沉降后，上清液回收洒水降尘、固体部分用于井排路护坡。</w:t>
            </w:r>
          </w:p>
        </w:tc>
        <w:tc>
          <w:tcPr>
            <w:tcW w:w="1779" w:type="pct"/>
            <w:tcBorders>
              <w:tl2br w:val="nil"/>
              <w:tr2bl w:val="nil"/>
            </w:tcBorders>
            <w:shd w:val="clear" w:color="auto" w:fill="auto"/>
            <w:vAlign w:val="center"/>
          </w:tcPr>
          <w:p w14:paraId="60A6DDB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r>
      <w:tr w14:paraId="0DD2C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shd w:val="clear" w:color="auto" w:fill="auto"/>
            <w:vAlign w:val="center"/>
          </w:tcPr>
          <w:p w14:paraId="704A0B8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shd w:val="clear" w:color="auto" w:fill="auto"/>
            <w:vAlign w:val="center"/>
          </w:tcPr>
          <w:p w14:paraId="2FA6CAF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生活垃圾</w:t>
            </w:r>
          </w:p>
        </w:tc>
        <w:tc>
          <w:tcPr>
            <w:tcW w:w="2382" w:type="pct"/>
            <w:tcBorders>
              <w:tl2br w:val="nil"/>
              <w:tr2bl w:val="nil"/>
            </w:tcBorders>
            <w:shd w:val="clear" w:color="auto" w:fill="auto"/>
            <w:vAlign w:val="center"/>
          </w:tcPr>
          <w:p w14:paraId="3E010D42">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拉运至大庆城控电力有限公司焚烧处理</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779" w:type="pct"/>
            <w:tcBorders>
              <w:tl2br w:val="nil"/>
              <w:tr2bl w:val="nil"/>
            </w:tcBorders>
            <w:shd w:val="clear" w:color="auto" w:fill="auto"/>
            <w:vAlign w:val="center"/>
          </w:tcPr>
          <w:p w14:paraId="429B178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不外排</w:t>
            </w:r>
          </w:p>
        </w:tc>
      </w:tr>
      <w:tr w14:paraId="79EF9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7" w:type="pct"/>
            <w:gridSpan w:val="2"/>
            <w:tcBorders>
              <w:tl2br w:val="nil"/>
              <w:tr2bl w:val="nil"/>
            </w:tcBorders>
            <w:vAlign w:val="center"/>
          </w:tcPr>
          <w:p w14:paraId="3819B6E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土壤保护</w:t>
            </w:r>
          </w:p>
        </w:tc>
        <w:tc>
          <w:tcPr>
            <w:tcW w:w="2382" w:type="pct"/>
            <w:tcBorders>
              <w:tl2br w:val="nil"/>
              <w:tr2bl w:val="nil"/>
            </w:tcBorders>
            <w:vAlign w:val="center"/>
          </w:tcPr>
          <w:p w14:paraId="5334B14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选择了芳3转油站外输油管道表层土壤、芳3转油站外输油管道外西侧30m表层土壤、升1-2集油阀组间1环集油管线表层土壤、升1-2集油阀组间1环集油管线外西侧30m表层土壤进行跟踪监测，监测频次为1次/年，监测项目主要为石油类、石油烃（C6-C9）、石油烃（C10-C40）、砷、六价铬。</w:t>
            </w:r>
          </w:p>
        </w:tc>
        <w:tc>
          <w:tcPr>
            <w:tcW w:w="1779" w:type="pct"/>
            <w:tcBorders>
              <w:tl2br w:val="nil"/>
              <w:tr2bl w:val="nil"/>
            </w:tcBorders>
            <w:vAlign w:val="center"/>
          </w:tcPr>
          <w:p w14:paraId="01E2020D">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执行《土壤环境质量农用地土壤污染风险管控标准（试行）》（GB15618-2018）表1农用地土壤污染风险筛选值</w:t>
            </w:r>
          </w:p>
        </w:tc>
      </w:tr>
      <w:tr w14:paraId="078A6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restart"/>
            <w:tcBorders>
              <w:tl2br w:val="nil"/>
              <w:tr2bl w:val="nil"/>
            </w:tcBorders>
            <w:vAlign w:val="center"/>
          </w:tcPr>
          <w:p w14:paraId="30323C6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生态恢复</w:t>
            </w:r>
          </w:p>
        </w:tc>
        <w:tc>
          <w:tcPr>
            <w:tcW w:w="590" w:type="pct"/>
            <w:tcBorders>
              <w:tl2br w:val="nil"/>
              <w:tr2bl w:val="nil"/>
            </w:tcBorders>
            <w:vAlign w:val="center"/>
          </w:tcPr>
          <w:p w14:paraId="69165F5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临时占地</w:t>
            </w:r>
          </w:p>
        </w:tc>
        <w:tc>
          <w:tcPr>
            <w:tcW w:w="2382" w:type="pct"/>
            <w:tcBorders>
              <w:tl2br w:val="nil"/>
              <w:tr2bl w:val="nil"/>
            </w:tcBorders>
            <w:vAlign w:val="center"/>
          </w:tcPr>
          <w:p w14:paraId="793A02FE">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临时占地类型为耕地、草地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、林地</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，临时占地</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24.78hm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。施工结束后及时清理施工现场，对临时占地采取耕地复垦，草地植被恢复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、林地平整后对移栽的林木进行恢复。</w:t>
            </w:r>
          </w:p>
        </w:tc>
        <w:tc>
          <w:tcPr>
            <w:tcW w:w="1779" w:type="pct"/>
            <w:tcBorders>
              <w:tl2br w:val="nil"/>
              <w:tr2bl w:val="nil"/>
            </w:tcBorders>
            <w:vAlign w:val="center"/>
          </w:tcPr>
          <w:p w14:paraId="66351AAD">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施工结束后地表平整，及时恢复地表形态、生态修复</w:t>
            </w:r>
          </w:p>
        </w:tc>
      </w:tr>
      <w:tr w14:paraId="55587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vAlign w:val="center"/>
          </w:tcPr>
          <w:p w14:paraId="0041492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vAlign w:val="center"/>
          </w:tcPr>
          <w:p w14:paraId="2141C93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水土流失防治措施</w:t>
            </w:r>
          </w:p>
        </w:tc>
        <w:tc>
          <w:tcPr>
            <w:tcW w:w="2382" w:type="pct"/>
            <w:tcBorders>
              <w:tl2br w:val="nil"/>
              <w:tr2bl w:val="nil"/>
            </w:tcBorders>
            <w:vAlign w:val="center"/>
          </w:tcPr>
          <w:p w14:paraId="67DA2E3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严格控制管道作业面积，严禁车辆离路行驶；做好原有植被恢复工作和人工绿化工作，对表土进行剥离，同时进行养护和管理；因地制宜选择施工季节；严禁在大风、大雨天气下施工，在便道出入口，竖立保护植被的警示牌，严禁开发建设施工材料乱堆乱放，划定适宜的堆料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779" w:type="pct"/>
            <w:tcBorders>
              <w:tl2br w:val="nil"/>
              <w:tr2bl w:val="nil"/>
            </w:tcBorders>
            <w:vAlign w:val="center"/>
          </w:tcPr>
          <w:p w14:paraId="74D2E648">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施工过程中采取水土流失措施，并留存影像资料</w:t>
            </w:r>
          </w:p>
        </w:tc>
      </w:tr>
      <w:tr w14:paraId="6A431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vMerge w:val="continue"/>
            <w:tcBorders>
              <w:tl2br w:val="nil"/>
              <w:tr2bl w:val="nil"/>
            </w:tcBorders>
            <w:vAlign w:val="center"/>
          </w:tcPr>
          <w:p w14:paraId="0120535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90" w:type="pct"/>
            <w:tcBorders>
              <w:tl2br w:val="nil"/>
              <w:tr2bl w:val="nil"/>
            </w:tcBorders>
            <w:vAlign w:val="center"/>
          </w:tcPr>
          <w:p w14:paraId="4DD5B64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防沙治沙</w:t>
            </w:r>
          </w:p>
        </w:tc>
        <w:tc>
          <w:tcPr>
            <w:tcW w:w="2382" w:type="pct"/>
            <w:tcBorders>
              <w:tl2br w:val="nil"/>
              <w:tr2bl w:val="nil"/>
            </w:tcBorders>
            <w:vAlign w:val="center"/>
          </w:tcPr>
          <w:p w14:paraId="10FDFE57">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均在临时占地内进行，车辆采用“一”字型作业法，建立乔、灌、草结合，网、带、片结合的沙地植被防护体系，裸露沙地，以种植草本和灌木植物为主等措施。施工过程中采取防沙治沙措施，并留存影像资料</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779" w:type="pct"/>
            <w:tcBorders>
              <w:tl2br w:val="nil"/>
              <w:tr2bl w:val="nil"/>
            </w:tcBorders>
            <w:vAlign w:val="center"/>
          </w:tcPr>
          <w:p w14:paraId="466ED3C1">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施工过程中采取防沙治沙措施，并留存影像资料</w:t>
            </w:r>
          </w:p>
        </w:tc>
      </w:tr>
      <w:tr w14:paraId="7796E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6" w:type="pct"/>
            <w:tcBorders>
              <w:tl2br w:val="nil"/>
              <w:tr2bl w:val="nil"/>
            </w:tcBorders>
            <w:vAlign w:val="center"/>
          </w:tcPr>
          <w:p w14:paraId="60E6A82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环境风险防范</w:t>
            </w:r>
          </w:p>
        </w:tc>
        <w:tc>
          <w:tcPr>
            <w:tcW w:w="590" w:type="pct"/>
            <w:tcBorders>
              <w:tl2br w:val="nil"/>
              <w:tr2bl w:val="nil"/>
            </w:tcBorders>
            <w:vAlign w:val="center"/>
          </w:tcPr>
          <w:p w14:paraId="66EA9D8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事故应急设施</w:t>
            </w:r>
          </w:p>
        </w:tc>
        <w:tc>
          <w:tcPr>
            <w:tcW w:w="2382" w:type="pct"/>
            <w:tcBorders>
              <w:tl2br w:val="nil"/>
              <w:tr2bl w:val="nil"/>
            </w:tcBorders>
            <w:vAlign w:val="center"/>
          </w:tcPr>
          <w:p w14:paraId="6E7641D0">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防渗布、围油栏、铁锹、镐等</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779" w:type="pct"/>
            <w:tcBorders>
              <w:tl2br w:val="nil"/>
              <w:tr2bl w:val="nil"/>
            </w:tcBorders>
            <w:vAlign w:val="center"/>
          </w:tcPr>
          <w:p w14:paraId="053AE2EC">
            <w:pPr>
              <w:keepNext w:val="0"/>
              <w:keepLines w:val="0"/>
              <w:pageBreakBefore w:val="0"/>
              <w:widowControl w:val="0"/>
              <w:kinsoku/>
              <w:wordWrap/>
              <w:overflowPunct/>
              <w:topLinePunct w:val="0"/>
              <w:autoSpaceDE/>
              <w:autoSpaceDN/>
              <w:bidi w:val="0"/>
              <w:adjustRightInd w:val="0"/>
              <w:snapToGrid w:val="0"/>
              <w:spacing w:after="0"/>
              <w:ind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环境风险可防可控</w:t>
            </w:r>
          </w:p>
        </w:tc>
      </w:tr>
    </w:tbl>
    <w:p w14:paraId="5F179A12">
      <w:pPr>
        <w:keepNext w:val="0"/>
        <w:keepLines w:val="0"/>
        <w:pageBreakBefore w:val="0"/>
        <w:widowControl w:val="0"/>
        <w:kinsoku/>
        <w:wordWrap/>
        <w:topLinePunct w:val="0"/>
        <w:bidi w:val="0"/>
        <w:spacing w:after="0"/>
        <w:jc w:val="center"/>
        <w:rPr>
          <w:rStyle w:val="43"/>
          <w:rFonts w:hint="default" w:ascii="Times New Roman" w:hAnsi="Times New Roman" w:cs="Times New Roman"/>
          <w:color w:val="000000" w:themeColor="text1"/>
          <w:highlight w:val="none"/>
          <w14:textFill>
            <w14:solidFill>
              <w14:schemeClr w14:val="tx1"/>
            </w14:solidFill>
          </w14:textFill>
        </w:rPr>
      </w:pPr>
      <w:r>
        <w:rPr>
          <w:rStyle w:val="43"/>
          <w:rFonts w:hint="default" w:ascii="Times New Roman" w:hAnsi="Times New Roman" w:cs="Times New Roman"/>
          <w:color w:val="000000" w:themeColor="text1"/>
          <w:highlight w:val="none"/>
          <w14:textFill>
            <w14:solidFill>
              <w14:schemeClr w14:val="tx1"/>
            </w14:solidFill>
          </w14:textFill>
        </w:rPr>
        <w:t>表</w:t>
      </w:r>
      <w:r>
        <w:rPr>
          <w:rStyle w:val="43"/>
          <w:rFonts w:hint="default" w:ascii="Times New Roman" w:hAnsi="Times New Roman" w:eastAsia="宋体" w:cs="Times New Roman"/>
          <w:color w:val="000000" w:themeColor="text1"/>
          <w:highlight w:val="none"/>
          <w:lang w:val="en-US" w:eastAsia="zh-CN"/>
          <w14:textFill>
            <w14:solidFill>
              <w14:schemeClr w14:val="tx1"/>
            </w14:solidFill>
          </w14:textFill>
        </w:rPr>
        <w:t>8.6-2</w:t>
      </w:r>
      <w:r>
        <w:rPr>
          <w:rStyle w:val="43"/>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Style w:val="43"/>
          <w:rFonts w:hint="default" w:ascii="Times New Roman" w:hAnsi="Times New Roman" w:cs="Times New Roman"/>
          <w:color w:val="000000" w:themeColor="text1"/>
          <w:highlight w:val="none"/>
          <w14:textFill>
            <w14:solidFill>
              <w14:schemeClr w14:val="tx1"/>
            </w14:solidFill>
          </w14:textFill>
        </w:rPr>
        <w:t>竣工验收监测与调查主要内容</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7504"/>
      </w:tblGrid>
      <w:tr w14:paraId="6A23A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tcBorders>
              <w:tl2br w:val="nil"/>
              <w:tr2bl w:val="nil"/>
            </w:tcBorders>
            <w:noWrap w:val="0"/>
            <w:vAlign w:val="center"/>
          </w:tcPr>
          <w:p w14:paraId="7CC60CBF">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项目</w:t>
            </w:r>
          </w:p>
        </w:tc>
        <w:tc>
          <w:tcPr>
            <w:tcW w:w="7504" w:type="dxa"/>
            <w:tcBorders>
              <w:tl2br w:val="nil"/>
              <w:tr2bl w:val="nil"/>
            </w:tcBorders>
            <w:noWrap w:val="0"/>
            <w:vAlign w:val="center"/>
          </w:tcPr>
          <w:p w14:paraId="32CCBA64">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内容</w:t>
            </w:r>
          </w:p>
        </w:tc>
      </w:tr>
      <w:tr w14:paraId="2B061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restart"/>
            <w:tcBorders>
              <w:tl2br w:val="nil"/>
              <w:tr2bl w:val="nil"/>
            </w:tcBorders>
            <w:noWrap w:val="0"/>
            <w:vAlign w:val="center"/>
          </w:tcPr>
          <w:p w14:paraId="524A9A8C">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环境保护管理检查</w:t>
            </w:r>
          </w:p>
        </w:tc>
        <w:tc>
          <w:tcPr>
            <w:tcW w:w="7504" w:type="dxa"/>
            <w:tcBorders>
              <w:tl2br w:val="nil"/>
              <w:tr2bl w:val="nil"/>
            </w:tcBorders>
            <w:noWrap w:val="0"/>
            <w:vAlign w:val="center"/>
          </w:tcPr>
          <w:p w14:paraId="29E6B1DA">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项目各阶段环境保护法律、法规、规章制度的执行情况</w:t>
            </w:r>
          </w:p>
        </w:tc>
      </w:tr>
      <w:tr w14:paraId="28412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108F0C36">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7BA91B9F">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环境保护审批手续及环境保护档案资料</w:t>
            </w:r>
          </w:p>
        </w:tc>
      </w:tr>
      <w:tr w14:paraId="37F4A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48FA9E47">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2B34E784">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环保组织机构及规章管理制度</w:t>
            </w:r>
          </w:p>
        </w:tc>
      </w:tr>
      <w:tr w14:paraId="5C60E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2772E429">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7DFFEFFA">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环保设施建成及运行情况，生态恢复、占地补偿、绿化等措施的落实情况</w:t>
            </w:r>
          </w:p>
        </w:tc>
      </w:tr>
      <w:tr w14:paraId="1E372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4D565AE1">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63F8F7B0">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本项目环评报告及其批复提出的环保措施落实情况及其效果</w:t>
            </w:r>
          </w:p>
        </w:tc>
      </w:tr>
      <w:tr w14:paraId="0AF6A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3B2BF3E7">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58F45E72">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运行期环境保护监测计划实施情况</w:t>
            </w:r>
          </w:p>
        </w:tc>
      </w:tr>
      <w:tr w14:paraId="4444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5ECC1619">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5D3A3D84">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本项目事故风险的环保应急计划，包括</w:t>
            </w:r>
            <w:r>
              <w:rPr>
                <w:rFonts w:hint="eastAsia" w:ascii="Times New Roman" w:hAnsi="Times New Roman" w:cs="Times New Roman"/>
                <w:color w:val="000000" w:themeColor="text1"/>
                <w:highlight w:val="none"/>
                <w:lang w:eastAsia="zh-CN"/>
                <w14:textFill>
                  <w14:solidFill>
                    <w14:schemeClr w14:val="tx1"/>
                  </w14:solidFill>
                </w14:textFill>
              </w:rPr>
              <w:t>物资配备</w:t>
            </w:r>
            <w:r>
              <w:rPr>
                <w:rFonts w:hint="default" w:ascii="Times New Roman" w:hAnsi="Times New Roman" w:cs="Times New Roman"/>
                <w:color w:val="000000" w:themeColor="text1"/>
                <w:highlight w:val="none"/>
                <w14:textFill>
                  <w14:solidFill>
                    <w14:schemeClr w14:val="tx1"/>
                  </w14:solidFill>
                </w14:textFill>
              </w:rPr>
              <w:t>、防范措施，应急处置等</w:t>
            </w:r>
          </w:p>
        </w:tc>
      </w:tr>
      <w:tr w14:paraId="3F4CF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297031A2">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63446E13">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施工期、运行期扰民现象的调查</w:t>
            </w:r>
          </w:p>
        </w:tc>
      </w:tr>
      <w:tr w14:paraId="31BB8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46699CE0">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08FC8633">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固体废物种类、产生量、处理处置情况、综合利用情况</w:t>
            </w:r>
          </w:p>
        </w:tc>
      </w:tr>
      <w:tr w14:paraId="63EAF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restart"/>
            <w:tcBorders>
              <w:tl2br w:val="nil"/>
              <w:tr2bl w:val="nil"/>
            </w:tcBorders>
            <w:noWrap w:val="0"/>
            <w:vAlign w:val="center"/>
          </w:tcPr>
          <w:p w14:paraId="643ABC87">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污染物达标排放监测</w:t>
            </w:r>
          </w:p>
        </w:tc>
        <w:tc>
          <w:tcPr>
            <w:tcW w:w="7504" w:type="dxa"/>
            <w:tcBorders>
              <w:tl2br w:val="nil"/>
              <w:tr2bl w:val="nil"/>
            </w:tcBorders>
            <w:noWrap w:val="0"/>
            <w:vAlign w:val="center"/>
          </w:tcPr>
          <w:p w14:paraId="5C321EEA">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厂界烃类气体无组织排放监测</w:t>
            </w:r>
          </w:p>
        </w:tc>
      </w:tr>
      <w:tr w14:paraId="3291E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02B11F0C">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2F42EB4E">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厂界噪声达标排放监测</w:t>
            </w:r>
          </w:p>
        </w:tc>
      </w:tr>
      <w:tr w14:paraId="67C22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tcBorders>
              <w:tl2br w:val="nil"/>
              <w:tr2bl w:val="nil"/>
            </w:tcBorders>
            <w:noWrap w:val="0"/>
            <w:vAlign w:val="center"/>
          </w:tcPr>
          <w:p w14:paraId="3A20FD98">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环境保护敏感点环境质量监测</w:t>
            </w:r>
          </w:p>
        </w:tc>
        <w:tc>
          <w:tcPr>
            <w:tcW w:w="7504" w:type="dxa"/>
            <w:tcBorders>
              <w:tl2br w:val="nil"/>
              <w:tr2bl w:val="nil"/>
            </w:tcBorders>
            <w:noWrap w:val="0"/>
            <w:vAlign w:val="center"/>
          </w:tcPr>
          <w:p w14:paraId="223D8C1C">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油田开发区内的环境空气、地下水及生态环境质量</w:t>
            </w:r>
          </w:p>
        </w:tc>
      </w:tr>
      <w:tr w14:paraId="2364E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restart"/>
            <w:tcBorders>
              <w:tl2br w:val="nil"/>
              <w:tr2bl w:val="nil"/>
            </w:tcBorders>
            <w:noWrap w:val="0"/>
            <w:vAlign w:val="center"/>
          </w:tcPr>
          <w:p w14:paraId="44B6DF50">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生态调查主要内容</w:t>
            </w:r>
          </w:p>
        </w:tc>
        <w:tc>
          <w:tcPr>
            <w:tcW w:w="7504" w:type="dxa"/>
            <w:tcBorders>
              <w:tl2br w:val="nil"/>
              <w:tr2bl w:val="nil"/>
            </w:tcBorders>
            <w:noWrap w:val="0"/>
            <w:vAlign w:val="center"/>
          </w:tcPr>
          <w:p w14:paraId="5C6DD7B9">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项目在施工、运行期落实环境影响评价、工程设计文件以及各级环境保护行政主管部门批复文件中生态保护措施的情况</w:t>
            </w:r>
          </w:p>
        </w:tc>
      </w:tr>
      <w:tr w14:paraId="69FA1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598E61B9">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28287125">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耕地复垦、耕地异地补偿</w:t>
            </w: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、草地撒播草籽</w:t>
            </w:r>
            <w:r>
              <w:rPr>
                <w:rFonts w:hint="eastAsia" w:cs="Times New Roman"/>
                <w:color w:val="000000" w:themeColor="text1"/>
                <w:kern w:val="2"/>
                <w:sz w:val="21"/>
                <w:szCs w:val="20"/>
                <w:highlight w:val="none"/>
                <w:lang w:val="en-US" w:eastAsia="zh-CN" w:bidi="ar-SA"/>
                <w14:textFill>
                  <w14:solidFill>
                    <w14:schemeClr w14:val="tx1"/>
                  </w14:solidFill>
                </w14:textFill>
              </w:rPr>
              <w:t>、林木恢复</w:t>
            </w:r>
          </w:p>
        </w:tc>
      </w:tr>
      <w:tr w14:paraId="621B9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vMerge w:val="continue"/>
            <w:tcBorders>
              <w:tl2br w:val="nil"/>
              <w:tr2bl w:val="nil"/>
            </w:tcBorders>
            <w:noWrap w:val="0"/>
            <w:vAlign w:val="center"/>
          </w:tcPr>
          <w:p w14:paraId="50B6C46B">
            <w:pPr>
              <w:pStyle w:val="3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504" w:type="dxa"/>
            <w:tcBorders>
              <w:tl2br w:val="nil"/>
              <w:tr2bl w:val="nil"/>
            </w:tcBorders>
            <w:noWrap w:val="0"/>
            <w:vAlign w:val="center"/>
          </w:tcPr>
          <w:p w14:paraId="09816C7E">
            <w:pPr>
              <w:pStyle w:val="39"/>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针对水土流失重点治理区、防沙治沙环境破坏或潜在环境影响提出补救措施的落实情况</w:t>
            </w:r>
          </w:p>
        </w:tc>
      </w:tr>
    </w:tbl>
    <w:p w14:paraId="0FD5A765">
      <w:pPr>
        <w:keepNext w:val="0"/>
        <w:keepLines w:val="0"/>
        <w:pageBreakBefore w:val="0"/>
        <w:widowControl w:val="0"/>
        <w:kinsoku/>
        <w:wordWrap/>
        <w:topLinePunct w:val="0"/>
        <w:bidi w:val="0"/>
        <w:spacing w:after="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sectPr>
          <w:headerReference r:id="rId13" w:type="first"/>
          <w:footerReference r:id="rId15" w:type="first"/>
          <w:headerReference r:id="rId12" w:type="even"/>
          <w:footerReference r:id="rId14" w:type="even"/>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256CF799">
      <w:pPr>
        <w:keepNext w:val="0"/>
        <w:keepLines w:val="0"/>
        <w:pageBreakBefore w:val="0"/>
        <w:widowControl w:val="0"/>
        <w:tabs>
          <w:tab w:val="center" w:pos="4394"/>
          <w:tab w:val="left" w:pos="5484"/>
        </w:tabs>
        <w:kinsoku/>
        <w:wordWrap/>
        <w:overflowPunct/>
        <w:topLinePunct w:val="0"/>
        <w:autoSpaceDE/>
        <w:autoSpaceDN/>
        <w:bidi w:val="0"/>
        <w:adjustRightInd w:val="0"/>
        <w:snapToGrid w:val="0"/>
        <w:spacing w:after="0" w:line="360" w:lineRule="auto"/>
        <w:jc w:val="center"/>
        <w:textAlignment w:val="auto"/>
        <w:outlineLvl w:val="0"/>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pPr>
      <w:bookmarkStart w:id="144" w:name="_Toc7135"/>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九</w:t>
      </w:r>
      <w:r>
        <w:rPr>
          <w:rFonts w:hint="eastAsia" w:ascii="Times New Roman" w:hAnsi="Times New Roman" w:eastAsia="宋体" w:cs="Times New Roman"/>
          <w:b/>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eastAsia="zh-CN"/>
          <w14:textFill>
            <w14:solidFill>
              <w14:schemeClr w14:val="tx1"/>
            </w14:solidFill>
          </w14:textFill>
        </w:rPr>
        <w:t>结论及建议</w:t>
      </w:r>
      <w:bookmarkEnd w:id="144"/>
    </w:p>
    <w:p w14:paraId="691AC06A">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bookmarkStart w:id="145" w:name="_Toc21101"/>
      <w:bookmarkStart w:id="146" w:name="_Toc8181"/>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9.1项目概况</w:t>
      </w:r>
      <w:bookmarkEnd w:id="145"/>
      <w:bookmarkEnd w:id="146"/>
    </w:p>
    <w:p w14:paraId="13E47938">
      <w:pPr>
        <w:keepNext w:val="0"/>
        <w:keepLines w:val="0"/>
        <w:pageBreakBefore w:val="0"/>
        <w:widowControl w:val="0"/>
        <w:kinsoku/>
        <w:wordWrap/>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t>本项目更换输油管道20660m。升一联转油放水站更换阴极保护装置1套。拟更换管道施工涉及穿越工程17处，</w:t>
      </w:r>
      <w:r>
        <w:rPr>
          <w:rFonts w:hint="eastAsia"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t>均为定向钻穿越</w:t>
      </w:r>
      <w:r>
        <w:rPr>
          <w:rFonts w:hint="default"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t>。总投资：</w:t>
      </w:r>
      <w:r>
        <w:rPr>
          <w:rFonts w:hint="eastAsia"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925.42万元</w:t>
      </w:r>
      <w:r>
        <w:rPr>
          <w:rFonts w:hint="default"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t>，新增临时占地面积为</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24.78hm</w:t>
      </w:r>
      <w:r>
        <w:rPr>
          <w:rFonts w:hint="default" w:ascii="Times New Roman" w:hAnsi="Times New Roman" w:eastAsia="宋体" w:cs="Times New Roman"/>
          <w:snapToGrid w:val="0"/>
          <w:color w:val="000000" w:themeColor="text1"/>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其中</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12.56hm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草地（非基本草原）、</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12.12hm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耕地（基本农田）</w:t>
      </w:r>
      <w:r>
        <w:rPr>
          <w:rFonts w:hint="default"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0.1hm</w:t>
      </w:r>
      <w:r>
        <w:rPr>
          <w:rFonts w:hint="default" w:ascii="Times New Roman" w:hAnsi="Times New Roman" w:eastAsia="宋体" w:cs="Times New Roman"/>
          <w:snapToGrid w:val="0"/>
          <w:color w:val="000000" w:themeColor="text1"/>
          <w:sz w:val="24"/>
          <w:szCs w:val="20"/>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snapToGrid w:val="0"/>
          <w:color w:val="000000" w:themeColor="text1"/>
          <w:sz w:val="24"/>
          <w:szCs w:val="20"/>
          <w:highlight w:val="none"/>
          <w:vertAlign w:val="baseline"/>
          <w:lang w:val="en-US" w:eastAsia="zh-CN" w:bidi="ar-SA"/>
          <w14:textFill>
            <w14:solidFill>
              <w14:schemeClr w14:val="tx1"/>
            </w14:solidFill>
          </w14:textFill>
        </w:rPr>
        <w:t>林地</w:t>
      </w:r>
      <w:r>
        <w:rPr>
          <w:rFonts w:hint="default" w:ascii="Times New Roman" w:hAnsi="Times New Roman" w:eastAsia="宋体" w:cs="Times New Roman"/>
          <w:snapToGrid/>
          <w:color w:val="000000" w:themeColor="text1"/>
          <w:kern w:val="2"/>
          <w:sz w:val="24"/>
          <w:szCs w:val="28"/>
          <w:highlight w:val="none"/>
          <w:lang w:val="en-US" w:eastAsia="zh-CN" w:bidi="ar-SA"/>
          <w14:textFill>
            <w14:solidFill>
              <w14:schemeClr w14:val="tx1"/>
            </w14:solidFill>
          </w14:textFill>
        </w:rPr>
        <w:t>。</w:t>
      </w:r>
    </w:p>
    <w:p w14:paraId="52C24BF3">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bookmarkStart w:id="147" w:name="_Toc29989"/>
      <w:bookmarkStart w:id="148" w:name="_Toc7841"/>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9.2环境质量现状调查结论</w:t>
      </w:r>
      <w:bookmarkEnd w:id="147"/>
      <w:bookmarkEnd w:id="148"/>
    </w:p>
    <w:p w14:paraId="4184ECA5">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9.2.1大气环境</w:t>
      </w:r>
    </w:p>
    <w:p w14:paraId="715D267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本项目位于达标区</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bidi="en-US"/>
          <w14:textFill>
            <w14:solidFill>
              <w14:schemeClr w14:val="tx1"/>
            </w14:solidFill>
          </w14:textFill>
        </w:rPr>
        <w:t>评价区域环境空气监测点位</w:t>
      </w:r>
      <w:r>
        <w:rPr>
          <w:rFonts w:hint="default" w:ascii="Times New Roman" w:hAnsi="Times New Roman" w:eastAsia="宋体" w:cs="Times New Roman"/>
          <w:color w:val="000000" w:themeColor="text1"/>
          <w:spacing w:val="-4"/>
          <w:kern w:val="0"/>
          <w:sz w:val="24"/>
          <w:szCs w:val="22"/>
          <w:highlight w:val="none"/>
          <w14:textFill>
            <w14:solidFill>
              <w14:schemeClr w14:val="tx1"/>
            </w14:solidFill>
          </w14:textFill>
        </w:rPr>
        <w:t>SO</w:t>
      </w:r>
      <w:r>
        <w:rPr>
          <w:rFonts w:hint="default" w:ascii="Times New Roman" w:hAnsi="Times New Roman" w:eastAsia="宋体" w:cs="Times New Roman"/>
          <w:color w:val="000000" w:themeColor="text1"/>
          <w:spacing w:val="-4"/>
          <w:kern w:val="0"/>
          <w:sz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0"/>
          <w:sz w:val="24"/>
          <w:szCs w:val="22"/>
          <w:highlight w:val="none"/>
          <w14:textFill>
            <w14:solidFill>
              <w14:schemeClr w14:val="tx1"/>
            </w14:solidFill>
          </w14:textFill>
        </w:rPr>
        <w:t>、NO</w:t>
      </w:r>
      <w:r>
        <w:rPr>
          <w:rFonts w:hint="default" w:ascii="Times New Roman" w:hAnsi="Times New Roman" w:eastAsia="宋体" w:cs="Times New Roman"/>
          <w:color w:val="000000" w:themeColor="text1"/>
          <w:spacing w:val="-4"/>
          <w:kern w:val="0"/>
          <w:sz w:val="24"/>
          <w:szCs w:val="22"/>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4"/>
          <w:kern w:val="0"/>
          <w:sz w:val="24"/>
          <w:szCs w:val="22"/>
          <w:highlight w:val="none"/>
          <w14:textFill>
            <w14:solidFill>
              <w14:schemeClr w14:val="tx1"/>
            </w14:solidFill>
          </w14:textFill>
        </w:rPr>
        <w:t>、PM</w:t>
      </w:r>
      <w:r>
        <w:rPr>
          <w:rFonts w:hint="default" w:ascii="Times New Roman" w:hAnsi="Times New Roman" w:eastAsia="宋体" w:cs="Times New Roman"/>
          <w:color w:val="000000" w:themeColor="text1"/>
          <w:spacing w:val="-4"/>
          <w:kern w:val="0"/>
          <w:sz w:val="24"/>
          <w:szCs w:val="22"/>
          <w:highlight w:val="none"/>
          <w:vertAlign w:val="subscript"/>
          <w14:textFill>
            <w14:solidFill>
              <w14:schemeClr w14:val="tx1"/>
            </w14:solidFill>
          </w14:textFill>
        </w:rPr>
        <w:t>10</w:t>
      </w:r>
      <w:r>
        <w:rPr>
          <w:rFonts w:hint="default" w:ascii="Times New Roman" w:hAnsi="Times New Roman" w:eastAsia="宋体" w:cs="Times New Roman"/>
          <w:color w:val="000000" w:themeColor="text1"/>
          <w:spacing w:val="-4"/>
          <w:kern w:val="0"/>
          <w:sz w:val="24"/>
          <w:szCs w:val="22"/>
          <w:highlight w:val="none"/>
          <w14:textFill>
            <w14:solidFill>
              <w14:schemeClr w14:val="tx1"/>
            </w14:solidFill>
          </w14:textFill>
        </w:rPr>
        <w:t>、PM</w:t>
      </w:r>
      <w:r>
        <w:rPr>
          <w:rFonts w:hint="default" w:ascii="Times New Roman" w:hAnsi="Times New Roman" w:eastAsia="宋体" w:cs="Times New Roman"/>
          <w:color w:val="000000" w:themeColor="text1"/>
          <w:spacing w:val="-4"/>
          <w:kern w:val="0"/>
          <w:sz w:val="24"/>
          <w:szCs w:val="22"/>
          <w:highlight w:val="none"/>
          <w:vertAlign w:val="subscript"/>
          <w14:textFill>
            <w14:solidFill>
              <w14:schemeClr w14:val="tx1"/>
            </w14:solidFill>
          </w14:textFill>
        </w:rPr>
        <w:t>2.5</w:t>
      </w:r>
      <w:r>
        <w:rPr>
          <w:rFonts w:hint="default" w:ascii="Times New Roman" w:hAnsi="Times New Roman" w:eastAsia="宋体" w:cs="Times New Roman"/>
          <w:color w:val="000000" w:themeColor="text1"/>
          <w:spacing w:val="-4"/>
          <w:kern w:val="0"/>
          <w:sz w:val="24"/>
          <w:szCs w:val="22"/>
          <w:highlight w:val="none"/>
          <w14:textFill>
            <w14:solidFill>
              <w14:schemeClr w14:val="tx1"/>
            </w14:solidFill>
          </w14:textFill>
        </w:rPr>
        <w:t>、</w:t>
      </w:r>
      <w:r>
        <w:rPr>
          <w:rFonts w:hint="default" w:ascii="Times New Roman" w:hAnsi="Times New Roman" w:eastAsia="宋体" w:cs="Times New Roman"/>
          <w:color w:val="000000" w:themeColor="text1"/>
          <w:spacing w:val="-4"/>
          <w:kern w:val="0"/>
          <w:sz w:val="24"/>
          <w:szCs w:val="22"/>
          <w:highlight w:val="none"/>
          <w:lang w:val="en-US" w:eastAsia="zh-CN"/>
          <w14:textFill>
            <w14:solidFill>
              <w14:schemeClr w14:val="tx1"/>
            </w14:solidFill>
          </w14:textFill>
        </w:rPr>
        <w:t>CO</w:t>
      </w:r>
      <w:r>
        <w:rPr>
          <w:rFonts w:hint="default" w:ascii="Times New Roman" w:hAnsi="Times New Roman" w:eastAsia="宋体" w:cs="Times New Roman"/>
          <w:color w:val="000000" w:themeColor="text1"/>
          <w:spacing w:val="-4"/>
          <w:kern w:val="0"/>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0"/>
          <w:sz w:val="24"/>
          <w:szCs w:val="22"/>
          <w:highlight w:val="none"/>
          <w14:textFill>
            <w14:solidFill>
              <w14:schemeClr w14:val="tx1"/>
            </w14:solidFill>
          </w14:textFill>
        </w:rPr>
        <w:t>O</w:t>
      </w:r>
      <w:r>
        <w:rPr>
          <w:rFonts w:hint="default" w:ascii="Times New Roman" w:hAnsi="Times New Roman" w:eastAsia="宋体" w:cs="Times New Roman"/>
          <w:color w:val="000000" w:themeColor="text1"/>
          <w:spacing w:val="-4"/>
          <w:kern w:val="0"/>
          <w:sz w:val="24"/>
          <w:szCs w:val="22"/>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4"/>
          <w:kern w:val="0"/>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kern w:val="0"/>
          <w:sz w:val="24"/>
          <w:szCs w:val="22"/>
          <w:highlight w:val="none"/>
          <w:lang w:val="en-US" w:eastAsia="zh-CN"/>
          <w14:textFill>
            <w14:solidFill>
              <w14:schemeClr w14:val="tx1"/>
            </w14:solidFill>
          </w14:textFill>
        </w:rPr>
        <w:t>TSP</w:t>
      </w:r>
      <w:r>
        <w:rPr>
          <w:rFonts w:hint="default"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浓度均优于</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《环境空气质量标准》（GB3095-2012）及其修改单中二级标准</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，非甲烷总烃浓度优于《大气污染物综合标准详解》中规定的小时均值2.0mg/m</w:t>
      </w:r>
      <w:r>
        <w:rPr>
          <w:rFonts w:hint="default" w:ascii="Times New Roman" w:hAnsi="Times New Roman" w:eastAsia="宋体" w:cs="Times New Roman"/>
          <w:color w:val="000000" w:themeColor="text1"/>
          <w:kern w:val="0"/>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要求，工程所在地区环境空气质量总体状况良好。</w:t>
      </w:r>
    </w:p>
    <w:p w14:paraId="4664EEBB">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9.2.</w:t>
      </w: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2"/>
          <w:sz w:val="28"/>
          <w:szCs w:val="32"/>
          <w:highlight w:val="none"/>
          <w:lang w:eastAsia="zh-CN"/>
          <w14:textFill>
            <w14:solidFill>
              <w14:schemeClr w14:val="tx1"/>
            </w14:solidFill>
          </w14:textFill>
        </w:rPr>
        <w:t>地下水环境</w:t>
      </w:r>
    </w:p>
    <w:p w14:paraId="1E935FD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根据现状地下水监测数据可知，</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评价区域</w:t>
      </w:r>
      <w:r>
        <w:rPr>
          <w:rFonts w:hint="eastAsia"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除</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潜水</w:t>
      </w:r>
      <w:r>
        <w:rPr>
          <w:rFonts w:hint="eastAsia"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部分点位锰超标外，其余监测因子均</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能满足《地下水质量标准》（GB/T14848-2017）III类标准</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石油类满足《地表水环境质量标准》（GB3838-2002）中</w:t>
      </w:r>
      <w:r>
        <w:rPr>
          <w:rFonts w:hint="default" w:ascii="Times New Roman" w:hAnsi="Times New Roman" w:eastAsia="宋体" w:cs="Times New Roman"/>
          <w:bCs/>
          <w:iCs/>
          <w:color w:val="000000" w:themeColor="text1"/>
          <w:kern w:val="0"/>
          <w:sz w:val="24"/>
          <w:szCs w:val="24"/>
          <w:highlight w:val="none"/>
          <w:lang w:val="en-US" w:eastAsia="zh-CN" w:bidi="en-US"/>
          <w14:textFill>
            <w14:solidFill>
              <w14:schemeClr w14:val="tx1"/>
            </w14:solidFill>
          </w14:textFill>
        </w:rPr>
        <w:t>II</w:t>
      </w:r>
      <w:r>
        <w:rPr>
          <w:rFonts w:hint="default" w:ascii="Times New Roman" w:hAnsi="Times New Roman" w:eastAsia="宋体" w:cs="Times New Roman"/>
          <w:bCs/>
          <w:iCs/>
          <w:color w:val="000000" w:themeColor="text1"/>
          <w:kern w:val="0"/>
          <w:sz w:val="24"/>
          <w:szCs w:val="24"/>
          <w:highlight w:val="none"/>
          <w:lang w:eastAsia="zh-CN" w:bidi="en-US"/>
          <w14:textFill>
            <w14:solidFill>
              <w14:schemeClr w14:val="tx1"/>
            </w14:solidFill>
          </w14:textFill>
        </w:rPr>
        <w:t>类标准限值</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（≤0.05mg/L）</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14:paraId="76F51327">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9.2.</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声环境</w:t>
      </w:r>
    </w:p>
    <w:p w14:paraId="18BED4A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监测结果显示，</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村屯</w:t>
      </w:r>
      <w:r>
        <w:rPr>
          <w:rFonts w:hint="default" w:ascii="Times New Roman" w:hAnsi="Times New Roman" w:eastAsia="宋体" w:cs="Times New Roman"/>
          <w:color w:val="000000" w:themeColor="text1"/>
          <w:kern w:val="0"/>
          <w:sz w:val="24"/>
          <w:szCs w:val="22"/>
          <w:highlight w:val="none"/>
          <w:lang w:eastAsia="ja-JP"/>
          <w14:textFill>
            <w14:solidFill>
              <w14:schemeClr w14:val="tx1"/>
            </w14:solidFill>
          </w14:textFill>
        </w:rPr>
        <w:t>声环境</w:t>
      </w: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满足</w:t>
      </w:r>
      <w:r>
        <w:rPr>
          <w:rFonts w:hint="default" w:ascii="Times New Roman" w:hAnsi="Times New Roman" w:eastAsia="宋体" w:cs="Times New Roman"/>
          <w:color w:val="000000" w:themeColor="text1"/>
          <w:kern w:val="0"/>
          <w:sz w:val="24"/>
          <w:szCs w:val="22"/>
          <w:highlight w:val="none"/>
          <w:lang w:eastAsia="ja-JP"/>
          <w14:textFill>
            <w14:solidFill>
              <w14:schemeClr w14:val="tx1"/>
            </w14:solidFill>
          </w14:textFill>
        </w:rPr>
        <w:t>《声环境质量标准》（GB3096-2008）</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2"/>
          <w:highlight w:val="none"/>
          <w:lang w:eastAsia="ja-JP"/>
          <w14:textFill>
            <w14:solidFill>
              <w14:schemeClr w14:val="tx1"/>
            </w14:solidFill>
          </w14:textFill>
        </w:rPr>
        <w:t>类</w:t>
      </w:r>
      <w:r>
        <w:rPr>
          <w:rFonts w:hint="default" w:ascii="Times New Roman" w:hAnsi="Times New Roman" w:eastAsia="宋体" w:cs="Times New Roman"/>
          <w:color w:val="000000" w:themeColor="text1"/>
          <w:kern w:val="0"/>
          <w:sz w:val="24"/>
          <w:szCs w:val="22"/>
          <w:highlight w:val="none"/>
          <w:lang w:eastAsia="zh-CN"/>
          <w14:textFill>
            <w14:solidFill>
              <w14:schemeClr w14:val="tx1"/>
            </w14:solidFill>
          </w14:textFill>
        </w:rPr>
        <w:t>标准</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现状良好。</w:t>
      </w:r>
    </w:p>
    <w:p w14:paraId="550716AA">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9.2.</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土壤环境</w:t>
      </w:r>
    </w:p>
    <w:p w14:paraId="720D9D65">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本次评价期间对</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区域临时占地及占地外</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土壤环境进行监测，结果表明项目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区域内临时</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占地内土壤满足《土壤环境质量建设用地土壤污染风险管控标准（试行）》（GB36600-2018）中表1建设用地土壤污染风险筛选值（基本项目）中第二类用地筛选值标准，以及表2（其他项目）中第二类用地筛选值标准；临时占地及区域外草地、耕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、林地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土壤满足《土壤环境质量农用地土壤污染风险管控标准（试行）》（GB15618-2018）表1农用地土壤风险筛选值（基本项目）中标准</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644B5538">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9.2.</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5生态现状</w:t>
      </w:r>
    </w:p>
    <w:p w14:paraId="65B6BC3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该区以</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农田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生态系统为主，兼有</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草地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生态系统、森林生态系统</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。由于本地区气候干旱、多风沙等气候特点，对土壤固持能力降低，春季干旱时调节气候的能力降低。</w:t>
      </w:r>
    </w:p>
    <w:p w14:paraId="63A33EA3">
      <w:pPr>
        <w:keepNext w:val="0"/>
        <w:keepLines w:val="0"/>
        <w:pageBreakBefore w:val="0"/>
        <w:widowControl w:val="0"/>
        <w:kinsoku/>
        <w:wordWrap/>
        <w:overflowPunct/>
        <w:topLinePunct w:val="0"/>
        <w:autoSpaceDE/>
        <w:autoSpaceDN/>
        <w:bidi w:val="0"/>
        <w:adjustRightInd w:val="0"/>
        <w:snapToGrid w:val="0"/>
        <w:spacing w:after="0" w:line="360" w:lineRule="auto"/>
        <w:ind w:left="0" w:firstLine="0" w:firstLineChars="0"/>
        <w:jc w:val="both"/>
        <w:textAlignment w:val="auto"/>
        <w:outlineLvl w:val="1"/>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pPr>
      <w:bookmarkStart w:id="149" w:name="_Toc15135"/>
      <w:bookmarkStart w:id="150" w:name="_Toc14506"/>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9.3环境影响预测与评价及环境保护措施结论</w:t>
      </w:r>
      <w:bookmarkEnd w:id="149"/>
      <w:bookmarkEnd w:id="150"/>
    </w:p>
    <w:p w14:paraId="1F82095A">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outlineLvl w:val="2"/>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8"/>
          <w:szCs w:val="32"/>
          <w:highlight w:val="none"/>
          <w:lang w:val="en-US" w:eastAsia="zh-CN"/>
          <w14:textFill>
            <w14:solidFill>
              <w14:schemeClr w14:val="tx1"/>
            </w14:solidFill>
          </w14:textFill>
        </w:rPr>
        <w:t>9.3.1环境空气</w:t>
      </w:r>
    </w:p>
    <w:p w14:paraId="1BE5A4F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2"/>
          <w:highlight w:val="none"/>
          <w:lang w:val="en-US" w:eastAsia="zh-CN" w:bidi="ar-SA"/>
          <w14:textFill>
            <w14:solidFill>
              <w14:schemeClr w14:val="tx1"/>
            </w14:solidFill>
          </w14:textFill>
        </w:rPr>
        <w:t>施工期产生的扬尘通过洒水抑尘、临时土方等加盖苫布等措施，</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扬尘浓度满足《大气污染物综合排放标准》（GB16297-1996）中无组织排放监控浓度限值，污染对敏感点影响较小，</w:t>
      </w:r>
      <w:r>
        <w:rPr>
          <w:rFonts w:hint="default" w:ascii="Times New Roman" w:hAnsi="Times New Roman" w:eastAsia="宋体" w:cs="Times New Roman"/>
          <w:snapToGrid w:val="0"/>
          <w:color w:val="000000" w:themeColor="text1"/>
          <w:kern w:val="0"/>
          <w:sz w:val="24"/>
          <w:szCs w:val="22"/>
          <w:highlight w:val="none"/>
          <w:lang w:val="en-US" w:eastAsia="zh-CN" w:bidi="ar-SA"/>
          <w14:textFill>
            <w14:solidFill>
              <w14:schemeClr w14:val="tx1"/>
            </w14:solidFill>
          </w14:textFill>
        </w:rPr>
        <w:t>且这种影响将随着施工期的结束而消失。</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对周围空气环境</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以及附近村屯</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的影响较小。</w:t>
      </w:r>
    </w:p>
    <w:p w14:paraId="101EF974">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9.3.2</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地表</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水环境</w:t>
      </w:r>
    </w:p>
    <w:p w14:paraId="686A40E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施工期、退役期废弃管道清管废水、新建管道试压废水由罐车拉运至</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宋一联含油污水处理站</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进行处理，达标后回注地下开采油层，不外排。</w:t>
      </w:r>
    </w:p>
    <w:p w14:paraId="3E5158E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施工期生活污水</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排入附近芳407-6集油阀组间、升1-2集油阀组间、升1-6集油阀组间等已建防渗旱厕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，本项目施工现场距离周边已建集油阀组间、配水间距离约为0-1km，施工人员步行或乘施工车辆进入附近集油阀组间防渗旱厕，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用罐车抽排至高平4号污水站，排入大庆市净源环保科技有限公司处理达标后排放。</w:t>
      </w:r>
    </w:p>
    <w:p w14:paraId="46E8BA83">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9.3.</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地下水环境</w:t>
      </w:r>
    </w:p>
    <w:p w14:paraId="0074FC8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工程在正常且各项环境保护措施落实到位情况下无废水排放，对地下水环境影响较小，但在事故状态下如管道泄漏等可能对地下水环境造成影响，但在各项地下水污染防控措施及应急措施落实到位的情况下，对地下水环境影响较小</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1560DC28">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9.3.</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声环境</w:t>
      </w:r>
    </w:p>
    <w:p w14:paraId="31EF7E1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在采取选用低噪声设备，采用减振、消音、隔声等降噪措施，注意对设备的维护保养适当的降噪措施后，施工期场界噪声满足</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《建筑施工噪声排放标准》（GB12523-2025）</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要求。</w:t>
      </w:r>
    </w:p>
    <w:p w14:paraId="4F2984E4">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9.3.</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固体废物</w:t>
      </w:r>
    </w:p>
    <w:p w14:paraId="27BFE37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管道施工废料</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属于工业固废，拉运至</w:t>
      </w:r>
      <w:r>
        <w:rPr>
          <w:rFonts w:hint="eastAsia"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第八采油厂工业固废填埋场</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处理。</w:t>
      </w:r>
    </w:p>
    <w:p w14:paraId="58D33329">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sz w:val="24"/>
          <w:szCs w:val="24"/>
          <w:highlight w:val="none"/>
          <w:lang w:val="en-US" w:eastAsia="zh-CN" w:bidi="ar-SA"/>
          <w14:textFill>
            <w14:solidFill>
              <w14:schemeClr w14:val="tx1"/>
            </w14:solidFill>
          </w14:textFill>
        </w:rPr>
        <w:t>本项目施工期管道定向钻施工产生的穿越工程废弃泥浆，</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经防渗泥浆池沉降后，上清液回收洒水降尘、固体部分用于井排路护坡。</w:t>
      </w:r>
    </w:p>
    <w:p w14:paraId="4741C03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拆除废旧设备送至第八采油厂资产库回收。</w:t>
      </w:r>
    </w:p>
    <w:p w14:paraId="6C60F78A">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生活垃圾运至大庆城控电力有限公司焚烧处理。</w:t>
      </w:r>
    </w:p>
    <w:p w14:paraId="619C7BE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本工程对施工期产生的各类固体废弃物均进行了合理的处置，均不直接排入外环境，能够实现固废的减量化、资源化和无害化，对环境影响较小。</w:t>
      </w:r>
    </w:p>
    <w:p w14:paraId="233619B2">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9.3.</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6土壤环境</w:t>
      </w:r>
    </w:p>
    <w:p w14:paraId="6E06983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本工程所在地土壤环境现状较好，</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管道选用内缠胶带硬质聚氨酯泡沫夹克管，设计壁厚的腐蚀余量大于3mm，管道的外防腐等级采用加强级，管道的连接方式采用焊接，正常状况下，</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管道</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不会</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泄漏</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，污油污水对土壤不会造成影响</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w:t>
      </w:r>
    </w:p>
    <w:p w14:paraId="47FE0D33">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.3.7</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生态环境</w:t>
      </w:r>
    </w:p>
    <w:p w14:paraId="52585E6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本项目在</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敷设过程对土地的侵占，对植被的破坏，将使</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油田</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开发区域内的第一生产者的生物量有一定程度的下降，在施工建设过程中采取必要的保护措施，则能最大程度减小对生态环境的不利影响，使生态环境在尽可能短的时间内得到恢复。</w:t>
      </w:r>
    </w:p>
    <w:p w14:paraId="0DE2C91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在制定相应的生态保护及恢复措施，并能够确保其切实执行的前提下，工程建设不会对现有生态环境造成太大的影响，在生态上是可行的。</w:t>
      </w:r>
    </w:p>
    <w:p w14:paraId="0E531003">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2"/>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3.8</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环境风险</w:t>
      </w:r>
    </w:p>
    <w:p w14:paraId="4869E69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工程的主要环境风险是原油和天然气泄漏，对区域内的大气环境、地下水环境和生态环境有潜在危害性。在工程采取一系列风险防范措施、应急措施和建立环境风险防控体系后，原油及天然气泄漏影响可控，可以降低事故的发生率和事故情况下对周围环境的影响。</w:t>
      </w:r>
    </w:p>
    <w:p w14:paraId="7CBA8506">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bookmarkStart w:id="151" w:name="_Toc9670"/>
      <w:bookmarkStart w:id="152" w:name="_Toc11912"/>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环境影响经济损益分析</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结论</w:t>
      </w:r>
      <w:bookmarkEnd w:id="151"/>
      <w:bookmarkEnd w:id="152"/>
    </w:p>
    <w:p w14:paraId="7681CD83">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14:paraId="05485921">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pPr>
      <w:bookmarkStart w:id="153" w:name="_Toc6941"/>
      <w:bookmarkStart w:id="154" w:name="_Toc11931"/>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环境管理与监测计划</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结论</w:t>
      </w:r>
      <w:bookmarkEnd w:id="153"/>
      <w:bookmarkEnd w:id="154"/>
    </w:p>
    <w:p w14:paraId="2A15E36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工程投产运行后油田环境管理工作由</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负责，在运行期，环境管理除抓好环保设施的运行、维护等工作外，工作重点应针对油气集输、处理和管理情况及集油管道破裂后油水泄漏等事故的预防和处理上。</w:t>
      </w:r>
    </w:p>
    <w:p w14:paraId="24AB568C">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施工期的环境监测可包括对作业场所的控制监测和事故发生后的影响监测。主要监测对象有土壤、植被、施工作业废气和噪声等。</w:t>
      </w:r>
    </w:p>
    <w:p w14:paraId="7B53951D">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本工程生产运营期需要进行的环境监测任务委托取得相关资质的地方环境监测站进行。环境监测应按国家和地方的环保要求进行，应采用国家规定的标准监测方法，并应按照规定，定期向有关环境保护主管部门上报监测结果。</w:t>
      </w:r>
    </w:p>
    <w:p w14:paraId="25DC6CA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根据《排污单位自行监测技术指南总则》（HJ819-2017）要求，结合油田运营期环境污染的特点，主要针对油田污染物排放、油田开发区生态恢复情况、事故等制定监测计划，包括污染源监测计划、环境质量监测计划及生态调查方案。</w:t>
      </w:r>
    </w:p>
    <w:p w14:paraId="7295430B">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bookmarkStart w:id="155" w:name="_Toc24717"/>
      <w:bookmarkStart w:id="156" w:name="_Toc31270"/>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公众意见采纳情况</w:t>
      </w:r>
      <w:bookmarkEnd w:id="155"/>
      <w:bookmarkEnd w:id="156"/>
    </w:p>
    <w:p w14:paraId="5B98CD3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项目公众参与由建设单位</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大庆油田有限责任公司第八采油厂</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负责实施，征求意见的对象为</w:t>
      </w:r>
      <w:r>
        <w:rPr>
          <w:rFonts w:hint="eastAsia"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盛广和屯、宋芳屯居住区</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等公民、法人和其他组织。</w:t>
      </w:r>
    </w:p>
    <w:p w14:paraId="209A1FB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首次环境影响评价公众参与相关信息通过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黑龙江安全环保技术网</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网站</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（网址为http://www.hljhbjsfw.cn/NewsDetail.aspx?ID=869）公开，时间为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C7EDA10">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，在本项目环评报告书（征求意见稿）编制完成后，建设单位在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黑龙江安全环保技术网</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网站</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（网址为http://www.hljhbjsfw.cn/NewsDetail.aspx?ID=870）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对本次环境影响评价工作进行了第二次公示，在二次公示期间，在大庆油田报进行了报纸公示（报纸公示日期为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2025年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日、2025年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），同时在附近行政村公告栏张贴了公告。</w:t>
      </w:r>
    </w:p>
    <w:p w14:paraId="41BD95D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至信息公告的截止日期，没有收到任何公众反馈的信息。</w:t>
      </w:r>
    </w:p>
    <w:p w14:paraId="4D852701">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outlineLvl w:val="1"/>
        <w:rPr>
          <w:rFonts w:hint="default" w:ascii="Times New Roman" w:hAnsi="Times New Roman" w:eastAsia="宋体" w:cs="Times New Roman"/>
          <w:b/>
          <w:color w:val="000000" w:themeColor="text1"/>
          <w:kern w:val="0"/>
          <w:sz w:val="28"/>
          <w:szCs w:val="28"/>
          <w:highlight w:val="none"/>
          <w14:textFill>
            <w14:solidFill>
              <w14:schemeClr w14:val="tx1"/>
            </w14:solidFill>
          </w14:textFill>
        </w:rPr>
      </w:pPr>
      <w:bookmarkStart w:id="157" w:name="_Toc28325"/>
      <w:bookmarkStart w:id="158" w:name="_Toc17167"/>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9.</w:t>
      </w:r>
      <w:r>
        <w:rPr>
          <w:rFonts w:hint="default" w:ascii="Times New Roman" w:hAnsi="Times New Roman" w:eastAsia="宋体" w:cs="Times New Roman"/>
          <w:b/>
          <w:color w:val="000000" w:themeColor="text1"/>
          <w:kern w:val="0"/>
          <w:sz w:val="28"/>
          <w:szCs w:val="28"/>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kern w:val="0"/>
          <w:sz w:val="28"/>
          <w:szCs w:val="28"/>
          <w:highlight w:val="none"/>
          <w:lang w:eastAsia="zh-CN"/>
          <w14:textFill>
            <w14:solidFill>
              <w14:schemeClr w14:val="tx1"/>
            </w14:solidFill>
          </w14:textFill>
        </w:rPr>
        <w:t>综合</w:t>
      </w:r>
      <w:r>
        <w:rPr>
          <w:rFonts w:hint="default" w:ascii="Times New Roman" w:hAnsi="Times New Roman" w:eastAsia="宋体" w:cs="Times New Roman"/>
          <w:b/>
          <w:color w:val="000000" w:themeColor="text1"/>
          <w:kern w:val="0"/>
          <w:sz w:val="28"/>
          <w:szCs w:val="28"/>
          <w:highlight w:val="none"/>
          <w14:textFill>
            <w14:solidFill>
              <w14:schemeClr w14:val="tx1"/>
            </w14:solidFill>
          </w14:textFill>
        </w:rPr>
        <w:t>结论</w:t>
      </w:r>
      <w:bookmarkEnd w:id="157"/>
      <w:bookmarkEnd w:id="158"/>
    </w:p>
    <w:p w14:paraId="0F2BE092">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综上所述，</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第八采油厂2025年管网改造工程项目</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主要工程量涉及更换腐蚀老化管道，</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在产业政策方面，符合</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《产业结构调整指导目录（</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2024</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年本）》</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（中华人民共和国发展和改革委员会令第7号）</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要求，属于鼓励类建设项目。</w:t>
      </w:r>
    </w:p>
    <w:p w14:paraId="638E9278">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在规划政策方面，本工程符合《地下水管理条例</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黑龙江省主体功能区划</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黑龙江省生态功能区划</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2"/>
          <w:highlight w:val="none"/>
          <w:lang w:val="en-US" w:eastAsia="zh-CN" w:bidi="ar-SA"/>
          <w14:textFill>
            <w14:solidFill>
              <w14:schemeClr w14:val="tx1"/>
            </w14:solidFill>
          </w14:textFill>
        </w:rPr>
        <w:t>黑龙江省国民经济和社会发展第十四个五年规划和二〇三五年远景目标纲要</w:t>
      </w:r>
      <w:r>
        <w:rPr>
          <w:rFonts w:hint="eastAsia" w:ascii="Times New Roman" w:hAnsi="Times New Roman" w:eastAsia="宋体" w:cs="Times New Roman"/>
          <w:snapToGrid w:val="0"/>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绥化市国民经济和社会发展第十四个五年规划和二〇三五年远景目标纲要</w:t>
      </w:r>
      <w:r>
        <w:rPr>
          <w:rFonts w:hint="eastAsia" w:ascii="Times New Roman" w:hAnsi="Times New Roman" w:eastAsia="宋体" w:cs="Times New Roman"/>
          <w:snapToGrid/>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2"/>
          <w:highlight w:val="none"/>
          <w:lang w:val="en-US" w:eastAsia="zh-CN" w:bidi="ar-SA"/>
          <w14:textFill>
            <w14:solidFill>
              <w14:schemeClr w14:val="tx1"/>
            </w14:solidFill>
          </w14:textFill>
        </w:rPr>
        <w:t>大庆市国民经济和社会发展第十四个五年规划和二〇三五年远景目标纲要》（庆政发[2021]13号）</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《黑龙江省国土空间总体规划（2021-2035 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大庆市国土空间总体规划（2021</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2035年）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绥化</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市国土空间总体规划（2021</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2035年）</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大同区</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国土空间总体规划（2021</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2035年）</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》《安达市</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国土空间总体规划（2021</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2035年）</w:t>
      </w:r>
      <w:r>
        <w:rPr>
          <w:rFonts w:hint="eastAsia" w:ascii="Times New Roman" w:hAnsi="Times New Roman" w:eastAsia="宋体" w:cs="Times New Roman"/>
          <w:color w:val="000000" w:themeColor="text1"/>
          <w:spacing w:val="-1"/>
          <w:kern w:val="0"/>
          <w:sz w:val="24"/>
          <w:szCs w:val="28"/>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大庆市水土保持规划》（2015-2030）、</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《绥化市水土保持规划（2015</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2030年）</w:t>
      </w:r>
      <w:r>
        <w:rPr>
          <w:rFonts w:hint="eastAsia" w:ascii="Times New Roman" w:hAnsi="Times New Roman" w:eastAsia="宋体" w:cs="Times New Roman"/>
          <w:snapToGrid w:val="0"/>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黑龙江省“十四五”生态环境保护规划</w:t>
      </w:r>
      <w:r>
        <w:rPr>
          <w:rFonts w:hint="eastAsia"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w:t>
      </w:r>
      <w:r>
        <w:rPr>
          <w:rFonts w:hint="default" w:ascii="Times New Roman" w:hAnsi="Times New Roman" w:eastAsia="宋体" w:cs="Times New Roman"/>
          <w:b w:val="0"/>
          <w:bCs/>
          <w:snapToGrid w:val="0"/>
          <w:color w:val="000000" w:themeColor="text1"/>
          <w:kern w:val="2"/>
          <w:sz w:val="24"/>
          <w:szCs w:val="28"/>
          <w:highlight w:val="none"/>
          <w:lang w:val="en-US" w:eastAsia="zh-CN" w:bidi="ar-SA"/>
          <w14:textFill>
            <w14:solidFill>
              <w14:schemeClr w14:val="tx1"/>
            </w14:solidFill>
          </w14:textFill>
        </w:rPr>
        <w:t>大庆市“十四五”生态环境保护规划</w:t>
      </w:r>
      <w:r>
        <w:rPr>
          <w:rFonts w:hint="eastAsia" w:ascii="Times New Roman" w:hAnsi="Times New Roman" w:eastAsia="宋体" w:cs="Times New Roman"/>
          <w:b w:val="0"/>
          <w:bCs/>
          <w:snapToGrid w:val="0"/>
          <w:color w:val="000000" w:themeColor="text1"/>
          <w:kern w:val="2"/>
          <w:sz w:val="24"/>
          <w:szCs w:val="28"/>
          <w:highlight w:val="none"/>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绥化</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市“十四五”生态环境保护规划》</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等主体功能区划要求，符合当地城市总体规划、土地利用规划等。</w:t>
      </w:r>
    </w:p>
    <w:p w14:paraId="340E61C9">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同时，本工程满足</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《大庆市生态环境准入清单（2023年版）</w:t>
      </w:r>
      <w:r>
        <w:rPr>
          <w:rFonts w:hint="eastAsia" w:cs="Times New Roman"/>
          <w:snapToGrid/>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8"/>
          <w:highlight w:val="none"/>
          <w:lang w:val="en-US" w:eastAsia="zh-CN"/>
          <w14:textFill>
            <w14:solidFill>
              <w14:schemeClr w14:val="tx1"/>
            </w14:solidFill>
          </w14:textFill>
        </w:rPr>
        <w:t>绥化市生态环境准入清单（2023年版）》</w:t>
      </w:r>
      <w:r>
        <w:rPr>
          <w:rFonts w:hint="default" w:ascii="Times New Roman" w:hAnsi="Times New Roman" w:eastAsia="宋体" w:cs="Times New Roman"/>
          <w:snapToGrid w:val="0"/>
          <w:color w:val="000000" w:themeColor="text1"/>
          <w:kern w:val="0"/>
          <w:sz w:val="24"/>
          <w:szCs w:val="20"/>
          <w:highlight w:val="none"/>
          <w:lang w:val="en-US" w:eastAsia="zh-CN" w:bidi="ar-SA"/>
          <w14:textFill>
            <w14:solidFill>
              <w14:schemeClr w14:val="tx1"/>
            </w14:solidFill>
          </w14:textFill>
        </w:rPr>
        <w:t>，在石油开采行业管理方面，满足《关于进一步加强石油天然气行业环境影响评价管理的通知》（环办环评函[2019]910号）、《黑龙江省重点行业挥发性有机物综合治理行动方案》（黑环发[2019]153号）、《石油天然气开采业污染防治技术政策》（环保部公告2012年第18号）等管控要求</w:t>
      </w: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0E983AA1">
      <w:pPr>
        <w:pStyle w:val="34"/>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油田正常生产情况下对环境的影响较小，工程施工及生产运行过程中可能出现的各类风险事故，在相应的污染防治措施、生态保护措施及事故应急措施得以切实有效实施的前提下，能够确保区域环境不受污染。从环境保护角度分析，本工程是可行的</w:t>
      </w:r>
      <w:r>
        <w:rPr>
          <w:rFonts w:hint="eastAsia"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t>。</w:t>
      </w:r>
    </w:p>
    <w:p w14:paraId="38719841">
      <w:pPr>
        <w:keepNext w:val="0"/>
        <w:keepLines w:val="0"/>
        <w:pageBreakBefore w:val="0"/>
        <w:widowControl w:val="0"/>
        <w:kinsoku/>
        <w:wordWrap/>
        <w:topLinePunct w:val="0"/>
        <w:bidi w:val="0"/>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p>
    <w:p w14:paraId="461C7BDF">
      <w:pPr>
        <w:keepNext w:val="0"/>
        <w:keepLines w:val="0"/>
        <w:pageBreakBefore w:val="0"/>
        <w:widowControl w:val="0"/>
        <w:kinsoku/>
        <w:wordWrap/>
        <w:topLinePunct w:val="0"/>
        <w:bidi w:val="0"/>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sectPr>
          <w:pgSz w:w="11906" w:h="16838"/>
          <w:pgMar w:top="1417" w:right="1417" w:bottom="1417" w:left="1417" w:header="964" w:footer="964" w:gutter="0"/>
          <w:pgBorders>
            <w:top w:val="none" w:sz="0" w:space="0"/>
            <w:left w:val="none" w:sz="0" w:space="0"/>
            <w:bottom w:val="none" w:sz="0" w:space="0"/>
            <w:right w:val="none" w:sz="0" w:space="0"/>
          </w:pgBorders>
          <w:pgNumType w:fmt="decimal"/>
          <w:cols w:space="425" w:num="1"/>
          <w:docGrid w:type="lines" w:linePitch="312" w:charSpace="0"/>
        </w:sectPr>
      </w:pPr>
    </w:p>
    <w:p w14:paraId="0B29C2DA">
      <w:pPr>
        <w:keepNext w:val="0"/>
        <w:keepLines w:val="0"/>
        <w:pageBreakBefore w:val="0"/>
        <w:widowControl w:val="0"/>
        <w:kinsoku/>
        <w:wordWrap/>
        <w:topLinePunct w:val="0"/>
        <w:bidi w:val="0"/>
        <w:jc w:val="both"/>
        <w:outlineLvl w:val="0"/>
        <w:rPr>
          <w:rFonts w:hint="default" w:ascii="Times New Roman" w:hAnsi="Times New Roman" w:cs="Times New Roman"/>
          <w:color w:val="000000" w:themeColor="text1"/>
          <w:highlight w:val="none"/>
          <w:lang w:val="en-US" w:eastAsia="zh-CN"/>
          <w14:textFill>
            <w14:solidFill>
              <w14:schemeClr w14:val="tx1"/>
            </w14:solidFill>
          </w14:textFill>
        </w:rPr>
      </w:pPr>
      <w:bookmarkStart w:id="159" w:name="_Toc26951"/>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大气环境影响评价自查表</w:t>
      </w:r>
      <w:bookmarkEnd w:id="159"/>
    </w:p>
    <w:p w14:paraId="4FDC877F">
      <w:pPr>
        <w:keepNext w:val="0"/>
        <w:keepLines w:val="0"/>
        <w:pageBreakBefore w:val="0"/>
        <w:widowControl w:val="0"/>
        <w:kinsoku/>
        <w:wordWrap/>
        <w:overflowPunct/>
        <w:topLinePunct w:val="0"/>
        <w:autoSpaceDE/>
        <w:autoSpaceDN/>
        <w:bidi w:val="0"/>
        <w:adjustRightInd w:val="0"/>
        <w:snapToGrid w:val="0"/>
        <w:spacing w:after="0"/>
        <w:ind w:firstLine="480" w:firstLineChars="200"/>
        <w:jc w:val="center"/>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附表1大气环境影响评价自查表</w:t>
      </w:r>
    </w:p>
    <w:tbl>
      <w:tblPr>
        <w:tblStyle w:val="18"/>
        <w:tblW w:w="93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635"/>
        <w:gridCol w:w="870"/>
        <w:gridCol w:w="126"/>
        <w:gridCol w:w="677"/>
        <w:gridCol w:w="69"/>
        <w:gridCol w:w="193"/>
        <w:gridCol w:w="57"/>
        <w:gridCol w:w="243"/>
        <w:gridCol w:w="87"/>
        <w:gridCol w:w="666"/>
        <w:gridCol w:w="479"/>
        <w:gridCol w:w="17"/>
        <w:gridCol w:w="500"/>
        <w:gridCol w:w="111"/>
        <w:gridCol w:w="549"/>
        <w:gridCol w:w="231"/>
        <w:gridCol w:w="105"/>
        <w:gridCol w:w="153"/>
        <w:gridCol w:w="5"/>
        <w:gridCol w:w="88"/>
        <w:gridCol w:w="750"/>
        <w:gridCol w:w="987"/>
      </w:tblGrid>
      <w:tr w14:paraId="0A97E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rPr>
        <w:tc>
          <w:tcPr>
            <w:tcW w:w="2364" w:type="dxa"/>
            <w:gridSpan w:val="2"/>
            <w:tcBorders>
              <w:tl2br w:val="nil"/>
              <w:tr2bl w:val="nil"/>
            </w:tcBorders>
            <w:noWrap w:val="0"/>
            <w:vAlign w:val="center"/>
          </w:tcPr>
          <w:p w14:paraId="7E76715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工作内容</w:t>
            </w:r>
          </w:p>
        </w:tc>
        <w:tc>
          <w:tcPr>
            <w:tcW w:w="6963" w:type="dxa"/>
            <w:gridSpan w:val="21"/>
            <w:tcBorders>
              <w:tl2br w:val="nil"/>
              <w:tr2bl w:val="nil"/>
            </w:tcBorders>
            <w:noWrap w:val="0"/>
            <w:vAlign w:val="center"/>
          </w:tcPr>
          <w:p w14:paraId="14FD2AA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自查项目</w:t>
            </w:r>
          </w:p>
        </w:tc>
      </w:tr>
      <w:tr w14:paraId="425AC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restart"/>
            <w:tcBorders>
              <w:tl2br w:val="nil"/>
              <w:tr2bl w:val="nil"/>
            </w:tcBorders>
            <w:noWrap w:val="0"/>
            <w:vAlign w:val="center"/>
          </w:tcPr>
          <w:p w14:paraId="3A9C2FA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评价等级与范围</w:t>
            </w:r>
          </w:p>
        </w:tc>
        <w:tc>
          <w:tcPr>
            <w:tcW w:w="1635" w:type="dxa"/>
            <w:tcBorders>
              <w:tl2br w:val="nil"/>
              <w:tr2bl w:val="nil"/>
            </w:tcBorders>
            <w:noWrap w:val="0"/>
            <w:vAlign w:val="center"/>
          </w:tcPr>
          <w:p w14:paraId="5C08080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w:t>
            </w:r>
          </w:p>
        </w:tc>
        <w:tc>
          <w:tcPr>
            <w:tcW w:w="2322" w:type="dxa"/>
            <w:gridSpan w:val="8"/>
            <w:tcBorders>
              <w:tl2br w:val="nil"/>
              <w:tr2bl w:val="nil"/>
            </w:tcBorders>
            <w:noWrap w:val="0"/>
            <w:vAlign w:val="center"/>
          </w:tcPr>
          <w:p w14:paraId="7DB171B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22" w:type="dxa"/>
            <w:gridSpan w:val="6"/>
            <w:tcBorders>
              <w:tl2br w:val="nil"/>
              <w:tr2bl w:val="nil"/>
            </w:tcBorders>
            <w:noWrap w:val="0"/>
            <w:vAlign w:val="center"/>
          </w:tcPr>
          <w:p w14:paraId="454F8CC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19" w:type="dxa"/>
            <w:gridSpan w:val="7"/>
            <w:tcBorders>
              <w:tl2br w:val="nil"/>
              <w:tr2bl w:val="nil"/>
            </w:tcBorders>
            <w:noWrap w:val="0"/>
            <w:vAlign w:val="center"/>
          </w:tcPr>
          <w:p w14:paraId="421A963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95FC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3C5EF8B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539EF59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2322" w:type="dxa"/>
            <w:gridSpan w:val="8"/>
            <w:tcBorders>
              <w:tl2br w:val="nil"/>
              <w:tr2bl w:val="nil"/>
            </w:tcBorders>
            <w:noWrap w:val="0"/>
            <w:vAlign w:val="center"/>
          </w:tcPr>
          <w:p w14:paraId="5030D15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边长=50km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22" w:type="dxa"/>
            <w:gridSpan w:val="6"/>
            <w:tcBorders>
              <w:tl2br w:val="nil"/>
              <w:tr2bl w:val="nil"/>
            </w:tcBorders>
            <w:noWrap w:val="0"/>
            <w:vAlign w:val="center"/>
          </w:tcPr>
          <w:p w14:paraId="7DA8F46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边长5～50km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19" w:type="dxa"/>
            <w:gridSpan w:val="7"/>
            <w:tcBorders>
              <w:tl2br w:val="nil"/>
              <w:tr2bl w:val="nil"/>
            </w:tcBorders>
            <w:noWrap w:val="0"/>
            <w:vAlign w:val="center"/>
          </w:tcPr>
          <w:p w14:paraId="6E5A316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边长=5km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BCD5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restart"/>
            <w:tcBorders>
              <w:tl2br w:val="nil"/>
              <w:tr2bl w:val="nil"/>
            </w:tcBorders>
            <w:noWrap w:val="0"/>
            <w:vAlign w:val="center"/>
          </w:tcPr>
          <w:p w14:paraId="76CC580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1635" w:type="dxa"/>
            <w:tcBorders>
              <w:tl2br w:val="nil"/>
              <w:tr2bl w:val="nil"/>
            </w:tcBorders>
            <w:noWrap w:val="0"/>
            <w:vAlign w:val="center"/>
          </w:tcPr>
          <w:p w14:paraId="6C10A6E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w:t>
            </w:r>
          </w:p>
        </w:tc>
        <w:tc>
          <w:tcPr>
            <w:tcW w:w="2322" w:type="dxa"/>
            <w:gridSpan w:val="8"/>
            <w:tcBorders>
              <w:tl2br w:val="nil"/>
              <w:tr2bl w:val="nil"/>
            </w:tcBorders>
            <w:noWrap w:val="0"/>
            <w:vAlign w:val="center"/>
          </w:tcPr>
          <w:p w14:paraId="152105E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≥2000t/a</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22" w:type="dxa"/>
            <w:gridSpan w:val="6"/>
            <w:tcBorders>
              <w:tl2br w:val="nil"/>
              <w:tr2bl w:val="nil"/>
            </w:tcBorders>
            <w:noWrap w:val="0"/>
            <w:vAlign w:val="center"/>
          </w:tcPr>
          <w:p w14:paraId="6E96F32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2000t/a</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19" w:type="dxa"/>
            <w:gridSpan w:val="7"/>
            <w:tcBorders>
              <w:tl2br w:val="nil"/>
              <w:tr2bl w:val="nil"/>
            </w:tcBorders>
            <w:noWrap w:val="0"/>
            <w:vAlign w:val="center"/>
          </w:tcPr>
          <w:p w14:paraId="4BD8802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＜500t/a</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59741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0B54F80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13F1DBC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4644" w:type="dxa"/>
            <w:gridSpan w:val="14"/>
            <w:tcBorders>
              <w:tl2br w:val="nil"/>
              <w:tr2bl w:val="nil"/>
            </w:tcBorders>
            <w:noWrap w:val="0"/>
            <w:vAlign w:val="center"/>
          </w:tcPr>
          <w:p w14:paraId="6FE9F26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基本污染物（SO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、CO、O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2CACD89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319" w:type="dxa"/>
            <w:gridSpan w:val="7"/>
            <w:tcBorders>
              <w:tl2br w:val="nil"/>
              <w:tr2bl w:val="nil"/>
            </w:tcBorders>
            <w:noWrap w:val="0"/>
            <w:vAlign w:val="center"/>
          </w:tcPr>
          <w:p w14:paraId="2D538C9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F03274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46242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tcBorders>
              <w:tl2br w:val="nil"/>
              <w:tr2bl w:val="nil"/>
            </w:tcBorders>
            <w:noWrap w:val="0"/>
            <w:vAlign w:val="center"/>
          </w:tcPr>
          <w:p w14:paraId="01D9DE5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w:t>
            </w:r>
          </w:p>
          <w:p w14:paraId="4023D39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w:t>
            </w:r>
          </w:p>
        </w:tc>
        <w:tc>
          <w:tcPr>
            <w:tcW w:w="1635" w:type="dxa"/>
            <w:tcBorders>
              <w:tl2br w:val="nil"/>
              <w:tr2bl w:val="nil"/>
            </w:tcBorders>
            <w:noWrap w:val="0"/>
            <w:vAlign w:val="center"/>
          </w:tcPr>
          <w:p w14:paraId="7DFE6F4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1935" w:type="dxa"/>
            <w:gridSpan w:val="5"/>
            <w:tcBorders>
              <w:tl2br w:val="nil"/>
              <w:tr2bl w:val="nil"/>
            </w:tcBorders>
            <w:noWrap w:val="0"/>
            <w:vAlign w:val="center"/>
          </w:tcPr>
          <w:p w14:paraId="11A84CD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国家标准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549" w:type="dxa"/>
            <w:gridSpan w:val="6"/>
            <w:tcBorders>
              <w:tl2br w:val="nil"/>
              <w:tr2bl w:val="nil"/>
            </w:tcBorders>
            <w:noWrap w:val="0"/>
            <w:vAlign w:val="center"/>
          </w:tcPr>
          <w:p w14:paraId="19E51AC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地方标准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42" w:type="dxa"/>
            <w:gridSpan w:val="8"/>
            <w:tcBorders>
              <w:tl2br w:val="nil"/>
              <w:tr2bl w:val="nil"/>
            </w:tcBorders>
            <w:noWrap w:val="0"/>
            <w:vAlign w:val="center"/>
          </w:tcPr>
          <w:p w14:paraId="33A6E16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附录D</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37" w:type="dxa"/>
            <w:gridSpan w:val="2"/>
            <w:tcBorders>
              <w:tl2br w:val="nil"/>
              <w:tr2bl w:val="nil"/>
            </w:tcBorders>
            <w:noWrap w:val="0"/>
            <w:vAlign w:val="center"/>
          </w:tcPr>
          <w:p w14:paraId="58A27F7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505AA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restart"/>
            <w:tcBorders>
              <w:tl2br w:val="nil"/>
              <w:tr2bl w:val="nil"/>
            </w:tcBorders>
            <w:noWrap w:val="0"/>
            <w:vAlign w:val="center"/>
          </w:tcPr>
          <w:p w14:paraId="2FDA818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w:t>
            </w:r>
          </w:p>
          <w:p w14:paraId="5F29A37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w:t>
            </w:r>
          </w:p>
        </w:tc>
        <w:tc>
          <w:tcPr>
            <w:tcW w:w="1635" w:type="dxa"/>
            <w:tcBorders>
              <w:tl2br w:val="nil"/>
              <w:tr2bl w:val="nil"/>
            </w:tcBorders>
            <w:noWrap w:val="0"/>
            <w:vAlign w:val="center"/>
          </w:tcPr>
          <w:p w14:paraId="1C2E916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环境功能区</w:t>
            </w:r>
          </w:p>
        </w:tc>
        <w:tc>
          <w:tcPr>
            <w:tcW w:w="2322" w:type="dxa"/>
            <w:gridSpan w:val="8"/>
            <w:tcBorders>
              <w:tl2br w:val="nil"/>
              <w:tr2bl w:val="nil"/>
            </w:tcBorders>
            <w:noWrap w:val="0"/>
            <w:vAlign w:val="center"/>
          </w:tcPr>
          <w:p w14:paraId="3539947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22" w:type="dxa"/>
            <w:gridSpan w:val="6"/>
            <w:tcBorders>
              <w:tl2br w:val="nil"/>
              <w:tr2bl w:val="nil"/>
            </w:tcBorders>
            <w:noWrap w:val="0"/>
            <w:vAlign w:val="center"/>
          </w:tcPr>
          <w:p w14:paraId="4197E50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19" w:type="dxa"/>
            <w:gridSpan w:val="7"/>
            <w:tcBorders>
              <w:tl2br w:val="nil"/>
              <w:tr2bl w:val="nil"/>
            </w:tcBorders>
            <w:noWrap w:val="0"/>
            <w:vAlign w:val="center"/>
          </w:tcPr>
          <w:p w14:paraId="414022C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一类区和二类区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2A392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725261B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749FD86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评价基准年</w:t>
            </w:r>
          </w:p>
        </w:tc>
        <w:tc>
          <w:tcPr>
            <w:tcW w:w="6963" w:type="dxa"/>
            <w:gridSpan w:val="21"/>
            <w:tcBorders>
              <w:tl2br w:val="nil"/>
              <w:tr2bl w:val="nil"/>
            </w:tcBorders>
            <w:noWrap w:val="0"/>
            <w:vAlign w:val="center"/>
          </w:tcPr>
          <w:p w14:paraId="5482FDB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r>
      <w:tr w14:paraId="1B78B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7D4904E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30F2C01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环境空气质量现状调查数据来源</w:t>
            </w:r>
          </w:p>
        </w:tc>
        <w:tc>
          <w:tcPr>
            <w:tcW w:w="2235" w:type="dxa"/>
            <w:gridSpan w:val="7"/>
            <w:tcBorders>
              <w:tl2br w:val="nil"/>
              <w:tr2bl w:val="nil"/>
            </w:tcBorders>
            <w:noWrap w:val="0"/>
            <w:vAlign w:val="center"/>
          </w:tcPr>
          <w:p w14:paraId="19B8CF4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长期例行监测数据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640" w:type="dxa"/>
            <w:gridSpan w:val="8"/>
            <w:tcBorders>
              <w:tl2br w:val="nil"/>
              <w:tr2bl w:val="nil"/>
            </w:tcBorders>
            <w:noWrap w:val="0"/>
            <w:vAlign w:val="center"/>
          </w:tcPr>
          <w:p w14:paraId="7C6020A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主管部门发布的数据</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88" w:type="dxa"/>
            <w:gridSpan w:val="6"/>
            <w:tcBorders>
              <w:tl2br w:val="nil"/>
              <w:tr2bl w:val="nil"/>
            </w:tcBorders>
            <w:noWrap w:val="0"/>
            <w:vAlign w:val="center"/>
          </w:tcPr>
          <w:p w14:paraId="12CBED5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现状补充监测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3043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3EE6EB3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3760E32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3484" w:type="dxa"/>
            <w:gridSpan w:val="11"/>
            <w:tcBorders>
              <w:tl2br w:val="nil"/>
              <w:tr2bl w:val="nil"/>
            </w:tcBorders>
            <w:noWrap w:val="0"/>
            <w:vAlign w:val="center"/>
          </w:tcPr>
          <w:p w14:paraId="12591CD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479" w:type="dxa"/>
            <w:gridSpan w:val="10"/>
            <w:tcBorders>
              <w:tl2br w:val="nil"/>
              <w:tr2bl w:val="nil"/>
            </w:tcBorders>
            <w:noWrap w:val="0"/>
            <w:vAlign w:val="center"/>
          </w:tcPr>
          <w:p w14:paraId="616C808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10D67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tcBorders>
              <w:tl2br w:val="nil"/>
              <w:tr2bl w:val="nil"/>
            </w:tcBorders>
            <w:noWrap w:val="0"/>
            <w:vAlign w:val="center"/>
          </w:tcPr>
          <w:p w14:paraId="230CB0D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污染源调查</w:t>
            </w:r>
          </w:p>
        </w:tc>
        <w:tc>
          <w:tcPr>
            <w:tcW w:w="1635" w:type="dxa"/>
            <w:tcBorders>
              <w:tl2br w:val="nil"/>
              <w:tr2bl w:val="nil"/>
            </w:tcBorders>
            <w:noWrap w:val="0"/>
            <w:vAlign w:val="center"/>
          </w:tcPr>
          <w:p w14:paraId="5CD38DC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调查内容</w:t>
            </w:r>
          </w:p>
        </w:tc>
        <w:tc>
          <w:tcPr>
            <w:tcW w:w="2322" w:type="dxa"/>
            <w:gridSpan w:val="8"/>
            <w:tcBorders>
              <w:tl2br w:val="nil"/>
              <w:tr2bl w:val="nil"/>
            </w:tcBorders>
            <w:noWrap w:val="0"/>
            <w:vAlign w:val="center"/>
          </w:tcPr>
          <w:p w14:paraId="4586314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本项目正常排放源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6C8C1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本项目非正常排放源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75551A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现有污染源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62" w:type="dxa"/>
            <w:gridSpan w:val="3"/>
            <w:tcBorders>
              <w:tl2br w:val="nil"/>
              <w:tr2bl w:val="nil"/>
            </w:tcBorders>
            <w:noWrap w:val="0"/>
            <w:vAlign w:val="center"/>
          </w:tcPr>
          <w:p w14:paraId="282F62F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拟替代的</w:t>
            </w:r>
          </w:p>
          <w:p w14:paraId="3B562CC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42" w:type="dxa"/>
            <w:gridSpan w:val="8"/>
            <w:tcBorders>
              <w:tl2br w:val="nil"/>
              <w:tr2bl w:val="nil"/>
            </w:tcBorders>
            <w:noWrap w:val="0"/>
            <w:vAlign w:val="center"/>
          </w:tcPr>
          <w:p w14:paraId="141B967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其他在建、拟建项目污染源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737" w:type="dxa"/>
            <w:gridSpan w:val="2"/>
            <w:tcBorders>
              <w:tl2br w:val="nil"/>
              <w:tr2bl w:val="nil"/>
            </w:tcBorders>
            <w:noWrap w:val="0"/>
            <w:vAlign w:val="center"/>
          </w:tcPr>
          <w:p w14:paraId="3EFDD37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区域污染源</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42B25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restart"/>
            <w:tcBorders>
              <w:tl2br w:val="nil"/>
              <w:tr2bl w:val="nil"/>
            </w:tcBorders>
            <w:noWrap w:val="0"/>
            <w:vAlign w:val="center"/>
          </w:tcPr>
          <w:p w14:paraId="371D15B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大气环境影响预测与评价</w:t>
            </w:r>
          </w:p>
        </w:tc>
        <w:tc>
          <w:tcPr>
            <w:tcW w:w="1635" w:type="dxa"/>
            <w:tcBorders>
              <w:tl2br w:val="nil"/>
              <w:tr2bl w:val="nil"/>
            </w:tcBorders>
            <w:noWrap w:val="0"/>
            <w:vAlign w:val="center"/>
          </w:tcPr>
          <w:p w14:paraId="6EDECD9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预测模型</w:t>
            </w:r>
          </w:p>
        </w:tc>
        <w:tc>
          <w:tcPr>
            <w:tcW w:w="996" w:type="dxa"/>
            <w:gridSpan w:val="2"/>
            <w:tcBorders>
              <w:tl2br w:val="nil"/>
              <w:tr2bl w:val="nil"/>
            </w:tcBorders>
            <w:noWrap w:val="0"/>
            <w:vAlign w:val="center"/>
          </w:tcPr>
          <w:p w14:paraId="65A2B0D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AERMOD</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96" w:type="dxa"/>
            <w:gridSpan w:val="4"/>
            <w:tcBorders>
              <w:tl2br w:val="nil"/>
              <w:tr2bl w:val="nil"/>
            </w:tcBorders>
            <w:noWrap w:val="0"/>
            <w:vAlign w:val="center"/>
          </w:tcPr>
          <w:p w14:paraId="5321CD6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ADMS</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96" w:type="dxa"/>
            <w:gridSpan w:val="3"/>
            <w:tcBorders>
              <w:tl2br w:val="nil"/>
              <w:tr2bl w:val="nil"/>
            </w:tcBorders>
            <w:noWrap w:val="0"/>
            <w:vAlign w:val="center"/>
          </w:tcPr>
          <w:p w14:paraId="5D46D46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AUSTAL2000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96" w:type="dxa"/>
            <w:gridSpan w:val="3"/>
            <w:tcBorders>
              <w:tl2br w:val="nil"/>
              <w:tr2bl w:val="nil"/>
            </w:tcBorders>
            <w:noWrap w:val="0"/>
            <w:vAlign w:val="center"/>
          </w:tcPr>
          <w:p w14:paraId="4A7554A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EDMS/AEDT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96" w:type="dxa"/>
            <w:gridSpan w:val="4"/>
            <w:tcBorders>
              <w:tl2br w:val="nil"/>
              <w:tr2bl w:val="nil"/>
            </w:tcBorders>
            <w:noWrap w:val="0"/>
            <w:vAlign w:val="center"/>
          </w:tcPr>
          <w:p w14:paraId="4F4717F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CALPUFF</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96" w:type="dxa"/>
            <w:gridSpan w:val="4"/>
            <w:tcBorders>
              <w:tl2br w:val="nil"/>
              <w:tr2bl w:val="nil"/>
            </w:tcBorders>
            <w:noWrap w:val="0"/>
            <w:vAlign w:val="center"/>
          </w:tcPr>
          <w:p w14:paraId="5A3B2BA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网络模型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87" w:type="dxa"/>
            <w:tcBorders>
              <w:tl2br w:val="nil"/>
              <w:tr2bl w:val="nil"/>
            </w:tcBorders>
            <w:noWrap w:val="0"/>
            <w:vAlign w:val="center"/>
          </w:tcPr>
          <w:p w14:paraId="697633F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33ED0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0BC0A39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61618AE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预测范围</w:t>
            </w:r>
          </w:p>
        </w:tc>
        <w:tc>
          <w:tcPr>
            <w:tcW w:w="2322" w:type="dxa"/>
            <w:gridSpan w:val="8"/>
            <w:tcBorders>
              <w:tl2br w:val="nil"/>
              <w:tr2bl w:val="nil"/>
            </w:tcBorders>
            <w:noWrap w:val="0"/>
            <w:vAlign w:val="center"/>
          </w:tcPr>
          <w:p w14:paraId="01025D3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边长≥50km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22" w:type="dxa"/>
            <w:gridSpan w:val="6"/>
            <w:tcBorders>
              <w:tl2br w:val="nil"/>
              <w:tr2bl w:val="nil"/>
            </w:tcBorders>
            <w:noWrap w:val="0"/>
            <w:vAlign w:val="center"/>
          </w:tcPr>
          <w:p w14:paraId="02AF99C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边长5～50km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19" w:type="dxa"/>
            <w:gridSpan w:val="7"/>
            <w:tcBorders>
              <w:tl2br w:val="nil"/>
              <w:tr2bl w:val="nil"/>
            </w:tcBorders>
            <w:noWrap w:val="0"/>
            <w:vAlign w:val="center"/>
          </w:tcPr>
          <w:p w14:paraId="73E6002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边长=5km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6011E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0EE1A24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493F4CC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p>
        </w:tc>
        <w:tc>
          <w:tcPr>
            <w:tcW w:w="3484" w:type="dxa"/>
            <w:gridSpan w:val="11"/>
            <w:tcBorders>
              <w:tl2br w:val="nil"/>
              <w:tr2bl w:val="nil"/>
            </w:tcBorders>
            <w:noWrap w:val="0"/>
            <w:vAlign w:val="center"/>
          </w:tcPr>
          <w:p w14:paraId="780175B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479" w:type="dxa"/>
            <w:gridSpan w:val="10"/>
            <w:tcBorders>
              <w:tl2br w:val="nil"/>
              <w:tr2bl w:val="nil"/>
            </w:tcBorders>
            <w:noWrap w:val="0"/>
            <w:vAlign w:val="center"/>
          </w:tcPr>
          <w:p w14:paraId="0F3818E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17D4D33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不包括二次PM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31242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2064792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416450F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正常排放短期浓度贡献值</w:t>
            </w:r>
          </w:p>
        </w:tc>
        <w:tc>
          <w:tcPr>
            <w:tcW w:w="3484" w:type="dxa"/>
            <w:gridSpan w:val="11"/>
            <w:tcBorders>
              <w:tl2br w:val="nil"/>
              <w:tr2bl w:val="nil"/>
            </w:tcBorders>
            <w:noWrap w:val="0"/>
            <w:vAlign w:val="center"/>
          </w:tcPr>
          <w:p w14:paraId="5EA4F2F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C本项目最大占标率≤100%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479" w:type="dxa"/>
            <w:gridSpan w:val="10"/>
            <w:tcBorders>
              <w:tl2br w:val="nil"/>
              <w:tr2bl w:val="nil"/>
            </w:tcBorders>
            <w:noWrap w:val="0"/>
            <w:vAlign w:val="center"/>
          </w:tcPr>
          <w:p w14:paraId="30DBEF4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C本项目最大占标率＞100%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2842A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1D05F73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vMerge w:val="restart"/>
            <w:tcBorders>
              <w:tl2br w:val="nil"/>
              <w:tr2bl w:val="nil"/>
            </w:tcBorders>
            <w:noWrap w:val="0"/>
            <w:vAlign w:val="center"/>
          </w:tcPr>
          <w:p w14:paraId="40A5EF6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正常排放年均浓度贡献值</w:t>
            </w:r>
          </w:p>
        </w:tc>
        <w:tc>
          <w:tcPr>
            <w:tcW w:w="870" w:type="dxa"/>
            <w:tcBorders>
              <w:tl2br w:val="nil"/>
              <w:tr2bl w:val="nil"/>
            </w:tcBorders>
            <w:noWrap w:val="0"/>
            <w:vAlign w:val="center"/>
          </w:tcPr>
          <w:p w14:paraId="05AD386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一类区</w:t>
            </w:r>
          </w:p>
        </w:tc>
        <w:tc>
          <w:tcPr>
            <w:tcW w:w="3225" w:type="dxa"/>
            <w:gridSpan w:val="12"/>
            <w:tcBorders>
              <w:tl2br w:val="nil"/>
              <w:tr2bl w:val="nil"/>
            </w:tcBorders>
            <w:noWrap w:val="0"/>
            <w:vAlign w:val="center"/>
          </w:tcPr>
          <w:p w14:paraId="696BF50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C本项目最大占标率≤10%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868" w:type="dxa"/>
            <w:gridSpan w:val="8"/>
            <w:tcBorders>
              <w:tl2br w:val="nil"/>
              <w:tr2bl w:val="nil"/>
            </w:tcBorders>
            <w:noWrap w:val="0"/>
            <w:vAlign w:val="center"/>
          </w:tcPr>
          <w:p w14:paraId="50EE567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C本项目最大占标率＞10%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25006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4536ECD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vMerge w:val="continue"/>
            <w:tcBorders>
              <w:tl2br w:val="nil"/>
              <w:tr2bl w:val="nil"/>
            </w:tcBorders>
            <w:noWrap w:val="0"/>
            <w:vAlign w:val="center"/>
          </w:tcPr>
          <w:p w14:paraId="3384C15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0" w:type="dxa"/>
            <w:tcBorders>
              <w:tl2br w:val="nil"/>
              <w:tr2bl w:val="nil"/>
            </w:tcBorders>
            <w:noWrap w:val="0"/>
            <w:vAlign w:val="center"/>
          </w:tcPr>
          <w:p w14:paraId="36E7280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二类区</w:t>
            </w:r>
          </w:p>
        </w:tc>
        <w:tc>
          <w:tcPr>
            <w:tcW w:w="3225" w:type="dxa"/>
            <w:gridSpan w:val="12"/>
            <w:tcBorders>
              <w:tl2br w:val="nil"/>
              <w:tr2bl w:val="nil"/>
            </w:tcBorders>
            <w:noWrap w:val="0"/>
            <w:vAlign w:val="center"/>
          </w:tcPr>
          <w:p w14:paraId="0624A21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C本项目最大占标率≤30%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868" w:type="dxa"/>
            <w:gridSpan w:val="8"/>
            <w:tcBorders>
              <w:tl2br w:val="nil"/>
              <w:tr2bl w:val="nil"/>
            </w:tcBorders>
            <w:noWrap w:val="0"/>
            <w:vAlign w:val="center"/>
          </w:tcPr>
          <w:p w14:paraId="229AE6E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C本项目最大占标率＞30%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8620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68B1C18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053AC8B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非正常排放1h浓度贡献值</w:t>
            </w:r>
          </w:p>
        </w:tc>
        <w:tc>
          <w:tcPr>
            <w:tcW w:w="1935" w:type="dxa"/>
            <w:gridSpan w:val="5"/>
            <w:tcBorders>
              <w:tl2br w:val="nil"/>
              <w:tr2bl w:val="nil"/>
            </w:tcBorders>
            <w:noWrap w:val="0"/>
            <w:vAlign w:val="center"/>
          </w:tcPr>
          <w:p w14:paraId="08A5B9F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非正常持续时长</w:t>
            </w:r>
          </w:p>
          <w:p w14:paraId="2F98DCB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3203" w:type="dxa"/>
            <w:gridSpan w:val="13"/>
            <w:tcBorders>
              <w:tl2br w:val="nil"/>
              <w:tr2bl w:val="nil"/>
            </w:tcBorders>
            <w:noWrap w:val="0"/>
            <w:vAlign w:val="center"/>
          </w:tcPr>
          <w:p w14:paraId="0C34A9C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C非正常最大占标率≤100%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825" w:type="dxa"/>
            <w:gridSpan w:val="3"/>
            <w:tcBorders>
              <w:tl2br w:val="nil"/>
              <w:tr2bl w:val="nil"/>
            </w:tcBorders>
            <w:noWrap w:val="0"/>
            <w:vAlign w:val="center"/>
          </w:tcPr>
          <w:p w14:paraId="2A9E867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C非正常最大占标率＞100%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35DC7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1FE000F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339C423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保证率日平均浓度和年均浓度叠加值</w:t>
            </w:r>
          </w:p>
        </w:tc>
        <w:tc>
          <w:tcPr>
            <w:tcW w:w="3467" w:type="dxa"/>
            <w:gridSpan w:val="10"/>
            <w:tcBorders>
              <w:tl2br w:val="nil"/>
              <w:tr2bl w:val="nil"/>
            </w:tcBorders>
            <w:noWrap w:val="0"/>
            <w:vAlign w:val="center"/>
          </w:tcPr>
          <w:p w14:paraId="0A34BAEF">
            <w:pPr>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C叠加达标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496" w:type="dxa"/>
            <w:gridSpan w:val="11"/>
            <w:tcBorders>
              <w:tl2br w:val="nil"/>
              <w:tr2bl w:val="nil"/>
            </w:tcBorders>
            <w:noWrap w:val="0"/>
            <w:vAlign w:val="center"/>
          </w:tcPr>
          <w:p w14:paraId="444B4B84">
            <w:pPr>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C叠加不达标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4CED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56DACD4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07C7F6A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区域环境质量的整体变化情况</w:t>
            </w:r>
          </w:p>
        </w:tc>
        <w:tc>
          <w:tcPr>
            <w:tcW w:w="3467" w:type="dxa"/>
            <w:gridSpan w:val="10"/>
            <w:tcBorders>
              <w:tl2br w:val="nil"/>
              <w:tr2bl w:val="nil"/>
            </w:tcBorders>
            <w:noWrap w:val="0"/>
            <w:vAlign w:val="center"/>
          </w:tcPr>
          <w:p w14:paraId="40112183">
            <w:pPr>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K≤-20%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496" w:type="dxa"/>
            <w:gridSpan w:val="11"/>
            <w:tcBorders>
              <w:tl2br w:val="nil"/>
              <w:tr2bl w:val="nil"/>
            </w:tcBorders>
            <w:noWrap w:val="0"/>
            <w:vAlign w:val="center"/>
          </w:tcPr>
          <w:p w14:paraId="13D7094F">
            <w:pPr>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K＞-20%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5F44F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restart"/>
            <w:tcBorders>
              <w:tl2br w:val="nil"/>
              <w:tr2bl w:val="nil"/>
            </w:tcBorders>
            <w:noWrap w:val="0"/>
            <w:vAlign w:val="center"/>
          </w:tcPr>
          <w:p w14:paraId="705D2BF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环境监测计划</w:t>
            </w:r>
          </w:p>
        </w:tc>
        <w:tc>
          <w:tcPr>
            <w:tcW w:w="1635" w:type="dxa"/>
            <w:tcBorders>
              <w:tl2br w:val="nil"/>
              <w:tr2bl w:val="nil"/>
            </w:tcBorders>
            <w:noWrap w:val="0"/>
            <w:vAlign w:val="center"/>
          </w:tcPr>
          <w:p w14:paraId="1DB8B83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污染源监测</w:t>
            </w:r>
          </w:p>
        </w:tc>
        <w:tc>
          <w:tcPr>
            <w:tcW w:w="2322" w:type="dxa"/>
            <w:gridSpan w:val="8"/>
            <w:tcBorders>
              <w:tl2br w:val="nil"/>
              <w:tr2bl w:val="nil"/>
            </w:tcBorders>
            <w:noWrap w:val="0"/>
            <w:vAlign w:val="center"/>
          </w:tcPr>
          <w:p w14:paraId="2E92ACC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p>
        </w:tc>
        <w:tc>
          <w:tcPr>
            <w:tcW w:w="2322" w:type="dxa"/>
            <w:gridSpan w:val="6"/>
            <w:tcBorders>
              <w:tl2br w:val="nil"/>
              <w:tr2bl w:val="nil"/>
            </w:tcBorders>
            <w:noWrap w:val="0"/>
            <w:vAlign w:val="center"/>
          </w:tcPr>
          <w:p w14:paraId="2932221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有组织废气监测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44F335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无组织废气监测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319" w:type="dxa"/>
            <w:gridSpan w:val="7"/>
            <w:tcBorders>
              <w:tl2br w:val="nil"/>
              <w:tr2bl w:val="nil"/>
            </w:tcBorders>
            <w:noWrap w:val="0"/>
            <w:vAlign w:val="center"/>
          </w:tcPr>
          <w:p w14:paraId="7E8D679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28D2F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2DF0D5E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25CF920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环境质量监测</w:t>
            </w:r>
          </w:p>
        </w:tc>
        <w:tc>
          <w:tcPr>
            <w:tcW w:w="1673" w:type="dxa"/>
            <w:gridSpan w:val="3"/>
            <w:tcBorders>
              <w:tl2br w:val="nil"/>
              <w:tr2bl w:val="nil"/>
            </w:tcBorders>
            <w:noWrap w:val="0"/>
            <w:vAlign w:val="center"/>
          </w:tcPr>
          <w:p w14:paraId="14E1248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460" w:type="dxa"/>
            <w:gridSpan w:val="14"/>
            <w:tcBorders>
              <w:tl2br w:val="nil"/>
              <w:tr2bl w:val="nil"/>
            </w:tcBorders>
            <w:noWrap w:val="0"/>
            <w:vAlign w:val="center"/>
          </w:tcPr>
          <w:p w14:paraId="6E82E6D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830" w:type="dxa"/>
            <w:gridSpan w:val="4"/>
            <w:tcBorders>
              <w:tl2br w:val="nil"/>
              <w:tr2bl w:val="nil"/>
            </w:tcBorders>
            <w:noWrap w:val="0"/>
            <w:vAlign w:val="center"/>
          </w:tcPr>
          <w:p w14:paraId="154DF9E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F4D4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restart"/>
            <w:tcBorders>
              <w:tl2br w:val="nil"/>
              <w:tr2bl w:val="nil"/>
            </w:tcBorders>
            <w:noWrap w:val="0"/>
            <w:vAlign w:val="center"/>
          </w:tcPr>
          <w:p w14:paraId="142D3F5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w:t>
            </w:r>
          </w:p>
          <w:p w14:paraId="73A5332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结论</w:t>
            </w:r>
          </w:p>
        </w:tc>
        <w:tc>
          <w:tcPr>
            <w:tcW w:w="1635" w:type="dxa"/>
            <w:tcBorders>
              <w:tl2br w:val="nil"/>
              <w:tr2bl w:val="nil"/>
            </w:tcBorders>
            <w:noWrap w:val="0"/>
            <w:vAlign w:val="center"/>
          </w:tcPr>
          <w:p w14:paraId="3752587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w:t>
            </w:r>
          </w:p>
        </w:tc>
        <w:tc>
          <w:tcPr>
            <w:tcW w:w="6963" w:type="dxa"/>
            <w:gridSpan w:val="21"/>
            <w:tcBorders>
              <w:tl2br w:val="nil"/>
              <w:tr2bl w:val="nil"/>
            </w:tcBorders>
            <w:noWrap w:val="0"/>
            <w:vAlign w:val="center"/>
          </w:tcPr>
          <w:p w14:paraId="294A866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可以接受</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不可以接受</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0387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1671049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516CE45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大气防护距离</w:t>
            </w:r>
          </w:p>
        </w:tc>
        <w:tc>
          <w:tcPr>
            <w:tcW w:w="6963" w:type="dxa"/>
            <w:gridSpan w:val="21"/>
            <w:tcBorders>
              <w:tl2br w:val="nil"/>
              <w:tr2bl w:val="nil"/>
            </w:tcBorders>
            <w:noWrap w:val="0"/>
            <w:vAlign w:val="center"/>
          </w:tcPr>
          <w:p w14:paraId="213AD96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）厂界最远（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）米</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B22F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9" w:type="dxa"/>
            <w:vMerge w:val="continue"/>
            <w:tcBorders>
              <w:tl2br w:val="nil"/>
              <w:tr2bl w:val="nil"/>
            </w:tcBorders>
            <w:noWrap w:val="0"/>
            <w:vAlign w:val="center"/>
          </w:tcPr>
          <w:p w14:paraId="5CB5287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35" w:type="dxa"/>
            <w:tcBorders>
              <w:tl2br w:val="nil"/>
              <w:tr2bl w:val="nil"/>
            </w:tcBorders>
            <w:noWrap w:val="0"/>
            <w:vAlign w:val="center"/>
          </w:tcPr>
          <w:p w14:paraId="3BD2BA3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w:t>
            </w:r>
          </w:p>
          <w:p w14:paraId="3AD6B0A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年排放量</w:t>
            </w:r>
          </w:p>
        </w:tc>
        <w:tc>
          <w:tcPr>
            <w:tcW w:w="1742" w:type="dxa"/>
            <w:gridSpan w:val="4"/>
            <w:tcBorders>
              <w:tl2br w:val="nil"/>
              <w:tr2bl w:val="nil"/>
            </w:tcBorders>
            <w:noWrap w:val="0"/>
            <w:vAlign w:val="center"/>
          </w:tcPr>
          <w:p w14:paraId="312CEE9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22BF565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742" w:type="dxa"/>
            <w:gridSpan w:val="7"/>
            <w:tcBorders>
              <w:tl2br w:val="nil"/>
              <w:tr2bl w:val="nil"/>
            </w:tcBorders>
            <w:noWrap w:val="0"/>
            <w:vAlign w:val="center"/>
          </w:tcPr>
          <w:p w14:paraId="1A5F855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NOx</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8A49BF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3479" w:type="dxa"/>
            <w:gridSpan w:val="10"/>
            <w:tcBorders>
              <w:tl2br w:val="nil"/>
              <w:tr2bl w:val="nil"/>
            </w:tcBorders>
            <w:noWrap w:val="0"/>
            <w:vAlign w:val="center"/>
          </w:tcPr>
          <w:p w14:paraId="7508228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AB37B0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14:paraId="4652C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327" w:type="dxa"/>
            <w:gridSpan w:val="23"/>
            <w:tcBorders>
              <w:tl2br w:val="nil"/>
              <w:tr2bl w:val="nil"/>
            </w:tcBorders>
            <w:noWrap w:val="0"/>
            <w:vAlign w:val="center"/>
          </w:tcPr>
          <w:p w14:paraId="55D8DF37">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注：“□”为勾选项，填“√”，“（）”为填写项</w:t>
            </w:r>
          </w:p>
        </w:tc>
      </w:tr>
    </w:tbl>
    <w:p w14:paraId="38D01C23">
      <w:pPr>
        <w:keepNext w:val="0"/>
        <w:keepLines w:val="0"/>
        <w:pageBreakBefore w:val="0"/>
        <w:widowControl w:val="0"/>
        <w:kinsoku/>
        <w:wordWrap/>
        <w:overflowPunct/>
        <w:topLinePunct w:val="0"/>
        <w:autoSpaceDE/>
        <w:autoSpaceDN/>
        <w:bidi w:val="0"/>
        <w:adjustRightInd w:val="0"/>
        <w:snapToGrid w:val="0"/>
        <w:spacing w:after="0"/>
        <w:jc w:val="both"/>
        <w:textAlignment w:val="auto"/>
        <w:outlineLvl w:val="0"/>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br w:type="page"/>
      </w:r>
      <w:bookmarkStart w:id="160" w:name="_Toc6290"/>
      <w:bookmarkStart w:id="161" w:name="_Toc32561"/>
      <w:bookmarkStart w:id="162" w:name="_Toc24724"/>
      <w:bookmarkStart w:id="163" w:name="_Toc13226"/>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附表</w:t>
      </w:r>
      <w:r>
        <w:rPr>
          <w:rFonts w:hint="eastAsia"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4"/>
          <w:szCs w:val="22"/>
          <w:highlight w:val="none"/>
          <w:lang w:val="en-US" w:eastAsia="zh-CN"/>
          <w14:textFill>
            <w14:solidFill>
              <w14:schemeClr w14:val="tx1"/>
            </w14:solidFill>
          </w14:textFill>
        </w:rPr>
        <w:t>：声环境影响评价自查表</w:t>
      </w:r>
      <w:bookmarkEnd w:id="160"/>
      <w:bookmarkEnd w:id="161"/>
      <w:bookmarkEnd w:id="162"/>
      <w:bookmarkEnd w:id="163"/>
    </w:p>
    <w:tbl>
      <w:tblPr>
        <w:tblStyle w:val="58"/>
        <w:tblW w:w="910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605"/>
        <w:gridCol w:w="935"/>
        <w:gridCol w:w="477"/>
        <w:gridCol w:w="297"/>
        <w:gridCol w:w="220"/>
        <w:gridCol w:w="1010"/>
        <w:gridCol w:w="641"/>
        <w:gridCol w:w="420"/>
        <w:gridCol w:w="519"/>
        <w:gridCol w:w="479"/>
        <w:gridCol w:w="220"/>
        <w:gridCol w:w="1207"/>
      </w:tblGrid>
      <w:tr w14:paraId="67AF49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675" w:type="dxa"/>
            <w:gridSpan w:val="2"/>
            <w:tcBorders>
              <w:tl2br w:val="nil"/>
              <w:tr2bl w:val="nil"/>
            </w:tcBorders>
          </w:tcPr>
          <w:p w14:paraId="249F7831">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工作内容</w:t>
            </w:r>
          </w:p>
        </w:tc>
        <w:tc>
          <w:tcPr>
            <w:tcW w:w="6425" w:type="dxa"/>
            <w:gridSpan w:val="11"/>
            <w:tcBorders>
              <w:tl2br w:val="nil"/>
              <w:tr2bl w:val="nil"/>
            </w:tcBorders>
          </w:tcPr>
          <w:p w14:paraId="2FF3CDF4">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自查项目</w:t>
            </w:r>
          </w:p>
        </w:tc>
      </w:tr>
      <w:tr w14:paraId="73FAE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restart"/>
            <w:tcBorders>
              <w:tl2br w:val="nil"/>
              <w:tr2bl w:val="nil"/>
            </w:tcBorders>
            <w:vAlign w:val="center"/>
          </w:tcPr>
          <w:p w14:paraId="7BC556E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评价等级与范围</w:t>
            </w:r>
          </w:p>
        </w:tc>
        <w:tc>
          <w:tcPr>
            <w:tcW w:w="1605" w:type="dxa"/>
            <w:tcBorders>
              <w:tl2br w:val="nil"/>
              <w:tr2bl w:val="nil"/>
            </w:tcBorders>
            <w:vAlign w:val="center"/>
          </w:tcPr>
          <w:p w14:paraId="3D7842A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评价等级</w:t>
            </w:r>
          </w:p>
        </w:tc>
        <w:tc>
          <w:tcPr>
            <w:tcW w:w="6425" w:type="dxa"/>
            <w:gridSpan w:val="11"/>
            <w:tcBorders>
              <w:tl2br w:val="nil"/>
              <w:tr2bl w:val="nil"/>
            </w:tcBorders>
            <w:vAlign w:val="center"/>
          </w:tcPr>
          <w:p w14:paraId="15E517BE">
            <w:pPr>
              <w:keepNext w:val="0"/>
              <w:keepLines w:val="0"/>
              <w:pageBreakBefore w:val="0"/>
              <w:widowControl w:val="0"/>
              <w:tabs>
                <w:tab w:val="left" w:pos="2103"/>
                <w:tab w:val="left" w:pos="3635"/>
              </w:tabs>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一级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ab/>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二</w:t>
            </w:r>
            <w:r>
              <w:rPr>
                <w:rFonts w:hint="default" w:ascii="Times New Roman" w:hAnsi="Times New Roman" w:eastAsia="宋体" w:cs="Times New Roman"/>
                <w:color w:val="000000" w:themeColor="text1"/>
                <w:spacing w:val="-3"/>
                <w:sz w:val="21"/>
                <w:szCs w:val="21"/>
                <w:highlight w:val="none"/>
                <w:lang w:val="en-US" w:eastAsia="en-US" w:bidi="ar-SA"/>
                <w14:textFill>
                  <w14:solidFill>
                    <w14:schemeClr w14:val="tx1"/>
                  </w14:solidFill>
                </w14:textFill>
              </w:rPr>
              <w:t>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ab/>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三级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37B3A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4E7AF2E9">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en-US" w:bidi="zh-CN"/>
                <w14:textFill>
                  <w14:solidFill>
                    <w14:schemeClr w14:val="tx1"/>
                  </w14:solidFill>
                </w14:textFill>
              </w:rPr>
            </w:pPr>
          </w:p>
        </w:tc>
        <w:tc>
          <w:tcPr>
            <w:tcW w:w="1605" w:type="dxa"/>
            <w:tcBorders>
              <w:tl2br w:val="nil"/>
              <w:tr2bl w:val="nil"/>
            </w:tcBorders>
            <w:vAlign w:val="center"/>
          </w:tcPr>
          <w:p w14:paraId="22D322EB">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评价范围</w:t>
            </w:r>
          </w:p>
        </w:tc>
        <w:tc>
          <w:tcPr>
            <w:tcW w:w="6425" w:type="dxa"/>
            <w:gridSpan w:val="11"/>
            <w:tcBorders>
              <w:tl2br w:val="nil"/>
              <w:tr2bl w:val="nil"/>
            </w:tcBorders>
            <w:vAlign w:val="center"/>
          </w:tcPr>
          <w:p w14:paraId="6DF90D57">
            <w:pPr>
              <w:keepNext w:val="0"/>
              <w:keepLines w:val="0"/>
              <w:pageBreakBefore w:val="0"/>
              <w:widowControl w:val="0"/>
              <w:tabs>
                <w:tab w:val="left" w:pos="2384"/>
                <w:tab w:val="left" w:pos="5315"/>
              </w:tabs>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200m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t>大</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于200m</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小于200m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70F74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tcBorders>
              <w:tl2br w:val="nil"/>
              <w:tr2bl w:val="nil"/>
            </w:tcBorders>
            <w:vAlign w:val="center"/>
          </w:tcPr>
          <w:p w14:paraId="4BBC0F2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评价因子</w:t>
            </w:r>
          </w:p>
        </w:tc>
        <w:tc>
          <w:tcPr>
            <w:tcW w:w="1605" w:type="dxa"/>
            <w:tcBorders>
              <w:tl2br w:val="nil"/>
              <w:tr2bl w:val="nil"/>
            </w:tcBorders>
            <w:vAlign w:val="center"/>
          </w:tcPr>
          <w:p w14:paraId="6EDC594B">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评价因子</w:t>
            </w:r>
          </w:p>
        </w:tc>
        <w:tc>
          <w:tcPr>
            <w:tcW w:w="6425" w:type="dxa"/>
            <w:gridSpan w:val="11"/>
            <w:tcBorders>
              <w:tl2br w:val="nil"/>
              <w:tr2bl w:val="nil"/>
            </w:tcBorders>
            <w:vAlign w:val="center"/>
          </w:tcPr>
          <w:p w14:paraId="75D945D5">
            <w:pPr>
              <w:keepNext w:val="0"/>
              <w:keepLines w:val="0"/>
              <w:pageBreakBefore w:val="0"/>
              <w:widowControl w:val="0"/>
              <w:kinsoku/>
              <w:wordWrap/>
              <w:overflowPunct/>
              <w:topLinePunct w:val="0"/>
              <w:bidi w:val="0"/>
              <w:adjustRightInd/>
              <w:snapToGrid/>
              <w:spacing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等效连续A声级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最大A声级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计权等效连续感觉噪声级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0DD07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tcBorders>
              <w:tl2br w:val="nil"/>
              <w:tr2bl w:val="nil"/>
            </w:tcBorders>
            <w:vAlign w:val="center"/>
          </w:tcPr>
          <w:p w14:paraId="1A6AA65C">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评价标准</w:t>
            </w:r>
          </w:p>
        </w:tc>
        <w:tc>
          <w:tcPr>
            <w:tcW w:w="1605" w:type="dxa"/>
            <w:tcBorders>
              <w:tl2br w:val="nil"/>
              <w:tr2bl w:val="nil"/>
            </w:tcBorders>
            <w:vAlign w:val="center"/>
          </w:tcPr>
          <w:p w14:paraId="22348E6E">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评价标准</w:t>
            </w:r>
          </w:p>
        </w:tc>
        <w:tc>
          <w:tcPr>
            <w:tcW w:w="6425" w:type="dxa"/>
            <w:gridSpan w:val="11"/>
            <w:tcBorders>
              <w:tl2br w:val="nil"/>
              <w:tr2bl w:val="nil"/>
            </w:tcBorders>
            <w:vAlign w:val="center"/>
          </w:tcPr>
          <w:p w14:paraId="40F69AF9">
            <w:pPr>
              <w:keepNext w:val="0"/>
              <w:keepLines w:val="0"/>
              <w:pageBreakBefore w:val="0"/>
              <w:widowControl w:val="0"/>
              <w:kinsoku/>
              <w:wordWrap/>
              <w:overflowPunct/>
              <w:topLinePunct w:val="0"/>
              <w:bidi w:val="0"/>
              <w:adjustRightInd/>
              <w:snapToGrid/>
              <w:spacing w:after="0" w:line="240" w:lineRule="auto"/>
              <w:ind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国家标准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地方标准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国外标准</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5DA3CB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restart"/>
            <w:tcBorders>
              <w:tl2br w:val="nil"/>
              <w:tr2bl w:val="nil"/>
            </w:tcBorders>
            <w:vAlign w:val="center"/>
          </w:tcPr>
          <w:p w14:paraId="21676DD4">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现状评价</w:t>
            </w:r>
          </w:p>
        </w:tc>
        <w:tc>
          <w:tcPr>
            <w:tcW w:w="1605" w:type="dxa"/>
            <w:tcBorders>
              <w:tl2br w:val="nil"/>
              <w:tr2bl w:val="nil"/>
            </w:tcBorders>
            <w:vAlign w:val="center"/>
          </w:tcPr>
          <w:p w14:paraId="218D1D67">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环境功能区</w:t>
            </w:r>
          </w:p>
        </w:tc>
        <w:tc>
          <w:tcPr>
            <w:tcW w:w="935" w:type="dxa"/>
            <w:tcBorders>
              <w:tl2br w:val="nil"/>
              <w:tr2bl w:val="nil"/>
            </w:tcBorders>
            <w:vAlign w:val="center"/>
          </w:tcPr>
          <w:p w14:paraId="74F157EF">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0类区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994" w:type="dxa"/>
            <w:gridSpan w:val="3"/>
            <w:tcBorders>
              <w:tl2br w:val="nil"/>
              <w:tr2bl w:val="nil"/>
            </w:tcBorders>
            <w:vAlign w:val="center"/>
          </w:tcPr>
          <w:p w14:paraId="265994A0">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1类区</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1010" w:type="dxa"/>
            <w:tcBorders>
              <w:tl2br w:val="nil"/>
              <w:tr2bl w:val="nil"/>
            </w:tcBorders>
            <w:vAlign w:val="center"/>
          </w:tcPr>
          <w:p w14:paraId="4A5E265C">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2类区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61" w:type="dxa"/>
            <w:gridSpan w:val="2"/>
            <w:tcBorders>
              <w:tl2br w:val="nil"/>
              <w:tr2bl w:val="nil"/>
            </w:tcBorders>
            <w:vAlign w:val="center"/>
          </w:tcPr>
          <w:p w14:paraId="0A3A5D22">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3类区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18" w:type="dxa"/>
            <w:gridSpan w:val="3"/>
            <w:tcBorders>
              <w:tl2br w:val="nil"/>
              <w:tr2bl w:val="nil"/>
            </w:tcBorders>
            <w:vAlign w:val="center"/>
          </w:tcPr>
          <w:p w14:paraId="33AEEA50">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4a类区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07" w:type="dxa"/>
            <w:tcBorders>
              <w:tl2br w:val="nil"/>
              <w:tr2bl w:val="nil"/>
            </w:tcBorders>
            <w:vAlign w:val="center"/>
          </w:tcPr>
          <w:p w14:paraId="0E648F6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4b类区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124DF6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1AD8136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en-US" w:bidi="zh-CN"/>
                <w14:textFill>
                  <w14:solidFill>
                    <w14:schemeClr w14:val="tx1"/>
                  </w14:solidFill>
                </w14:textFill>
              </w:rPr>
            </w:pPr>
          </w:p>
        </w:tc>
        <w:tc>
          <w:tcPr>
            <w:tcW w:w="1605" w:type="dxa"/>
            <w:tcBorders>
              <w:tl2br w:val="nil"/>
              <w:tr2bl w:val="nil"/>
            </w:tcBorders>
            <w:vAlign w:val="center"/>
          </w:tcPr>
          <w:p w14:paraId="7ADB05C2">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评价年度</w:t>
            </w:r>
          </w:p>
        </w:tc>
        <w:tc>
          <w:tcPr>
            <w:tcW w:w="1412" w:type="dxa"/>
            <w:gridSpan w:val="2"/>
            <w:tcBorders>
              <w:tl2br w:val="nil"/>
              <w:tr2bl w:val="nil"/>
            </w:tcBorders>
            <w:vAlign w:val="center"/>
          </w:tcPr>
          <w:p w14:paraId="7299AD96">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初期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527" w:type="dxa"/>
            <w:gridSpan w:val="3"/>
            <w:tcBorders>
              <w:tl2br w:val="nil"/>
              <w:tr2bl w:val="nil"/>
            </w:tcBorders>
            <w:vAlign w:val="center"/>
          </w:tcPr>
          <w:p w14:paraId="4CFE505E">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近期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580" w:type="dxa"/>
            <w:gridSpan w:val="3"/>
            <w:tcBorders>
              <w:tl2br w:val="nil"/>
              <w:tr2bl w:val="nil"/>
            </w:tcBorders>
            <w:vAlign w:val="center"/>
          </w:tcPr>
          <w:p w14:paraId="1DE4D297">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中期</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1906" w:type="dxa"/>
            <w:gridSpan w:val="3"/>
            <w:tcBorders>
              <w:tl2br w:val="nil"/>
              <w:tr2bl w:val="nil"/>
            </w:tcBorders>
            <w:vAlign w:val="center"/>
          </w:tcPr>
          <w:p w14:paraId="6E994B29">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远期</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7A6FF3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52914B2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en-US" w:bidi="zh-CN"/>
                <w14:textFill>
                  <w14:solidFill>
                    <w14:schemeClr w14:val="tx1"/>
                  </w14:solidFill>
                </w14:textFill>
              </w:rPr>
            </w:pPr>
          </w:p>
        </w:tc>
        <w:tc>
          <w:tcPr>
            <w:tcW w:w="1605" w:type="dxa"/>
            <w:tcBorders>
              <w:tl2br w:val="nil"/>
              <w:tr2bl w:val="nil"/>
            </w:tcBorders>
            <w:vAlign w:val="center"/>
          </w:tcPr>
          <w:p w14:paraId="169E66C9">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现状调查方法</w:t>
            </w:r>
          </w:p>
        </w:tc>
        <w:tc>
          <w:tcPr>
            <w:tcW w:w="6425" w:type="dxa"/>
            <w:gridSpan w:val="11"/>
            <w:tcBorders>
              <w:tl2br w:val="nil"/>
              <w:tr2bl w:val="nil"/>
            </w:tcBorders>
            <w:vAlign w:val="center"/>
          </w:tcPr>
          <w:p w14:paraId="7B6FDF67">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现场实测法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现场实测加模型计算法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收集资料</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62D23C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6E771B08">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zh-CN" w:bidi="zh-CN"/>
                <w14:textFill>
                  <w14:solidFill>
                    <w14:schemeClr w14:val="tx1"/>
                  </w14:solidFill>
                </w14:textFill>
              </w:rPr>
            </w:pPr>
          </w:p>
        </w:tc>
        <w:tc>
          <w:tcPr>
            <w:tcW w:w="1605" w:type="dxa"/>
            <w:tcBorders>
              <w:tl2br w:val="nil"/>
              <w:tr2bl w:val="nil"/>
            </w:tcBorders>
            <w:vAlign w:val="center"/>
          </w:tcPr>
          <w:p w14:paraId="6850BD5F">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现状评价</w:t>
            </w:r>
          </w:p>
        </w:tc>
        <w:tc>
          <w:tcPr>
            <w:tcW w:w="1709" w:type="dxa"/>
            <w:gridSpan w:val="3"/>
            <w:tcBorders>
              <w:tl2br w:val="nil"/>
              <w:tr2bl w:val="nil"/>
            </w:tcBorders>
            <w:vAlign w:val="center"/>
          </w:tcPr>
          <w:p w14:paraId="6F4A8851">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达标百分比</w:t>
            </w:r>
          </w:p>
        </w:tc>
        <w:tc>
          <w:tcPr>
            <w:tcW w:w="4716" w:type="dxa"/>
            <w:gridSpan w:val="8"/>
            <w:tcBorders>
              <w:tl2br w:val="nil"/>
              <w:tr2bl w:val="nil"/>
            </w:tcBorders>
            <w:vAlign w:val="center"/>
          </w:tcPr>
          <w:p w14:paraId="17653055">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zh-CN"/>
                <w14:textFill>
                  <w14:solidFill>
                    <w14:schemeClr w14:val="tx1"/>
                  </w14:solidFill>
                </w14:textFill>
              </w:rPr>
              <w:t>100%</w:t>
            </w:r>
          </w:p>
        </w:tc>
      </w:tr>
      <w:tr w14:paraId="0FD96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tcBorders>
              <w:tl2br w:val="nil"/>
              <w:tr2bl w:val="nil"/>
            </w:tcBorders>
            <w:vAlign w:val="center"/>
          </w:tcPr>
          <w:p w14:paraId="1D595B23">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噪声源调查</w:t>
            </w:r>
          </w:p>
        </w:tc>
        <w:tc>
          <w:tcPr>
            <w:tcW w:w="1605" w:type="dxa"/>
            <w:tcBorders>
              <w:tl2br w:val="nil"/>
              <w:tr2bl w:val="nil"/>
            </w:tcBorders>
            <w:vAlign w:val="center"/>
          </w:tcPr>
          <w:p w14:paraId="3CE23FCB">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噪声源调查方法</w:t>
            </w:r>
          </w:p>
        </w:tc>
        <w:tc>
          <w:tcPr>
            <w:tcW w:w="6425" w:type="dxa"/>
            <w:gridSpan w:val="11"/>
            <w:tcBorders>
              <w:tl2br w:val="nil"/>
              <w:tr2bl w:val="nil"/>
            </w:tcBorders>
            <w:vAlign w:val="center"/>
          </w:tcPr>
          <w:p w14:paraId="3CD9DB37">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现场实测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已有资料</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研究成果</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099ED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restart"/>
            <w:tcBorders>
              <w:tl2br w:val="nil"/>
              <w:tr2bl w:val="nil"/>
            </w:tcBorders>
            <w:vAlign w:val="center"/>
          </w:tcPr>
          <w:p w14:paraId="0F3C1CB6">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声环境影响预测与评价</w:t>
            </w:r>
          </w:p>
        </w:tc>
        <w:tc>
          <w:tcPr>
            <w:tcW w:w="1605" w:type="dxa"/>
            <w:tcBorders>
              <w:tl2br w:val="nil"/>
              <w:tr2bl w:val="nil"/>
            </w:tcBorders>
            <w:vAlign w:val="center"/>
          </w:tcPr>
          <w:p w14:paraId="791BE9F2">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预测模型</w:t>
            </w:r>
          </w:p>
        </w:tc>
        <w:tc>
          <w:tcPr>
            <w:tcW w:w="3580" w:type="dxa"/>
            <w:gridSpan w:val="6"/>
            <w:tcBorders>
              <w:tl2br w:val="nil"/>
              <w:tr2bl w:val="nil"/>
            </w:tcBorders>
            <w:vAlign w:val="center"/>
          </w:tcPr>
          <w:p w14:paraId="27D35995">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导则推荐模型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845" w:type="dxa"/>
            <w:gridSpan w:val="5"/>
            <w:tcBorders>
              <w:tl2br w:val="nil"/>
              <w:tr2bl w:val="nil"/>
            </w:tcBorders>
            <w:vAlign w:val="center"/>
          </w:tcPr>
          <w:p w14:paraId="0807C75C">
            <w:pPr>
              <w:keepNext w:val="0"/>
              <w:keepLines w:val="0"/>
              <w:pageBreakBefore w:val="0"/>
              <w:widowControl w:val="0"/>
              <w:tabs>
                <w:tab w:val="left" w:pos="1633"/>
              </w:tabs>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其他</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75097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3C88531B">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en-US" w:bidi="zh-CN"/>
                <w14:textFill>
                  <w14:solidFill>
                    <w14:schemeClr w14:val="tx1"/>
                  </w14:solidFill>
                </w14:textFill>
              </w:rPr>
            </w:pPr>
          </w:p>
        </w:tc>
        <w:tc>
          <w:tcPr>
            <w:tcW w:w="1605" w:type="dxa"/>
            <w:tcBorders>
              <w:tl2br w:val="nil"/>
              <w:tr2bl w:val="nil"/>
            </w:tcBorders>
            <w:vAlign w:val="center"/>
          </w:tcPr>
          <w:p w14:paraId="6D43363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预测范围</w:t>
            </w:r>
          </w:p>
        </w:tc>
        <w:tc>
          <w:tcPr>
            <w:tcW w:w="6425" w:type="dxa"/>
            <w:gridSpan w:val="11"/>
            <w:tcBorders>
              <w:tl2br w:val="nil"/>
              <w:tr2bl w:val="nil"/>
            </w:tcBorders>
            <w:vAlign w:val="center"/>
          </w:tcPr>
          <w:p w14:paraId="49FD6EA6">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200m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大于200m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小于200m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1D121B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45CA6B8A">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zh-CN" w:bidi="zh-CN"/>
                <w14:textFill>
                  <w14:solidFill>
                    <w14:schemeClr w14:val="tx1"/>
                  </w14:solidFill>
                </w14:textFill>
              </w:rPr>
            </w:pPr>
          </w:p>
        </w:tc>
        <w:tc>
          <w:tcPr>
            <w:tcW w:w="1605" w:type="dxa"/>
            <w:tcBorders>
              <w:tl2br w:val="nil"/>
              <w:tr2bl w:val="nil"/>
            </w:tcBorders>
            <w:vAlign w:val="center"/>
          </w:tcPr>
          <w:p w14:paraId="3FFFCE1F">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预测因子</w:t>
            </w:r>
          </w:p>
        </w:tc>
        <w:tc>
          <w:tcPr>
            <w:tcW w:w="1709" w:type="dxa"/>
            <w:gridSpan w:val="3"/>
            <w:tcBorders>
              <w:tl2br w:val="nil"/>
              <w:tr2bl w:val="nil"/>
            </w:tcBorders>
            <w:vAlign w:val="center"/>
          </w:tcPr>
          <w:p w14:paraId="791B6459">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等效连续A声级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871" w:type="dxa"/>
            <w:gridSpan w:val="3"/>
            <w:tcBorders>
              <w:tl2br w:val="nil"/>
              <w:tr2bl w:val="nil"/>
            </w:tcBorders>
            <w:vAlign w:val="center"/>
          </w:tcPr>
          <w:p w14:paraId="266B5200">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最大A声级</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2845" w:type="dxa"/>
            <w:gridSpan w:val="5"/>
            <w:tcBorders>
              <w:tl2br w:val="nil"/>
              <w:tr2bl w:val="nil"/>
            </w:tcBorders>
            <w:vAlign w:val="center"/>
          </w:tcPr>
          <w:p w14:paraId="797A0C3C">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计权等效连续感觉噪声级</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1FB40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53C97D63">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zh-CN" w:bidi="zh-CN"/>
                <w14:textFill>
                  <w14:solidFill>
                    <w14:schemeClr w14:val="tx1"/>
                  </w14:solidFill>
                </w14:textFill>
              </w:rPr>
            </w:pPr>
          </w:p>
        </w:tc>
        <w:tc>
          <w:tcPr>
            <w:tcW w:w="1605" w:type="dxa"/>
            <w:tcBorders>
              <w:tl2br w:val="nil"/>
              <w:tr2bl w:val="nil"/>
            </w:tcBorders>
            <w:vAlign w:val="center"/>
          </w:tcPr>
          <w:p w14:paraId="7E12FEFC">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厂界噪声贡献值</w:t>
            </w:r>
          </w:p>
        </w:tc>
        <w:tc>
          <w:tcPr>
            <w:tcW w:w="6425" w:type="dxa"/>
            <w:gridSpan w:val="11"/>
            <w:tcBorders>
              <w:tl2br w:val="nil"/>
              <w:tr2bl w:val="nil"/>
            </w:tcBorders>
            <w:vAlign w:val="center"/>
          </w:tcPr>
          <w:p w14:paraId="1A377354">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达标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不达标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5E1A2A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67692384">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en-US" w:bidi="zh-CN"/>
                <w14:textFill>
                  <w14:solidFill>
                    <w14:schemeClr w14:val="tx1"/>
                  </w14:solidFill>
                </w14:textFill>
              </w:rPr>
            </w:pPr>
          </w:p>
        </w:tc>
        <w:tc>
          <w:tcPr>
            <w:tcW w:w="1605" w:type="dxa"/>
            <w:tcBorders>
              <w:tl2br w:val="nil"/>
              <w:tr2bl w:val="nil"/>
            </w:tcBorders>
            <w:vAlign w:val="center"/>
          </w:tcPr>
          <w:p w14:paraId="2656ACF4">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声环境保护目标处噪声值</w:t>
            </w:r>
          </w:p>
        </w:tc>
        <w:tc>
          <w:tcPr>
            <w:tcW w:w="6425" w:type="dxa"/>
            <w:gridSpan w:val="11"/>
            <w:tcBorders>
              <w:tl2br w:val="nil"/>
              <w:tr2bl w:val="nil"/>
            </w:tcBorders>
            <w:vAlign w:val="center"/>
          </w:tcPr>
          <w:p w14:paraId="0DBA8742">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达标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不达标</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4D072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restart"/>
            <w:tcBorders>
              <w:tl2br w:val="nil"/>
              <w:tr2bl w:val="nil"/>
            </w:tcBorders>
            <w:vAlign w:val="center"/>
          </w:tcPr>
          <w:p w14:paraId="5F5FC2BE">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环境监测计划</w:t>
            </w:r>
          </w:p>
        </w:tc>
        <w:tc>
          <w:tcPr>
            <w:tcW w:w="1605" w:type="dxa"/>
            <w:tcBorders>
              <w:tl2br w:val="nil"/>
              <w:tr2bl w:val="nil"/>
            </w:tcBorders>
            <w:vAlign w:val="center"/>
          </w:tcPr>
          <w:p w14:paraId="0EB4196D">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排放监测</w:t>
            </w:r>
          </w:p>
        </w:tc>
        <w:tc>
          <w:tcPr>
            <w:tcW w:w="6425" w:type="dxa"/>
            <w:gridSpan w:val="11"/>
            <w:tcBorders>
              <w:tl2br w:val="nil"/>
              <w:tr2bl w:val="nil"/>
            </w:tcBorders>
          </w:tcPr>
          <w:p w14:paraId="40F83B2E">
            <w:pPr>
              <w:keepNext w:val="0"/>
              <w:keepLines w:val="0"/>
              <w:pageBreakBefore w:val="0"/>
              <w:widowControl w:val="0"/>
              <w:tabs>
                <w:tab w:val="left" w:pos="1621"/>
              </w:tabs>
              <w:kinsoku/>
              <w:wordWrap/>
              <w:overflowPunct/>
              <w:topLinePunct w:val="0"/>
              <w:bidi w:val="0"/>
              <w:adjustRightInd/>
              <w:snapToGrid/>
              <w:spacing w:after="0" w:line="240" w:lineRule="auto"/>
              <w:ind w:left="0" w:right="0" w:firstLine="0" w:firstLineChars="0"/>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厂界监测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固定位置监</w:t>
            </w:r>
            <w:r>
              <w:rPr>
                <w:rFonts w:hint="default" w:ascii="Times New Roman" w:hAnsi="Times New Roman" w:eastAsia="宋体" w:cs="Times New Roman"/>
                <w:color w:val="000000" w:themeColor="text1"/>
                <w:spacing w:val="-3"/>
                <w:sz w:val="21"/>
                <w:szCs w:val="21"/>
                <w:highlight w:val="none"/>
                <w:lang w:val="en-US" w:eastAsia="zh-CN" w:bidi="ar-SA"/>
                <w14:textFill>
                  <w14:solidFill>
                    <w14:schemeClr w14:val="tx1"/>
                  </w14:solidFill>
                </w14:textFill>
              </w:rPr>
              <w:t>测</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自动监测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手动监测</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无监测</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6D1B15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vMerge w:val="continue"/>
            <w:tcBorders>
              <w:tl2br w:val="nil"/>
              <w:tr2bl w:val="nil"/>
            </w:tcBorders>
            <w:vAlign w:val="center"/>
          </w:tcPr>
          <w:p w14:paraId="055B55CE">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zh-CN" w:eastAsia="zh-CN" w:bidi="zh-CN"/>
                <w14:textFill>
                  <w14:solidFill>
                    <w14:schemeClr w14:val="tx1"/>
                  </w14:solidFill>
                </w14:textFill>
              </w:rPr>
            </w:pPr>
          </w:p>
        </w:tc>
        <w:tc>
          <w:tcPr>
            <w:tcW w:w="1605" w:type="dxa"/>
            <w:tcBorders>
              <w:tl2br w:val="nil"/>
              <w:tr2bl w:val="nil"/>
            </w:tcBorders>
            <w:vAlign w:val="center"/>
          </w:tcPr>
          <w:p w14:paraId="5C0B68DC">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声环境保护目标处噪声监测</w:t>
            </w:r>
          </w:p>
        </w:tc>
        <w:tc>
          <w:tcPr>
            <w:tcW w:w="2939" w:type="dxa"/>
            <w:gridSpan w:val="5"/>
            <w:tcBorders>
              <w:tl2br w:val="nil"/>
              <w:tr2bl w:val="nil"/>
            </w:tcBorders>
            <w:vAlign w:val="center"/>
          </w:tcPr>
          <w:p w14:paraId="6C8B2B96">
            <w:pPr>
              <w:keepNext w:val="0"/>
              <w:keepLines w:val="0"/>
              <w:pageBreakBefore w:val="0"/>
              <w:widowControl w:val="0"/>
              <w:tabs>
                <w:tab w:val="left" w:pos="2252"/>
              </w:tabs>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监测因子</w:t>
            </w:r>
            <w:r>
              <w:rPr>
                <w:rFonts w:hint="default" w:ascii="Times New Roman" w:hAnsi="Times New Roman" w:eastAsia="宋体" w:cs="Times New Roman"/>
                <w:color w:val="000000" w:themeColor="text1"/>
                <w:spacing w:val="-92"/>
                <w:sz w:val="21"/>
                <w:szCs w:val="21"/>
                <w:highlight w:val="none"/>
                <w:lang w:val="en-US" w:eastAsia="en-US"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w:t>
            </w:r>
          </w:p>
        </w:tc>
        <w:tc>
          <w:tcPr>
            <w:tcW w:w="2059" w:type="dxa"/>
            <w:gridSpan w:val="4"/>
            <w:tcBorders>
              <w:tl2br w:val="nil"/>
              <w:tr2bl w:val="nil"/>
            </w:tcBorders>
            <w:vAlign w:val="center"/>
          </w:tcPr>
          <w:p w14:paraId="71F01C16">
            <w:pPr>
              <w:keepNext w:val="0"/>
              <w:keepLines w:val="0"/>
              <w:pageBreakBefore w:val="0"/>
              <w:widowControl w:val="0"/>
              <w:tabs>
                <w:tab w:val="left" w:pos="1735"/>
              </w:tabs>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监测点位数（）</w:t>
            </w:r>
          </w:p>
        </w:tc>
        <w:tc>
          <w:tcPr>
            <w:tcW w:w="1427" w:type="dxa"/>
            <w:gridSpan w:val="2"/>
            <w:tcBorders>
              <w:tl2br w:val="nil"/>
              <w:tr2bl w:val="nil"/>
            </w:tcBorders>
            <w:vAlign w:val="center"/>
          </w:tcPr>
          <w:p w14:paraId="3C9370CF">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无监测</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6EC05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70" w:type="dxa"/>
            <w:tcBorders>
              <w:tl2br w:val="nil"/>
              <w:tr2bl w:val="nil"/>
            </w:tcBorders>
          </w:tcPr>
          <w:p w14:paraId="4AA9A65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评价结论</w:t>
            </w:r>
          </w:p>
        </w:tc>
        <w:tc>
          <w:tcPr>
            <w:tcW w:w="1605" w:type="dxa"/>
            <w:tcBorders>
              <w:tl2br w:val="nil"/>
              <w:tr2bl w:val="nil"/>
            </w:tcBorders>
          </w:tcPr>
          <w:p w14:paraId="08EAE77A">
            <w:pPr>
              <w:keepNext w:val="0"/>
              <w:keepLines w:val="0"/>
              <w:pageBreakBefore w:val="0"/>
              <w:widowControl w:val="0"/>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环境影响</w:t>
            </w:r>
          </w:p>
        </w:tc>
        <w:tc>
          <w:tcPr>
            <w:tcW w:w="6425" w:type="dxa"/>
            <w:gridSpan w:val="11"/>
            <w:tcBorders>
              <w:tl2br w:val="nil"/>
              <w:tr2bl w:val="nil"/>
            </w:tcBorders>
          </w:tcPr>
          <w:p w14:paraId="42291278">
            <w:pPr>
              <w:keepNext w:val="0"/>
              <w:keepLines w:val="0"/>
              <w:pageBreakBefore w:val="0"/>
              <w:widowControl w:val="0"/>
              <w:tabs>
                <w:tab w:val="left" w:pos="1202"/>
              </w:tabs>
              <w:kinsoku/>
              <w:wordWrap/>
              <w:overflowPunct/>
              <w:topLinePunct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可行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ab/>
            </w:r>
            <w:r>
              <w:rPr>
                <w:rFonts w:hint="default" w:ascii="Times New Roman" w:hAnsi="Times New Roman" w:eastAsia="宋体" w:cs="Times New Roman"/>
                <w:color w:val="000000" w:themeColor="text1"/>
                <w:sz w:val="21"/>
                <w:szCs w:val="21"/>
                <w:highlight w:val="none"/>
                <w:lang w:val="en-US" w:eastAsia="en-US" w:bidi="ar-SA"/>
                <w14:textFill>
                  <w14:solidFill>
                    <w14:schemeClr w14:val="tx1"/>
                  </w14:solidFill>
                </w14:textFill>
              </w:rPr>
              <w:t>不可行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3F3EB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100" w:type="dxa"/>
            <w:gridSpan w:val="13"/>
            <w:tcBorders>
              <w:tl2br w:val="nil"/>
              <w:tr2bl w:val="nil"/>
            </w:tcBorders>
          </w:tcPr>
          <w:p w14:paraId="22560EF8">
            <w:pPr>
              <w:keepNext w:val="0"/>
              <w:keepLines w:val="0"/>
              <w:pageBreakBefore w:val="0"/>
              <w:widowControl w:val="0"/>
              <w:tabs>
                <w:tab w:val="left" w:pos="2985"/>
              </w:tabs>
              <w:kinsoku/>
              <w:wordWrap/>
              <w:overflowPunct/>
              <w:topLinePunct w:val="0"/>
              <w:bidi w:val="0"/>
              <w:adjustRightInd/>
              <w:snapToGrid/>
              <w:spacing w:after="0" w:line="240" w:lineRule="auto"/>
              <w:ind w:left="0" w:right="0" w:firstLine="0" w:firstLineChars="0"/>
              <w:textAlignment w:val="auto"/>
              <w:rPr>
                <w:rFonts w:hint="default" w:ascii="Times New Roman" w:hAnsi="Times New Roman" w:eastAsia="宋体" w:cs="Times New Roman"/>
                <w:color w:val="000000" w:themeColor="text1"/>
                <w:sz w:val="21"/>
                <w:szCs w:val="21"/>
                <w:highlight w:val="none"/>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注“</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”为勾选项，可√；</w:t>
            </w:r>
            <w:r>
              <w:rPr>
                <w:rFonts w:hint="default" w:ascii="Times New Roman" w:hAnsi="Times New Roman" w:eastAsia="宋体" w:cs="Times New Roman"/>
                <w:color w:val="000000" w:themeColor="text1"/>
                <w:spacing w:val="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为内容填写项。</w:t>
            </w:r>
          </w:p>
        </w:tc>
      </w:tr>
    </w:tbl>
    <w:p w14:paraId="4443DDF5">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p>
    <w:p w14:paraId="2F176A0F">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p>
    <w:p w14:paraId="4082F9A4">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p>
    <w:p w14:paraId="5DEC81D4">
      <w:pPr>
        <w:keepNext w:val="0"/>
        <w:keepLines w:val="0"/>
        <w:pageBreakBefore w:val="0"/>
        <w:widowControl w:val="0"/>
        <w:kinsoku/>
        <w:wordWrap/>
        <w:overflowPunct/>
        <w:topLinePunct w:val="0"/>
        <w:autoSpaceDE/>
        <w:autoSpaceDN/>
        <w:bidi w:val="0"/>
        <w:adjustRightInd w:val="0"/>
        <w:snapToGrid w:val="0"/>
        <w:spacing w:after="200"/>
        <w:jc w:val="left"/>
        <w:textAlignment w:val="auto"/>
        <w:outlineLvl w:val="9"/>
        <w:rPr>
          <w:rFonts w:hint="default" w:ascii="Times New Roman" w:hAnsi="Times New Roman" w:eastAsia="微软雅黑" w:cs="Times New Roman"/>
          <w:color w:val="000000" w:themeColor="text1"/>
          <w:kern w:val="0"/>
          <w:sz w:val="22"/>
          <w:szCs w:val="22"/>
          <w:highlight w:val="none"/>
          <w:lang w:eastAsia="zh-CN"/>
          <w14:textFill>
            <w14:solidFill>
              <w14:schemeClr w14:val="tx1"/>
            </w14:solidFill>
          </w14:textFill>
        </w:rPr>
      </w:pPr>
    </w:p>
    <w:p w14:paraId="6C250317">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43FC88C9">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5EDF1115">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5F0E4C63">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7C824F75">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64102D6B">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079E133C">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17581E70">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0BEAFF3C">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13CBA969">
      <w:pPr>
        <w:keepNext w:val="0"/>
        <w:keepLines w:val="0"/>
        <w:pageBreakBefore w:val="0"/>
        <w:widowControl w:val="0"/>
        <w:kinsoku/>
        <w:wordWrap/>
        <w:overflowPunct/>
        <w:topLinePunct w:val="0"/>
        <w:autoSpaceDE/>
        <w:autoSpaceDN/>
        <w:bidi w:val="0"/>
        <w:adjustRightInd w:val="0"/>
        <w:snapToGrid w:val="0"/>
        <w:spacing w:after="0" w:line="360" w:lineRule="exact"/>
        <w:ind w:left="200" w:hanging="420" w:hangingChars="200"/>
        <w:contextualSpacing/>
        <w:jc w:val="center"/>
        <w:textAlignment w:val="auto"/>
        <w:outlineLvl w:val="9"/>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p>
    <w:p w14:paraId="07C7E312">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both"/>
        <w:textAlignment w:val="auto"/>
        <w:outlineLvl w:val="9"/>
        <w:rPr>
          <w:rFonts w:hint="default" w:ascii="Times New Roman" w:hAnsi="Times New Roman" w:eastAsia="宋体" w:cs="Times New Roman"/>
          <w:snapToGrid w:val="0"/>
          <w:color w:val="000000" w:themeColor="text1"/>
          <w:sz w:val="24"/>
          <w:szCs w:val="20"/>
          <w:highlight w:val="none"/>
          <w:lang w:val="en-US" w:eastAsia="zh-CN" w:bidi="ar-SA"/>
          <w14:textFill>
            <w14:solidFill>
              <w14:schemeClr w14:val="tx1"/>
            </w14:solidFill>
          </w14:textFill>
        </w:rPr>
      </w:pPr>
    </w:p>
    <w:p w14:paraId="7177AA91">
      <w:pPr>
        <w:pStyle w:val="16"/>
        <w:keepNext w:val="0"/>
        <w:keepLines w:val="0"/>
        <w:pageBreakBefore w:val="0"/>
        <w:widowControl w:val="0"/>
        <w:kinsoku/>
        <w:wordWrap/>
        <w:topLinePunct w:val="0"/>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54A13B20">
      <w:pPr>
        <w:pStyle w:val="34"/>
        <w:keepNext w:val="0"/>
        <w:keepLines w:val="0"/>
        <w:pageBreakBefore w:val="0"/>
        <w:widowControl w:val="0"/>
        <w:kinsoku/>
        <w:wordWrap/>
        <w:topLinePunct w:val="0"/>
        <w:bidi w:val="0"/>
        <w:ind w:left="0" w:leftChars="0" w:firstLine="0" w:firstLineChars="0"/>
        <w:outlineLvl w:val="9"/>
        <w:rPr>
          <w:rFonts w:hint="default" w:ascii="Times New Roman" w:hAnsi="Times New Roman" w:cs="Times New Roman"/>
          <w:color w:val="000000" w:themeColor="text1"/>
          <w:highlight w:val="none"/>
          <w:lang w:eastAsia="zh-CN"/>
          <w14:textFill>
            <w14:solidFill>
              <w14:schemeClr w14:val="tx1"/>
            </w14:solidFill>
          </w14:textFill>
        </w:rPr>
      </w:pPr>
    </w:p>
    <w:p w14:paraId="2EEA9877">
      <w:pPr>
        <w:pStyle w:val="34"/>
        <w:keepNext w:val="0"/>
        <w:keepLines w:val="0"/>
        <w:pageBreakBefore w:val="0"/>
        <w:widowControl w:val="0"/>
        <w:kinsoku/>
        <w:wordWrap/>
        <w:topLinePunct w:val="0"/>
        <w:bidi w:val="0"/>
        <w:ind w:left="0" w:leftChars="0" w:firstLine="0" w:firstLineChars="0"/>
        <w:outlineLvl w:val="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164" w:name="_Toc17233"/>
      <w:r>
        <w:rPr>
          <w:rFonts w:hint="default" w:ascii="Times New Roman" w:hAnsi="Times New Roman" w:cs="Times New Roman"/>
          <w:color w:val="000000" w:themeColor="text1"/>
          <w:highlight w:val="none"/>
          <w:lang w:eastAsia="zh-CN"/>
          <w14:textFill>
            <w14:solidFill>
              <w14:schemeClr w14:val="tx1"/>
            </w14:solidFill>
          </w14:textFill>
        </w:rPr>
        <w:t>附表</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土壤环境影响评价自查表</w:t>
      </w:r>
      <w:bookmarkEnd w:id="164"/>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737"/>
        <w:gridCol w:w="1653"/>
        <w:gridCol w:w="1433"/>
        <w:gridCol w:w="1193"/>
        <w:gridCol w:w="240"/>
        <w:gridCol w:w="1210"/>
        <w:gridCol w:w="1282"/>
      </w:tblGrid>
      <w:tr w14:paraId="25D2E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10" w:type="dxa"/>
            <w:gridSpan w:val="2"/>
            <w:tcBorders>
              <w:tl2br w:val="nil"/>
              <w:tr2bl w:val="nil"/>
            </w:tcBorders>
            <w:noWrap w:val="0"/>
            <w:vAlign w:val="center"/>
          </w:tcPr>
          <w:p w14:paraId="4574D37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工作内容</w:t>
            </w:r>
          </w:p>
        </w:tc>
        <w:tc>
          <w:tcPr>
            <w:tcW w:w="5729" w:type="dxa"/>
            <w:gridSpan w:val="5"/>
            <w:tcBorders>
              <w:tl2br w:val="nil"/>
              <w:tr2bl w:val="nil"/>
            </w:tcBorders>
            <w:noWrap w:val="0"/>
            <w:vAlign w:val="center"/>
          </w:tcPr>
          <w:p w14:paraId="04E691C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完成情况</w:t>
            </w:r>
          </w:p>
        </w:tc>
        <w:tc>
          <w:tcPr>
            <w:tcW w:w="1282" w:type="dxa"/>
            <w:tcBorders>
              <w:tl2br w:val="nil"/>
              <w:tr2bl w:val="nil"/>
            </w:tcBorders>
            <w:noWrap w:val="0"/>
            <w:vAlign w:val="center"/>
          </w:tcPr>
          <w:p w14:paraId="4F57779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备注</w:t>
            </w:r>
          </w:p>
        </w:tc>
      </w:tr>
      <w:tr w14:paraId="2AC9C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restart"/>
            <w:tcBorders>
              <w:tl2br w:val="nil"/>
              <w:tr2bl w:val="nil"/>
            </w:tcBorders>
            <w:noWrap w:val="0"/>
            <w:vAlign w:val="center"/>
          </w:tcPr>
          <w:p w14:paraId="5765175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影响识别</w:t>
            </w:r>
          </w:p>
        </w:tc>
        <w:tc>
          <w:tcPr>
            <w:tcW w:w="1737" w:type="dxa"/>
            <w:tcBorders>
              <w:tl2br w:val="nil"/>
              <w:tr2bl w:val="nil"/>
            </w:tcBorders>
            <w:noWrap w:val="0"/>
            <w:vAlign w:val="center"/>
          </w:tcPr>
          <w:p w14:paraId="58440432">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影响类型</w:t>
            </w:r>
          </w:p>
        </w:tc>
        <w:tc>
          <w:tcPr>
            <w:tcW w:w="5729" w:type="dxa"/>
            <w:gridSpan w:val="5"/>
            <w:tcBorders>
              <w:tl2br w:val="nil"/>
              <w:tr2bl w:val="nil"/>
            </w:tcBorders>
            <w:noWrap w:val="0"/>
            <w:vAlign w:val="center"/>
          </w:tcPr>
          <w:p w14:paraId="5A4F57FB">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污染影响型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；生态影响型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；两种兼有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346FE57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59EDD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74FD677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3736AD6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土地利用类型</w:t>
            </w:r>
          </w:p>
        </w:tc>
        <w:tc>
          <w:tcPr>
            <w:tcW w:w="5729" w:type="dxa"/>
            <w:gridSpan w:val="5"/>
            <w:tcBorders>
              <w:tl2br w:val="nil"/>
              <w:tr2bl w:val="nil"/>
            </w:tcBorders>
            <w:noWrap w:val="0"/>
            <w:vAlign w:val="center"/>
          </w:tcPr>
          <w:p w14:paraId="2B1B909A">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建设用地</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；农用地</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；未利用地</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3FAC348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土地利用现状图附图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4-7</w:t>
            </w:r>
          </w:p>
        </w:tc>
      </w:tr>
      <w:tr w14:paraId="547D0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07F60E4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0FE339F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占地规模</w:t>
            </w:r>
          </w:p>
        </w:tc>
        <w:tc>
          <w:tcPr>
            <w:tcW w:w="5729" w:type="dxa"/>
            <w:gridSpan w:val="5"/>
            <w:tcBorders>
              <w:tl2br w:val="nil"/>
              <w:tr2bl w:val="nil"/>
            </w:tcBorders>
            <w:noWrap w:val="0"/>
            <w:vAlign w:val="center"/>
          </w:tcPr>
          <w:p w14:paraId="5668BFC6">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1282" w:type="dxa"/>
            <w:tcBorders>
              <w:tl2br w:val="nil"/>
              <w:tr2bl w:val="nil"/>
            </w:tcBorders>
            <w:noWrap w:val="0"/>
            <w:vAlign w:val="center"/>
          </w:tcPr>
          <w:p w14:paraId="5FE459DC">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永久占地</w:t>
            </w:r>
          </w:p>
        </w:tc>
      </w:tr>
      <w:tr w14:paraId="61698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57DA32D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33F9DD0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敏感目标信息</w:t>
            </w:r>
          </w:p>
        </w:tc>
        <w:tc>
          <w:tcPr>
            <w:tcW w:w="5729" w:type="dxa"/>
            <w:gridSpan w:val="5"/>
            <w:tcBorders>
              <w:tl2br w:val="nil"/>
              <w:tr2bl w:val="nil"/>
            </w:tcBorders>
            <w:noWrap w:val="0"/>
            <w:vAlign w:val="center"/>
          </w:tcPr>
          <w:p w14:paraId="369C42E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敏感目标（）、方位（）、距离（）</w:t>
            </w:r>
          </w:p>
        </w:tc>
        <w:tc>
          <w:tcPr>
            <w:tcW w:w="1282" w:type="dxa"/>
            <w:tcBorders>
              <w:tl2br w:val="nil"/>
              <w:tr2bl w:val="nil"/>
            </w:tcBorders>
            <w:noWrap w:val="0"/>
            <w:vAlign w:val="center"/>
          </w:tcPr>
          <w:p w14:paraId="57E8BD0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见表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2.7-4</w:t>
            </w:r>
          </w:p>
        </w:tc>
      </w:tr>
      <w:tr w14:paraId="71856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1194B1B3">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645E318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影响途径</w:t>
            </w:r>
          </w:p>
        </w:tc>
        <w:tc>
          <w:tcPr>
            <w:tcW w:w="5729" w:type="dxa"/>
            <w:gridSpan w:val="5"/>
            <w:tcBorders>
              <w:tl2br w:val="nil"/>
              <w:tr2bl w:val="nil"/>
            </w:tcBorders>
            <w:noWrap w:val="0"/>
            <w:vAlign w:val="center"/>
          </w:tcPr>
          <w:p w14:paraId="189421F8">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大气沉降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；地表漫流</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；垂直入渗</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；地下水位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；其他</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71DDDF8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4759F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1EA9787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0BCF262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全部污染物</w:t>
            </w:r>
          </w:p>
        </w:tc>
        <w:tc>
          <w:tcPr>
            <w:tcW w:w="5729" w:type="dxa"/>
            <w:gridSpan w:val="5"/>
            <w:tcBorders>
              <w:tl2br w:val="nil"/>
              <w:tr2bl w:val="nil"/>
            </w:tcBorders>
            <w:noWrap w:val="0"/>
            <w:vAlign w:val="center"/>
          </w:tcPr>
          <w:p w14:paraId="5531D853">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82" w:type="dxa"/>
            <w:tcBorders>
              <w:tl2br w:val="nil"/>
              <w:tr2bl w:val="nil"/>
            </w:tcBorders>
            <w:noWrap w:val="0"/>
            <w:vAlign w:val="center"/>
          </w:tcPr>
          <w:p w14:paraId="11DA63B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0F51D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6B6FE86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71B1ADB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特征因子</w:t>
            </w:r>
          </w:p>
        </w:tc>
        <w:tc>
          <w:tcPr>
            <w:tcW w:w="5729" w:type="dxa"/>
            <w:gridSpan w:val="5"/>
            <w:tcBorders>
              <w:tl2br w:val="nil"/>
              <w:tr2bl w:val="nil"/>
            </w:tcBorders>
            <w:noWrap w:val="0"/>
            <w:vAlign w:val="center"/>
          </w:tcPr>
          <w:p w14:paraId="5A932B0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石油烃</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82" w:type="dxa"/>
            <w:tcBorders>
              <w:tl2br w:val="nil"/>
              <w:tr2bl w:val="nil"/>
            </w:tcBorders>
            <w:noWrap w:val="0"/>
            <w:vAlign w:val="center"/>
          </w:tcPr>
          <w:p w14:paraId="5942E59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112A5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7DE798B6">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0CA8313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所属土壤环境影响评价项目类别</w:t>
            </w:r>
          </w:p>
        </w:tc>
        <w:tc>
          <w:tcPr>
            <w:tcW w:w="5729" w:type="dxa"/>
            <w:gridSpan w:val="5"/>
            <w:tcBorders>
              <w:tl2br w:val="nil"/>
              <w:tr2bl w:val="nil"/>
            </w:tcBorders>
            <w:noWrap w:val="0"/>
            <w:vAlign w:val="center"/>
          </w:tcPr>
          <w:p w14:paraId="41A2BA59">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I类</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II类</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III类</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IV类</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7DC3F0D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5357B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14CD8E1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4F9523C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敏感程度</w:t>
            </w:r>
          </w:p>
        </w:tc>
        <w:tc>
          <w:tcPr>
            <w:tcW w:w="5729" w:type="dxa"/>
            <w:gridSpan w:val="5"/>
            <w:tcBorders>
              <w:tl2br w:val="nil"/>
              <w:tr2bl w:val="nil"/>
            </w:tcBorders>
            <w:noWrap w:val="0"/>
            <w:vAlign w:val="center"/>
          </w:tcPr>
          <w:p w14:paraId="28772F16">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敏感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；较敏感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；不敏感</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1CB5634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49A01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10" w:type="dxa"/>
            <w:gridSpan w:val="2"/>
            <w:tcBorders>
              <w:tl2br w:val="nil"/>
              <w:tr2bl w:val="nil"/>
            </w:tcBorders>
            <w:noWrap w:val="0"/>
            <w:vAlign w:val="center"/>
          </w:tcPr>
          <w:p w14:paraId="10B6058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评价工作等级</w:t>
            </w:r>
          </w:p>
        </w:tc>
        <w:tc>
          <w:tcPr>
            <w:tcW w:w="5729" w:type="dxa"/>
            <w:gridSpan w:val="5"/>
            <w:tcBorders>
              <w:tl2br w:val="nil"/>
              <w:tr2bl w:val="nil"/>
            </w:tcBorders>
            <w:noWrap w:val="0"/>
            <w:vAlign w:val="center"/>
          </w:tcPr>
          <w:p w14:paraId="3A261C00">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一级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；二级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；三级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6F4FD68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2EC37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restart"/>
            <w:tcBorders>
              <w:tl2br w:val="nil"/>
              <w:tr2bl w:val="nil"/>
            </w:tcBorders>
            <w:noWrap w:val="0"/>
            <w:vAlign w:val="center"/>
          </w:tcPr>
          <w:p w14:paraId="46DAACA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现状调查内容</w:t>
            </w:r>
          </w:p>
        </w:tc>
        <w:tc>
          <w:tcPr>
            <w:tcW w:w="1737" w:type="dxa"/>
            <w:tcBorders>
              <w:tl2br w:val="nil"/>
              <w:tr2bl w:val="nil"/>
            </w:tcBorders>
            <w:noWrap w:val="0"/>
            <w:vAlign w:val="center"/>
          </w:tcPr>
          <w:p w14:paraId="553AAC7C">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资料收集</w:t>
            </w:r>
          </w:p>
        </w:tc>
        <w:tc>
          <w:tcPr>
            <w:tcW w:w="5729" w:type="dxa"/>
            <w:gridSpan w:val="5"/>
            <w:tcBorders>
              <w:tl2br w:val="nil"/>
              <w:tr2bl w:val="nil"/>
            </w:tcBorders>
            <w:noWrap w:val="0"/>
            <w:vAlign w:val="center"/>
          </w:tcPr>
          <w:p w14:paraId="044942D2">
            <w:pPr>
              <w:keepNext w:val="0"/>
              <w:keepLines w:val="0"/>
              <w:pageBreakBefore w:val="0"/>
              <w:widowControl w:val="0"/>
              <w:kinsoku/>
              <w:wordWrap/>
              <w:overflowPunct/>
              <w:topLinePunct w:val="0"/>
              <w:autoSpaceDE/>
              <w:autoSpaceDN/>
              <w:bidi w:val="0"/>
              <w:spacing w:after="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tcBorders>
              <w:tl2br w:val="nil"/>
              <w:tr2bl w:val="nil"/>
            </w:tcBorders>
            <w:noWrap w:val="0"/>
            <w:vAlign w:val="center"/>
          </w:tcPr>
          <w:p w14:paraId="0A72985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1B366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36B903F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24BB131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理化特性</w:t>
            </w:r>
          </w:p>
        </w:tc>
        <w:tc>
          <w:tcPr>
            <w:tcW w:w="5729" w:type="dxa"/>
            <w:gridSpan w:val="5"/>
            <w:tcBorders>
              <w:tl2br w:val="nil"/>
              <w:tr2bl w:val="nil"/>
            </w:tcBorders>
            <w:noWrap w:val="0"/>
            <w:vAlign w:val="center"/>
          </w:tcPr>
          <w:p w14:paraId="223FEC7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82" w:type="dxa"/>
            <w:tcBorders>
              <w:tl2br w:val="nil"/>
              <w:tr2bl w:val="nil"/>
            </w:tcBorders>
            <w:noWrap w:val="0"/>
            <w:vAlign w:val="center"/>
          </w:tcPr>
          <w:p w14:paraId="4D95E402">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见表4.3-18</w:t>
            </w:r>
          </w:p>
        </w:tc>
      </w:tr>
      <w:tr w14:paraId="1CCFB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1561B10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restart"/>
            <w:tcBorders>
              <w:tl2br w:val="nil"/>
              <w:tr2bl w:val="nil"/>
            </w:tcBorders>
            <w:noWrap w:val="0"/>
            <w:vAlign w:val="center"/>
          </w:tcPr>
          <w:p w14:paraId="7F17CCF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现状监测点位</w:t>
            </w:r>
          </w:p>
        </w:tc>
        <w:tc>
          <w:tcPr>
            <w:tcW w:w="1653" w:type="dxa"/>
            <w:tcBorders>
              <w:tl2br w:val="nil"/>
              <w:tr2bl w:val="nil"/>
            </w:tcBorders>
            <w:noWrap w:val="0"/>
            <w:vAlign w:val="center"/>
          </w:tcPr>
          <w:p w14:paraId="7687D2BE">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433" w:type="dxa"/>
            <w:tcBorders>
              <w:tl2br w:val="nil"/>
              <w:tr2bl w:val="nil"/>
            </w:tcBorders>
            <w:noWrap w:val="0"/>
            <w:vAlign w:val="center"/>
          </w:tcPr>
          <w:p w14:paraId="0F3555F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占地范围内</w:t>
            </w:r>
          </w:p>
        </w:tc>
        <w:tc>
          <w:tcPr>
            <w:tcW w:w="1433" w:type="dxa"/>
            <w:gridSpan w:val="2"/>
            <w:tcBorders>
              <w:tl2br w:val="nil"/>
              <w:tr2bl w:val="nil"/>
            </w:tcBorders>
            <w:noWrap w:val="0"/>
            <w:vAlign w:val="center"/>
          </w:tcPr>
          <w:p w14:paraId="55F4BB06">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占地范围外</w:t>
            </w:r>
          </w:p>
        </w:tc>
        <w:tc>
          <w:tcPr>
            <w:tcW w:w="1210" w:type="dxa"/>
            <w:tcBorders>
              <w:tl2br w:val="nil"/>
              <w:tr2bl w:val="nil"/>
            </w:tcBorders>
            <w:noWrap w:val="0"/>
            <w:vAlign w:val="center"/>
          </w:tcPr>
          <w:p w14:paraId="75E87B6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深度</w:t>
            </w:r>
          </w:p>
        </w:tc>
        <w:tc>
          <w:tcPr>
            <w:tcW w:w="1282" w:type="dxa"/>
            <w:vMerge w:val="restart"/>
            <w:tcBorders>
              <w:tl2br w:val="nil"/>
              <w:tr2bl w:val="nil"/>
            </w:tcBorders>
            <w:noWrap w:val="0"/>
            <w:vAlign w:val="center"/>
          </w:tcPr>
          <w:p w14:paraId="0F9C558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见表4.3-20</w:t>
            </w:r>
          </w:p>
        </w:tc>
      </w:tr>
      <w:tr w14:paraId="2D91C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dxa"/>
            <w:vMerge w:val="continue"/>
            <w:tcBorders>
              <w:tl2br w:val="nil"/>
              <w:tr2bl w:val="nil"/>
            </w:tcBorders>
            <w:noWrap w:val="0"/>
            <w:vAlign w:val="center"/>
          </w:tcPr>
          <w:p w14:paraId="4D476CB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continue"/>
            <w:tcBorders>
              <w:tl2br w:val="nil"/>
              <w:tr2bl w:val="nil"/>
            </w:tcBorders>
            <w:noWrap w:val="0"/>
            <w:vAlign w:val="center"/>
          </w:tcPr>
          <w:p w14:paraId="4F32BAD6">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653" w:type="dxa"/>
            <w:tcBorders>
              <w:tl2br w:val="nil"/>
              <w:tr2bl w:val="nil"/>
            </w:tcBorders>
            <w:noWrap w:val="0"/>
            <w:vAlign w:val="center"/>
          </w:tcPr>
          <w:p w14:paraId="0E518122">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表层样点数</w:t>
            </w:r>
          </w:p>
        </w:tc>
        <w:tc>
          <w:tcPr>
            <w:tcW w:w="1433" w:type="dxa"/>
            <w:tcBorders>
              <w:tl2br w:val="nil"/>
              <w:tr2bl w:val="nil"/>
            </w:tcBorders>
            <w:noWrap w:val="0"/>
            <w:vAlign w:val="center"/>
          </w:tcPr>
          <w:p w14:paraId="5E1AAB9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433" w:type="dxa"/>
            <w:gridSpan w:val="2"/>
            <w:tcBorders>
              <w:tl2br w:val="nil"/>
              <w:tr2bl w:val="nil"/>
            </w:tcBorders>
            <w:noWrap w:val="0"/>
            <w:vAlign w:val="center"/>
          </w:tcPr>
          <w:p w14:paraId="1ADABEC3">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210" w:type="dxa"/>
            <w:tcBorders>
              <w:tl2br w:val="nil"/>
              <w:tr2bl w:val="nil"/>
            </w:tcBorders>
            <w:noWrap w:val="0"/>
            <w:vAlign w:val="center"/>
          </w:tcPr>
          <w:p w14:paraId="675C206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0-0.2m</w:t>
            </w:r>
          </w:p>
        </w:tc>
        <w:tc>
          <w:tcPr>
            <w:tcW w:w="1282" w:type="dxa"/>
            <w:vMerge w:val="continue"/>
            <w:tcBorders>
              <w:tl2br w:val="nil"/>
              <w:tr2bl w:val="nil"/>
            </w:tcBorders>
            <w:noWrap w:val="0"/>
            <w:vAlign w:val="center"/>
          </w:tcPr>
          <w:p w14:paraId="420E6BA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1502F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458233F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continue"/>
            <w:tcBorders>
              <w:tl2br w:val="nil"/>
              <w:tr2bl w:val="nil"/>
            </w:tcBorders>
            <w:noWrap w:val="0"/>
            <w:vAlign w:val="center"/>
          </w:tcPr>
          <w:p w14:paraId="073CFAB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653" w:type="dxa"/>
            <w:tcBorders>
              <w:tl2br w:val="nil"/>
              <w:tr2bl w:val="nil"/>
            </w:tcBorders>
            <w:noWrap w:val="0"/>
            <w:vAlign w:val="center"/>
          </w:tcPr>
          <w:p w14:paraId="54C9DA4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柱状样点数</w:t>
            </w:r>
          </w:p>
        </w:tc>
        <w:tc>
          <w:tcPr>
            <w:tcW w:w="1433" w:type="dxa"/>
            <w:tcBorders>
              <w:tl2br w:val="nil"/>
              <w:tr2bl w:val="nil"/>
            </w:tcBorders>
            <w:noWrap w:val="0"/>
            <w:vAlign w:val="center"/>
          </w:tcPr>
          <w:p w14:paraId="0BFD8D8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1433" w:type="dxa"/>
            <w:gridSpan w:val="2"/>
            <w:tcBorders>
              <w:tl2br w:val="nil"/>
              <w:tr2bl w:val="nil"/>
            </w:tcBorders>
            <w:noWrap w:val="0"/>
            <w:vAlign w:val="center"/>
          </w:tcPr>
          <w:p w14:paraId="5A1626F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p>
        </w:tc>
        <w:tc>
          <w:tcPr>
            <w:tcW w:w="1210" w:type="dxa"/>
            <w:tcBorders>
              <w:tl2br w:val="nil"/>
              <w:tr2bl w:val="nil"/>
            </w:tcBorders>
            <w:noWrap w:val="0"/>
            <w:vAlign w:val="center"/>
          </w:tcPr>
          <w:p w14:paraId="0D999D4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0-0.5m</w:t>
            </w:r>
          </w:p>
          <w:p w14:paraId="1ECEBCE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1.5m</w:t>
            </w:r>
          </w:p>
          <w:p w14:paraId="3AEA77C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3m</w:t>
            </w:r>
          </w:p>
        </w:tc>
        <w:tc>
          <w:tcPr>
            <w:tcW w:w="1282" w:type="dxa"/>
            <w:vMerge w:val="continue"/>
            <w:tcBorders>
              <w:tl2br w:val="nil"/>
              <w:tr2bl w:val="nil"/>
            </w:tcBorders>
            <w:noWrap w:val="0"/>
            <w:vAlign w:val="center"/>
          </w:tcPr>
          <w:p w14:paraId="77202A4E">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04CDE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2DFE062C">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37FF2B4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现状监测因子</w:t>
            </w:r>
          </w:p>
        </w:tc>
        <w:tc>
          <w:tcPr>
            <w:tcW w:w="5729" w:type="dxa"/>
            <w:gridSpan w:val="5"/>
            <w:tcBorders>
              <w:tl2br w:val="nil"/>
              <w:tr2bl w:val="nil"/>
            </w:tcBorders>
            <w:noWrap w:val="0"/>
            <w:vAlign w:val="center"/>
          </w:tcPr>
          <w:p w14:paraId="0A2A5C7A">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《土壤环境质量农用地土壤污染风险管控标准（试行）》（GB15618-2018）、《土壤环境质量建设用地土壤污染风险管控标准（试行）》（GB36600-2018）》中规定的基本因子以及石油烃</w:t>
            </w:r>
          </w:p>
        </w:tc>
        <w:tc>
          <w:tcPr>
            <w:tcW w:w="1282" w:type="dxa"/>
            <w:tcBorders>
              <w:tl2br w:val="nil"/>
              <w:tr2bl w:val="nil"/>
            </w:tcBorders>
            <w:noWrap w:val="0"/>
            <w:vAlign w:val="center"/>
          </w:tcPr>
          <w:p w14:paraId="40C05FCE">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7464C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restart"/>
            <w:tcBorders>
              <w:tl2br w:val="nil"/>
              <w:tr2bl w:val="nil"/>
            </w:tcBorders>
            <w:noWrap w:val="0"/>
            <w:vAlign w:val="center"/>
          </w:tcPr>
          <w:p w14:paraId="2376924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现状评价</w:t>
            </w:r>
          </w:p>
        </w:tc>
        <w:tc>
          <w:tcPr>
            <w:tcW w:w="1737" w:type="dxa"/>
            <w:tcBorders>
              <w:tl2br w:val="nil"/>
              <w:tr2bl w:val="nil"/>
            </w:tcBorders>
            <w:noWrap w:val="0"/>
            <w:vAlign w:val="center"/>
          </w:tcPr>
          <w:p w14:paraId="74A0066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评价因子</w:t>
            </w:r>
          </w:p>
        </w:tc>
        <w:tc>
          <w:tcPr>
            <w:tcW w:w="5729" w:type="dxa"/>
            <w:gridSpan w:val="5"/>
            <w:tcBorders>
              <w:tl2br w:val="nil"/>
              <w:tr2bl w:val="nil"/>
            </w:tcBorders>
            <w:noWrap w:val="0"/>
            <w:vAlign w:val="center"/>
          </w:tcPr>
          <w:p w14:paraId="0788A0FD">
            <w:pPr>
              <w:keepNext w:val="0"/>
              <w:keepLines w:val="0"/>
              <w:pageBreakBefore w:val="0"/>
              <w:widowControl w:val="0"/>
              <w:kinsoku/>
              <w:wordWrap/>
              <w:overflowPunct/>
              <w:topLinePunct w:val="0"/>
              <w:autoSpaceDE/>
              <w:autoSpaceDN/>
              <w:bidi w:val="0"/>
              <w:spacing w:after="0"/>
              <w:jc w:val="left"/>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《土壤环境质量农用地土壤污染风险管控标准（试行）》（GB15618-2018）、《土壤环境质量建设用地土壤污染风险管控标准（试行）》（GB36600-2018）》中规定的基本因子以及石油烃</w:t>
            </w:r>
          </w:p>
        </w:tc>
        <w:tc>
          <w:tcPr>
            <w:tcW w:w="1282" w:type="dxa"/>
            <w:tcBorders>
              <w:tl2br w:val="nil"/>
              <w:tr2bl w:val="nil"/>
            </w:tcBorders>
            <w:noWrap w:val="0"/>
            <w:vAlign w:val="center"/>
          </w:tcPr>
          <w:p w14:paraId="4C3079F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05767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44880B5C">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5D16877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评价标准</w:t>
            </w:r>
          </w:p>
        </w:tc>
        <w:tc>
          <w:tcPr>
            <w:tcW w:w="5729" w:type="dxa"/>
            <w:gridSpan w:val="5"/>
            <w:tcBorders>
              <w:tl2br w:val="nil"/>
              <w:tr2bl w:val="nil"/>
            </w:tcBorders>
            <w:noWrap w:val="0"/>
            <w:vAlign w:val="center"/>
          </w:tcPr>
          <w:p w14:paraId="1FBDA2E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GB15618</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GB36600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D.1</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D.2</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，其他（）</w:t>
            </w:r>
          </w:p>
        </w:tc>
        <w:tc>
          <w:tcPr>
            <w:tcW w:w="1282" w:type="dxa"/>
            <w:tcBorders>
              <w:tl2br w:val="nil"/>
              <w:tr2bl w:val="nil"/>
            </w:tcBorders>
            <w:noWrap w:val="0"/>
            <w:vAlign w:val="center"/>
          </w:tcPr>
          <w:p w14:paraId="4F70391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7223C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52FADF4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35069E0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现状评价结论</w:t>
            </w:r>
          </w:p>
        </w:tc>
        <w:tc>
          <w:tcPr>
            <w:tcW w:w="5729" w:type="dxa"/>
            <w:gridSpan w:val="5"/>
            <w:tcBorders>
              <w:tl2br w:val="nil"/>
              <w:tr2bl w:val="nil"/>
            </w:tcBorders>
            <w:noWrap w:val="0"/>
            <w:vAlign w:val="center"/>
          </w:tcPr>
          <w:p w14:paraId="3808C7F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农用地中各项污染物含量均满足《土壤环境质量农用地土壤污染风险管控标准（试行）》（GB15618-2018）中标准限值建设用地中各项污染物含量均满足《土壤环境质量建设用地土壤污染风险管控标准（试行）》（GB15618-2018）中第二类用地风险筛选值，项目建设区域及已开发区域的监测点位特征污染物石油烃相差不大。</w:t>
            </w:r>
          </w:p>
        </w:tc>
        <w:tc>
          <w:tcPr>
            <w:tcW w:w="1282" w:type="dxa"/>
            <w:tcBorders>
              <w:tl2br w:val="nil"/>
              <w:tr2bl w:val="nil"/>
            </w:tcBorders>
            <w:noWrap w:val="0"/>
            <w:vAlign w:val="center"/>
          </w:tcPr>
          <w:p w14:paraId="20A61EF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67198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restart"/>
            <w:tcBorders>
              <w:tl2br w:val="nil"/>
              <w:tr2bl w:val="nil"/>
            </w:tcBorders>
            <w:noWrap w:val="0"/>
            <w:vAlign w:val="center"/>
          </w:tcPr>
          <w:p w14:paraId="31A82B7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影响预测</w:t>
            </w:r>
          </w:p>
        </w:tc>
        <w:tc>
          <w:tcPr>
            <w:tcW w:w="1737" w:type="dxa"/>
            <w:tcBorders>
              <w:tl2br w:val="nil"/>
              <w:tr2bl w:val="nil"/>
            </w:tcBorders>
            <w:noWrap w:val="0"/>
            <w:vAlign w:val="center"/>
          </w:tcPr>
          <w:p w14:paraId="5A59FD1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预测因子</w:t>
            </w:r>
          </w:p>
        </w:tc>
        <w:tc>
          <w:tcPr>
            <w:tcW w:w="5729" w:type="dxa"/>
            <w:gridSpan w:val="5"/>
            <w:tcBorders>
              <w:tl2br w:val="nil"/>
              <w:tr2bl w:val="nil"/>
            </w:tcBorders>
            <w:noWrap w:val="0"/>
            <w:vAlign w:val="center"/>
          </w:tcPr>
          <w:p w14:paraId="733BA36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82" w:type="dxa"/>
            <w:tcBorders>
              <w:tl2br w:val="nil"/>
              <w:tr2bl w:val="nil"/>
            </w:tcBorders>
            <w:noWrap w:val="0"/>
            <w:vAlign w:val="center"/>
          </w:tcPr>
          <w:p w14:paraId="6230D5C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1E31C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2176860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67C3E35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预测方法</w:t>
            </w:r>
          </w:p>
        </w:tc>
        <w:tc>
          <w:tcPr>
            <w:tcW w:w="5729" w:type="dxa"/>
            <w:gridSpan w:val="5"/>
            <w:tcBorders>
              <w:tl2br w:val="nil"/>
              <w:tr2bl w:val="nil"/>
            </w:tcBorders>
            <w:noWrap w:val="0"/>
            <w:vAlign w:val="center"/>
          </w:tcPr>
          <w:p w14:paraId="7DE837E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附录</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E</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；附录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；其他（）</w:t>
            </w:r>
          </w:p>
        </w:tc>
        <w:tc>
          <w:tcPr>
            <w:tcW w:w="1282" w:type="dxa"/>
            <w:tcBorders>
              <w:tl2br w:val="nil"/>
              <w:tr2bl w:val="nil"/>
            </w:tcBorders>
            <w:noWrap w:val="0"/>
            <w:vAlign w:val="center"/>
          </w:tcPr>
          <w:p w14:paraId="2B00E20E">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7674E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67FD9522">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366BE2D2">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预测分析内容</w:t>
            </w:r>
          </w:p>
        </w:tc>
        <w:tc>
          <w:tcPr>
            <w:tcW w:w="5729" w:type="dxa"/>
            <w:gridSpan w:val="5"/>
            <w:tcBorders>
              <w:tl2br w:val="nil"/>
              <w:tr2bl w:val="nil"/>
            </w:tcBorders>
            <w:noWrap w:val="0"/>
            <w:vAlign w:val="center"/>
          </w:tcPr>
          <w:p w14:paraId="7FD36A84">
            <w:pPr>
              <w:keepNext w:val="0"/>
              <w:keepLines w:val="0"/>
              <w:pageBreakBefore w:val="0"/>
              <w:widowControl w:val="0"/>
              <w:kinsoku/>
              <w:wordWrap/>
              <w:overflowPunct/>
              <w:topLinePunct w:val="0"/>
              <w:autoSpaceDE/>
              <w:autoSpaceDN/>
              <w:bidi w:val="0"/>
              <w:spacing w:after="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影响范围（）</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影响程度（）</w:t>
            </w:r>
          </w:p>
        </w:tc>
        <w:tc>
          <w:tcPr>
            <w:tcW w:w="1282" w:type="dxa"/>
            <w:tcBorders>
              <w:tl2br w:val="nil"/>
              <w:tr2bl w:val="nil"/>
            </w:tcBorders>
            <w:noWrap w:val="0"/>
            <w:vAlign w:val="center"/>
          </w:tcPr>
          <w:p w14:paraId="100A1F6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33C69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473" w:type="dxa"/>
            <w:vMerge w:val="continue"/>
            <w:tcBorders>
              <w:tl2br w:val="nil"/>
              <w:tr2bl w:val="nil"/>
            </w:tcBorders>
            <w:noWrap w:val="0"/>
            <w:vAlign w:val="center"/>
          </w:tcPr>
          <w:p w14:paraId="782D69C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restart"/>
            <w:tcBorders>
              <w:tl2br w:val="nil"/>
              <w:tr2bl w:val="nil"/>
            </w:tcBorders>
            <w:noWrap w:val="0"/>
            <w:vAlign w:val="center"/>
          </w:tcPr>
          <w:p w14:paraId="766AEC6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预测结论</w:t>
            </w:r>
          </w:p>
        </w:tc>
        <w:tc>
          <w:tcPr>
            <w:tcW w:w="5729" w:type="dxa"/>
            <w:gridSpan w:val="5"/>
            <w:tcBorders>
              <w:tl2br w:val="nil"/>
              <w:tr2bl w:val="nil"/>
            </w:tcBorders>
            <w:noWrap w:val="0"/>
            <w:vAlign w:val="center"/>
          </w:tcPr>
          <w:p w14:paraId="3773C5B0">
            <w:pPr>
              <w:keepNext w:val="0"/>
              <w:keepLines w:val="0"/>
              <w:pageBreakBefore w:val="0"/>
              <w:widowControl w:val="0"/>
              <w:kinsoku/>
              <w:wordWrap/>
              <w:overflowPunct/>
              <w:topLinePunct w:val="0"/>
              <w:autoSpaceDE/>
              <w:autoSpaceDN/>
              <w:bidi w:val="0"/>
              <w:spacing w:after="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达标结论：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b</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82" w:type="dxa"/>
            <w:vMerge w:val="restart"/>
            <w:tcBorders>
              <w:tl2br w:val="nil"/>
              <w:tr2bl w:val="nil"/>
            </w:tcBorders>
            <w:noWrap w:val="0"/>
            <w:vAlign w:val="center"/>
          </w:tcPr>
          <w:p w14:paraId="570B3D03">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26183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73" w:type="dxa"/>
            <w:vMerge w:val="continue"/>
            <w:tcBorders>
              <w:tl2br w:val="nil"/>
              <w:tr2bl w:val="nil"/>
            </w:tcBorders>
            <w:noWrap w:val="0"/>
            <w:vAlign w:val="center"/>
          </w:tcPr>
          <w:p w14:paraId="7EDF34C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continue"/>
            <w:tcBorders>
              <w:tl2br w:val="nil"/>
              <w:tr2bl w:val="nil"/>
            </w:tcBorders>
            <w:noWrap w:val="0"/>
            <w:vAlign w:val="center"/>
          </w:tcPr>
          <w:p w14:paraId="0B8805E3">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5729" w:type="dxa"/>
            <w:gridSpan w:val="5"/>
            <w:tcBorders>
              <w:tl2br w:val="nil"/>
              <w:tr2bl w:val="nil"/>
            </w:tcBorders>
            <w:noWrap w:val="0"/>
            <w:vAlign w:val="center"/>
          </w:tcPr>
          <w:p w14:paraId="4385660B">
            <w:pPr>
              <w:keepNext w:val="0"/>
              <w:keepLines w:val="0"/>
              <w:pageBreakBefore w:val="0"/>
              <w:widowControl w:val="0"/>
              <w:kinsoku/>
              <w:wordWrap/>
              <w:overflowPunct/>
              <w:topLinePunct w:val="0"/>
              <w:autoSpaceDE/>
              <w:autoSpaceDN/>
              <w:bidi w:val="0"/>
              <w:spacing w:after="0"/>
              <w:jc w:val="both"/>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不达标结论：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b</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82" w:type="dxa"/>
            <w:vMerge w:val="continue"/>
            <w:tcBorders>
              <w:tl2br w:val="nil"/>
              <w:tr2bl w:val="nil"/>
            </w:tcBorders>
            <w:noWrap w:val="0"/>
            <w:vAlign w:val="center"/>
          </w:tcPr>
          <w:p w14:paraId="51DAAD3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3D0BB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restart"/>
            <w:tcBorders>
              <w:tl2br w:val="nil"/>
              <w:tr2bl w:val="nil"/>
            </w:tcBorders>
            <w:noWrap w:val="0"/>
            <w:vAlign w:val="center"/>
          </w:tcPr>
          <w:p w14:paraId="3B8FD36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防治措施</w:t>
            </w:r>
          </w:p>
        </w:tc>
        <w:tc>
          <w:tcPr>
            <w:tcW w:w="1737" w:type="dxa"/>
            <w:tcBorders>
              <w:tl2br w:val="nil"/>
              <w:tr2bl w:val="nil"/>
            </w:tcBorders>
            <w:noWrap w:val="0"/>
            <w:vAlign w:val="center"/>
          </w:tcPr>
          <w:p w14:paraId="068AD916">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防控措施</w:t>
            </w:r>
          </w:p>
        </w:tc>
        <w:tc>
          <w:tcPr>
            <w:tcW w:w="5729" w:type="dxa"/>
            <w:gridSpan w:val="5"/>
            <w:tcBorders>
              <w:tl2br w:val="nil"/>
              <w:tr2bl w:val="nil"/>
            </w:tcBorders>
            <w:noWrap w:val="0"/>
            <w:vAlign w:val="center"/>
          </w:tcPr>
          <w:p w14:paraId="4328A8A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土壤环境质量现状保障</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；源头控制</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；过程防控</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；其他（）</w:t>
            </w:r>
          </w:p>
        </w:tc>
        <w:tc>
          <w:tcPr>
            <w:tcW w:w="1282" w:type="dxa"/>
            <w:tcBorders>
              <w:tl2br w:val="nil"/>
              <w:tr2bl w:val="nil"/>
            </w:tcBorders>
            <w:noWrap w:val="0"/>
            <w:vAlign w:val="center"/>
          </w:tcPr>
          <w:p w14:paraId="5AEA849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5DFE0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5E8591B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restart"/>
            <w:tcBorders>
              <w:tl2br w:val="nil"/>
              <w:tr2bl w:val="nil"/>
            </w:tcBorders>
            <w:noWrap w:val="0"/>
            <w:vAlign w:val="center"/>
          </w:tcPr>
          <w:p w14:paraId="0425A5A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跟踪监测</w:t>
            </w:r>
          </w:p>
        </w:tc>
        <w:tc>
          <w:tcPr>
            <w:tcW w:w="1653" w:type="dxa"/>
            <w:tcBorders>
              <w:tl2br w:val="nil"/>
              <w:tr2bl w:val="nil"/>
            </w:tcBorders>
            <w:noWrap w:val="0"/>
            <w:vAlign w:val="center"/>
          </w:tcPr>
          <w:p w14:paraId="0C1FC136">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监测点数</w:t>
            </w:r>
          </w:p>
        </w:tc>
        <w:tc>
          <w:tcPr>
            <w:tcW w:w="2626" w:type="dxa"/>
            <w:gridSpan w:val="2"/>
            <w:tcBorders>
              <w:tl2br w:val="nil"/>
              <w:tr2bl w:val="nil"/>
            </w:tcBorders>
            <w:noWrap w:val="0"/>
            <w:vAlign w:val="center"/>
          </w:tcPr>
          <w:p w14:paraId="69001F6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监测指标</w:t>
            </w:r>
          </w:p>
        </w:tc>
        <w:tc>
          <w:tcPr>
            <w:tcW w:w="1450" w:type="dxa"/>
            <w:gridSpan w:val="2"/>
            <w:tcBorders>
              <w:tl2br w:val="nil"/>
              <w:tr2bl w:val="nil"/>
            </w:tcBorders>
            <w:noWrap w:val="0"/>
            <w:vAlign w:val="center"/>
          </w:tcPr>
          <w:p w14:paraId="465A6D1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监测频次</w:t>
            </w:r>
          </w:p>
        </w:tc>
        <w:tc>
          <w:tcPr>
            <w:tcW w:w="1282" w:type="dxa"/>
            <w:tcBorders>
              <w:tl2br w:val="nil"/>
              <w:tr2bl w:val="nil"/>
            </w:tcBorders>
            <w:noWrap w:val="0"/>
            <w:vAlign w:val="center"/>
          </w:tcPr>
          <w:p w14:paraId="160E00C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7B81D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73" w:type="dxa"/>
            <w:vMerge w:val="continue"/>
            <w:tcBorders>
              <w:tl2br w:val="nil"/>
              <w:tr2bl w:val="nil"/>
            </w:tcBorders>
            <w:noWrap w:val="0"/>
            <w:vAlign w:val="center"/>
          </w:tcPr>
          <w:p w14:paraId="3ACAAF5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vMerge w:val="continue"/>
            <w:tcBorders>
              <w:tl2br w:val="nil"/>
              <w:tr2bl w:val="nil"/>
            </w:tcBorders>
            <w:noWrap w:val="0"/>
            <w:vAlign w:val="center"/>
          </w:tcPr>
          <w:p w14:paraId="52933EB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653" w:type="dxa"/>
            <w:tcBorders>
              <w:tl2br w:val="nil"/>
              <w:tr2bl w:val="nil"/>
            </w:tcBorders>
            <w:noWrap w:val="0"/>
            <w:vAlign w:val="center"/>
          </w:tcPr>
          <w:p w14:paraId="33D4189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2626" w:type="dxa"/>
            <w:gridSpan w:val="2"/>
            <w:tcBorders>
              <w:tl2br w:val="nil"/>
              <w:tr2bl w:val="nil"/>
            </w:tcBorders>
            <w:noWrap w:val="0"/>
            <w:vAlign w:val="center"/>
          </w:tcPr>
          <w:p w14:paraId="6DFD79B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石油类、石油烃（C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）、石油烃（C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）、砷</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、六价</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铬</w:t>
            </w:r>
          </w:p>
        </w:tc>
        <w:tc>
          <w:tcPr>
            <w:tcW w:w="1450" w:type="dxa"/>
            <w:gridSpan w:val="2"/>
            <w:tcBorders>
              <w:tl2br w:val="nil"/>
              <w:tr2bl w:val="nil"/>
            </w:tcBorders>
            <w:noWrap w:val="0"/>
            <w:vAlign w:val="center"/>
          </w:tcPr>
          <w:p w14:paraId="157ADB7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1次/</w:t>
            </w:r>
            <w:r>
              <w:rPr>
                <w:rFonts w:hint="eastAsia"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年</w:t>
            </w:r>
          </w:p>
        </w:tc>
        <w:tc>
          <w:tcPr>
            <w:tcW w:w="1282" w:type="dxa"/>
            <w:tcBorders>
              <w:tl2br w:val="nil"/>
              <w:tr2bl w:val="nil"/>
            </w:tcBorders>
            <w:noWrap w:val="0"/>
            <w:vAlign w:val="center"/>
          </w:tcPr>
          <w:p w14:paraId="155F3E0B">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097AC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vMerge w:val="continue"/>
            <w:tcBorders>
              <w:tl2br w:val="nil"/>
              <w:tr2bl w:val="nil"/>
            </w:tcBorders>
            <w:noWrap w:val="0"/>
            <w:vAlign w:val="center"/>
          </w:tcPr>
          <w:p w14:paraId="0E809A6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737" w:type="dxa"/>
            <w:tcBorders>
              <w:tl2br w:val="nil"/>
              <w:tr2bl w:val="nil"/>
            </w:tcBorders>
            <w:noWrap w:val="0"/>
            <w:vAlign w:val="center"/>
          </w:tcPr>
          <w:p w14:paraId="2476BDD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信息公开指标</w:t>
            </w:r>
          </w:p>
        </w:tc>
        <w:tc>
          <w:tcPr>
            <w:tcW w:w="5729" w:type="dxa"/>
            <w:gridSpan w:val="5"/>
            <w:tcBorders>
              <w:tl2br w:val="nil"/>
              <w:tr2bl w:val="nil"/>
            </w:tcBorders>
            <w:noWrap w:val="0"/>
            <w:vAlign w:val="center"/>
          </w:tcPr>
          <w:p w14:paraId="074E5D7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pH、石油烃（C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）、镉、汞、砷、铅、铬</w:t>
            </w:r>
          </w:p>
        </w:tc>
        <w:tc>
          <w:tcPr>
            <w:tcW w:w="1282" w:type="dxa"/>
            <w:tcBorders>
              <w:tl2br w:val="nil"/>
              <w:tr2bl w:val="nil"/>
            </w:tcBorders>
            <w:noWrap w:val="0"/>
            <w:vAlign w:val="center"/>
          </w:tcPr>
          <w:p w14:paraId="1039ED98">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6F0C5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10" w:type="dxa"/>
            <w:gridSpan w:val="2"/>
            <w:tcBorders>
              <w:tl2br w:val="nil"/>
              <w:tr2bl w:val="nil"/>
            </w:tcBorders>
            <w:noWrap w:val="0"/>
            <w:vAlign w:val="center"/>
          </w:tcPr>
          <w:p w14:paraId="612C034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评价结论</w:t>
            </w:r>
          </w:p>
        </w:tc>
        <w:tc>
          <w:tcPr>
            <w:tcW w:w="5729" w:type="dxa"/>
            <w:gridSpan w:val="5"/>
            <w:tcBorders>
              <w:tl2br w:val="nil"/>
              <w:tr2bl w:val="nil"/>
            </w:tcBorders>
            <w:noWrap w:val="0"/>
            <w:vAlign w:val="center"/>
          </w:tcPr>
          <w:p w14:paraId="3CCA4BF7">
            <w:pPr>
              <w:keepNext w:val="0"/>
              <w:keepLines w:val="0"/>
              <w:pageBreakBefore w:val="0"/>
              <w:widowControl w:val="0"/>
              <w:kinsoku/>
              <w:wordWrap/>
              <w:overflowPunct/>
              <w:topLinePunct w:val="0"/>
              <w:autoSpaceDE/>
              <w:autoSpaceDN/>
              <w:bidi w:val="0"/>
              <w:spacing w:after="0"/>
              <w:jc w:val="both"/>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采取环评提出的措施，影响可接受。</w:t>
            </w:r>
          </w:p>
        </w:tc>
        <w:tc>
          <w:tcPr>
            <w:tcW w:w="1282" w:type="dxa"/>
            <w:tcBorders>
              <w:tl2br w:val="nil"/>
              <w:tr2bl w:val="nil"/>
            </w:tcBorders>
            <w:noWrap w:val="0"/>
            <w:vAlign w:val="center"/>
          </w:tcPr>
          <w:p w14:paraId="53ED6FBC">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7DD23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21" w:type="dxa"/>
            <w:gridSpan w:val="8"/>
            <w:tcBorders>
              <w:tl2br w:val="nil"/>
              <w:tr2bl w:val="nil"/>
            </w:tcBorders>
            <w:noWrap w:val="0"/>
            <w:vAlign w:val="center"/>
          </w:tcPr>
          <w:p w14:paraId="01BE08D5">
            <w:pPr>
              <w:keepNext w:val="0"/>
              <w:keepLines w:val="0"/>
              <w:pageBreakBefore w:val="0"/>
              <w:widowControl w:val="0"/>
              <w:kinsoku/>
              <w:wordWrap/>
              <w:overflowPunct/>
              <w:topLinePunct w:val="0"/>
              <w:autoSpaceDE/>
              <w:autoSpaceDN/>
              <w:bidi w:val="0"/>
              <w:spacing w:after="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注</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”为勾选项，可√；“（）”为内容填写项；“备注”为其他补充内容。</w:t>
            </w:r>
          </w:p>
          <w:p w14:paraId="7B550624">
            <w:pPr>
              <w:keepNext w:val="0"/>
              <w:keepLines w:val="0"/>
              <w:pageBreakBefore w:val="0"/>
              <w:widowControl w:val="0"/>
              <w:kinsoku/>
              <w:wordWrap/>
              <w:overflowPunct/>
              <w:topLinePunct w:val="0"/>
              <w:autoSpaceDE/>
              <w:autoSpaceDN/>
              <w:bidi w:val="0"/>
              <w:spacing w:after="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注2：需要分别开展土壤环境影响评级工作的，分别填写自查表。</w:t>
            </w:r>
          </w:p>
        </w:tc>
      </w:tr>
    </w:tbl>
    <w:p w14:paraId="4F5D03D3">
      <w:pPr>
        <w:keepNext w:val="0"/>
        <w:keepLines w:val="0"/>
        <w:pageBreakBefore w:val="0"/>
        <w:widowControl w:val="0"/>
        <w:kinsoku/>
        <w:wordWrap/>
        <w:topLinePunct w:val="0"/>
        <w:bidi w:val="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br w:type="page"/>
      </w:r>
    </w:p>
    <w:p w14:paraId="01E8784E">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outlineLvl w:val="0"/>
        <w:rPr>
          <w:rFonts w:hint="default" w:ascii="Times New Roman" w:hAnsi="Times New Roman" w:eastAsia="微软雅黑" w:cs="Times New Roman"/>
          <w:color w:val="000000" w:themeColor="text1"/>
          <w:kern w:val="0"/>
          <w:sz w:val="22"/>
          <w:szCs w:val="22"/>
          <w:highlight w:val="none"/>
          <w:lang w:val="en-US" w:eastAsia="zh-CN"/>
          <w14:textFill>
            <w14:solidFill>
              <w14:schemeClr w14:val="tx1"/>
            </w14:solidFill>
          </w14:textFill>
        </w:rPr>
      </w:pPr>
      <w:bookmarkStart w:id="165" w:name="_Toc15404"/>
      <w:bookmarkStart w:id="166" w:name="_Toc5793"/>
      <w:bookmarkStart w:id="167" w:name="_Toc28974"/>
      <w:bookmarkStart w:id="168" w:name="_Toc18074"/>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附表</w:t>
      </w:r>
      <w:r>
        <w:rPr>
          <w:rFonts w:hint="eastAsia"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生态影响评价自查表</w:t>
      </w:r>
      <w:bookmarkEnd w:id="165"/>
      <w:bookmarkEnd w:id="166"/>
      <w:bookmarkEnd w:id="167"/>
      <w:bookmarkEnd w:id="168"/>
    </w:p>
    <w:tbl>
      <w:tblPr>
        <w:tblStyle w:val="18"/>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040"/>
        <w:gridCol w:w="7208"/>
      </w:tblGrid>
      <w:tr w14:paraId="6FA04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80" w:type="dxa"/>
            <w:gridSpan w:val="2"/>
            <w:tcBorders>
              <w:tl2br w:val="nil"/>
              <w:tr2bl w:val="nil"/>
            </w:tcBorders>
            <w:noWrap w:val="0"/>
            <w:vAlign w:val="center"/>
          </w:tcPr>
          <w:p w14:paraId="06538F3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工作内容</w:t>
            </w:r>
          </w:p>
        </w:tc>
        <w:tc>
          <w:tcPr>
            <w:tcW w:w="7208" w:type="dxa"/>
            <w:tcBorders>
              <w:tl2br w:val="nil"/>
              <w:tr2bl w:val="nil"/>
            </w:tcBorders>
            <w:noWrap w:val="0"/>
            <w:vAlign w:val="center"/>
          </w:tcPr>
          <w:p w14:paraId="5C9BF34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自查项目</w:t>
            </w:r>
          </w:p>
        </w:tc>
      </w:tr>
      <w:tr w14:paraId="3BED9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restart"/>
            <w:tcBorders>
              <w:tl2br w:val="nil"/>
              <w:tr2bl w:val="nil"/>
            </w:tcBorders>
            <w:noWrap w:val="0"/>
            <w:vAlign w:val="center"/>
          </w:tcPr>
          <w:p w14:paraId="63F9022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生态影响识别</w:t>
            </w:r>
          </w:p>
        </w:tc>
        <w:tc>
          <w:tcPr>
            <w:tcW w:w="1040" w:type="dxa"/>
            <w:tcBorders>
              <w:tl2br w:val="nil"/>
              <w:tr2bl w:val="nil"/>
            </w:tcBorders>
            <w:noWrap w:val="0"/>
            <w:vAlign w:val="center"/>
          </w:tcPr>
          <w:p w14:paraId="0BF1873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生态保护目标</w:t>
            </w:r>
          </w:p>
        </w:tc>
        <w:tc>
          <w:tcPr>
            <w:tcW w:w="7208" w:type="dxa"/>
            <w:tcBorders>
              <w:tl2br w:val="nil"/>
              <w:tr2bl w:val="nil"/>
            </w:tcBorders>
            <w:noWrap w:val="0"/>
            <w:vAlign w:val="center"/>
          </w:tcPr>
          <w:p w14:paraId="6681643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重要物种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国家公园</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自然保护区</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自然公园</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世界自然遗产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生态保护红线</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重要生境</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其他具有重要生态功能、对保护生物多样性具有重要意义的区域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0182F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continue"/>
            <w:tcBorders>
              <w:tl2br w:val="nil"/>
              <w:tr2bl w:val="nil"/>
            </w:tcBorders>
            <w:noWrap w:val="0"/>
            <w:vAlign w:val="center"/>
          </w:tcPr>
          <w:p w14:paraId="4AB1814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54A728B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影响</w:t>
            </w:r>
          </w:p>
          <w:p w14:paraId="71B9FD6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方式</w:t>
            </w:r>
          </w:p>
        </w:tc>
        <w:tc>
          <w:tcPr>
            <w:tcW w:w="7208" w:type="dxa"/>
            <w:tcBorders>
              <w:tl2br w:val="nil"/>
              <w:tr2bl w:val="nil"/>
            </w:tcBorders>
            <w:noWrap w:val="0"/>
            <w:vAlign w:val="center"/>
          </w:tcPr>
          <w:p w14:paraId="0E79758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工程占用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施工活动干扰</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改变环境条件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31C31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35" w:hRule="atLeast"/>
        </w:trPr>
        <w:tc>
          <w:tcPr>
            <w:tcW w:w="1040" w:type="dxa"/>
            <w:vMerge w:val="continue"/>
            <w:tcBorders>
              <w:tl2br w:val="nil"/>
              <w:tr2bl w:val="nil"/>
            </w:tcBorders>
            <w:noWrap w:val="0"/>
            <w:vAlign w:val="center"/>
          </w:tcPr>
          <w:p w14:paraId="1668AAD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6C63C86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评价因子</w:t>
            </w:r>
          </w:p>
        </w:tc>
        <w:tc>
          <w:tcPr>
            <w:tcW w:w="7208" w:type="dxa"/>
            <w:tcBorders>
              <w:tl2br w:val="nil"/>
              <w:tr2bl w:val="nil"/>
            </w:tcBorders>
            <w:noWrap w:val="0"/>
            <w:vAlign w:val="center"/>
          </w:tcPr>
          <w:p w14:paraId="02AFAF4D">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分布范围、种群数量、种群结构、行为</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ECB4C88">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生境</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生境面积、质量、连通性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3AAC32CF">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生物群落</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物种组成、群落结构等</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267E3BC6">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生态系统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植被覆盖度、生产力、生物量、生态系统功能等</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141F03E">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生物多样性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物种丰富度、均匀度、优势度等</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65BBD9FD">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生态敏感区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63EEB3D">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自然景观</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76CC27E0">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自然遗迹</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62EFBDD1">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6A0EF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80" w:type="dxa"/>
            <w:gridSpan w:val="2"/>
            <w:tcBorders>
              <w:tl2br w:val="nil"/>
              <w:tr2bl w:val="nil"/>
            </w:tcBorders>
            <w:noWrap w:val="0"/>
            <w:vAlign w:val="center"/>
          </w:tcPr>
          <w:p w14:paraId="4BE7764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评价等级</w:t>
            </w:r>
          </w:p>
        </w:tc>
        <w:tc>
          <w:tcPr>
            <w:tcW w:w="7208" w:type="dxa"/>
            <w:tcBorders>
              <w:tl2br w:val="nil"/>
              <w:tr2bl w:val="nil"/>
            </w:tcBorders>
            <w:noWrap w:val="0"/>
            <w:vAlign w:val="center"/>
          </w:tcPr>
          <w:p w14:paraId="756D187C">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一级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三级</w:t>
            </w:r>
            <w: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生态影响简单分析</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4121D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80" w:type="dxa"/>
            <w:gridSpan w:val="2"/>
            <w:tcBorders>
              <w:tl2br w:val="nil"/>
              <w:tr2bl w:val="nil"/>
            </w:tcBorders>
            <w:noWrap w:val="0"/>
            <w:vAlign w:val="center"/>
          </w:tcPr>
          <w:p w14:paraId="442090E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评价范围</w:t>
            </w:r>
          </w:p>
        </w:tc>
        <w:tc>
          <w:tcPr>
            <w:tcW w:w="7208" w:type="dxa"/>
            <w:tcBorders>
              <w:tl2br w:val="nil"/>
              <w:tr2bl w:val="nil"/>
            </w:tcBorders>
            <w:noWrap w:val="0"/>
            <w:vAlign w:val="center"/>
          </w:tcPr>
          <w:p w14:paraId="3BDAB004">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陆地面积：（</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10.77</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km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水域面积：（/）</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km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2</w:t>
            </w:r>
          </w:p>
        </w:tc>
      </w:tr>
      <w:tr w14:paraId="63A2E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restart"/>
            <w:tcBorders>
              <w:tl2br w:val="nil"/>
              <w:tr2bl w:val="nil"/>
            </w:tcBorders>
            <w:noWrap w:val="0"/>
            <w:vAlign w:val="center"/>
          </w:tcPr>
          <w:p w14:paraId="09DD5B6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生态现状调查与评价</w:t>
            </w:r>
          </w:p>
        </w:tc>
        <w:tc>
          <w:tcPr>
            <w:tcW w:w="1040" w:type="dxa"/>
            <w:tcBorders>
              <w:tl2br w:val="nil"/>
              <w:tr2bl w:val="nil"/>
            </w:tcBorders>
            <w:noWrap w:val="0"/>
            <w:vAlign w:val="center"/>
          </w:tcPr>
          <w:p w14:paraId="3C8C89D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调查</w:t>
            </w:r>
          </w:p>
          <w:p w14:paraId="1DB1639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方法</w:t>
            </w:r>
          </w:p>
        </w:tc>
        <w:tc>
          <w:tcPr>
            <w:tcW w:w="7208" w:type="dxa"/>
            <w:tcBorders>
              <w:tl2br w:val="nil"/>
              <w:tr2bl w:val="nil"/>
            </w:tcBorders>
            <w:noWrap w:val="0"/>
            <w:vAlign w:val="center"/>
          </w:tcPr>
          <w:p w14:paraId="4108FC1E">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资料收集</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；遥感调查</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；调查样方、样线</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；调查点位、断面</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；专家和公众咨询法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6E881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40" w:type="dxa"/>
            <w:vMerge w:val="continue"/>
            <w:tcBorders>
              <w:tl2br w:val="nil"/>
              <w:tr2bl w:val="nil"/>
            </w:tcBorders>
            <w:noWrap w:val="0"/>
            <w:vAlign w:val="center"/>
          </w:tcPr>
          <w:p w14:paraId="08D72F9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36A79D9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调查</w:t>
            </w:r>
          </w:p>
          <w:p w14:paraId="5F17783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时间</w:t>
            </w:r>
          </w:p>
        </w:tc>
        <w:tc>
          <w:tcPr>
            <w:tcW w:w="7208" w:type="dxa"/>
            <w:tcBorders>
              <w:tl2br w:val="nil"/>
              <w:tr2bl w:val="nil"/>
            </w:tcBorders>
            <w:noWrap w:val="0"/>
            <w:vAlign w:val="center"/>
          </w:tcPr>
          <w:p w14:paraId="34BFB1E4">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春季</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；夏季</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；秋季</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；冬季</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p w14:paraId="517904B4">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微软雅黑" w:cs="Times New Roman"/>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丰水期</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；枯水期</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；平水期</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0D37C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continue"/>
            <w:tcBorders>
              <w:tl2br w:val="nil"/>
              <w:tr2bl w:val="nil"/>
            </w:tcBorders>
            <w:noWrap w:val="0"/>
            <w:vAlign w:val="center"/>
          </w:tcPr>
          <w:p w14:paraId="0B0A317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6B3E5E0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所在区域的生态问题</w:t>
            </w:r>
          </w:p>
        </w:tc>
        <w:tc>
          <w:tcPr>
            <w:tcW w:w="7208" w:type="dxa"/>
            <w:tcBorders>
              <w:tl2br w:val="nil"/>
              <w:tr2bl w:val="nil"/>
            </w:tcBorders>
            <w:noWrap w:val="0"/>
            <w:vAlign w:val="center"/>
          </w:tcPr>
          <w:p w14:paraId="6BF5D71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水土流失</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；沙漠化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；石漠化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；盐渍化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；生物入侵</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；污染危害</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3D206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continue"/>
            <w:tcBorders>
              <w:tl2br w:val="nil"/>
              <w:tr2bl w:val="nil"/>
            </w:tcBorders>
            <w:noWrap w:val="0"/>
            <w:vAlign w:val="center"/>
          </w:tcPr>
          <w:p w14:paraId="681202F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43A07D7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p w14:paraId="33F66A0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内容</w:t>
            </w:r>
          </w:p>
        </w:tc>
        <w:tc>
          <w:tcPr>
            <w:tcW w:w="7208" w:type="dxa"/>
            <w:tcBorders>
              <w:tl2br w:val="nil"/>
              <w:tr2bl w:val="nil"/>
            </w:tcBorders>
            <w:noWrap w:val="0"/>
            <w:vAlign w:val="center"/>
          </w:tcPr>
          <w:p w14:paraId="12B3DC1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植被/植物群落</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；土地利用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；生态系统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；生物多样性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；重要物种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；生态敏感区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4BC68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0" w:type="dxa"/>
            <w:vMerge w:val="restart"/>
            <w:tcBorders>
              <w:tl2br w:val="nil"/>
              <w:tr2bl w:val="nil"/>
            </w:tcBorders>
            <w:noWrap w:val="0"/>
            <w:vAlign w:val="center"/>
          </w:tcPr>
          <w:p w14:paraId="28562CB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生态影响预测与评价</w:t>
            </w:r>
          </w:p>
        </w:tc>
        <w:tc>
          <w:tcPr>
            <w:tcW w:w="1040" w:type="dxa"/>
            <w:tcBorders>
              <w:tl2br w:val="nil"/>
              <w:tr2bl w:val="nil"/>
            </w:tcBorders>
            <w:noWrap w:val="0"/>
            <w:vAlign w:val="center"/>
          </w:tcPr>
          <w:p w14:paraId="0415A0D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调查</w:t>
            </w:r>
          </w:p>
          <w:p w14:paraId="1A2A02F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方法</w:t>
            </w:r>
          </w:p>
        </w:tc>
        <w:tc>
          <w:tcPr>
            <w:tcW w:w="7208" w:type="dxa"/>
            <w:tcBorders>
              <w:tl2br w:val="nil"/>
              <w:tr2bl w:val="nil"/>
            </w:tcBorders>
            <w:noWrap w:val="0"/>
            <w:vAlign w:val="center"/>
          </w:tcPr>
          <w:p w14:paraId="58B0769E">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定性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；定性和定量</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754E9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040" w:type="dxa"/>
            <w:vMerge w:val="continue"/>
            <w:tcBorders>
              <w:tl2br w:val="nil"/>
              <w:tr2bl w:val="nil"/>
            </w:tcBorders>
            <w:noWrap w:val="0"/>
            <w:vAlign w:val="center"/>
          </w:tcPr>
          <w:p w14:paraId="71E4767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0" w:type="dxa"/>
            <w:tcBorders>
              <w:tl2br w:val="nil"/>
              <w:tr2bl w:val="nil"/>
            </w:tcBorders>
            <w:noWrap w:val="0"/>
            <w:vAlign w:val="center"/>
          </w:tcPr>
          <w:p w14:paraId="6F4321D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评价</w:t>
            </w:r>
          </w:p>
          <w:p w14:paraId="36A573B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内容</w:t>
            </w:r>
          </w:p>
        </w:tc>
        <w:tc>
          <w:tcPr>
            <w:tcW w:w="7208" w:type="dxa"/>
            <w:tcBorders>
              <w:tl2br w:val="nil"/>
              <w:tr2bl w:val="nil"/>
            </w:tcBorders>
            <w:noWrap w:val="0"/>
            <w:vAlign w:val="center"/>
          </w:tcPr>
          <w:p w14:paraId="2F89F33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植被/植物群落</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；土地利用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；生态系统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；生物多样性</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；重要物种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；生态敏感区</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3A213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restart"/>
            <w:tcBorders>
              <w:tl2br w:val="nil"/>
              <w:tr2bl w:val="nil"/>
            </w:tcBorders>
            <w:noWrap w:val="0"/>
            <w:vAlign w:val="center"/>
          </w:tcPr>
          <w:p w14:paraId="54A06E4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生态保护对策措施</w:t>
            </w:r>
          </w:p>
        </w:tc>
        <w:tc>
          <w:tcPr>
            <w:tcW w:w="1040" w:type="dxa"/>
            <w:tcBorders>
              <w:tl2br w:val="nil"/>
              <w:tr2bl w:val="nil"/>
            </w:tcBorders>
            <w:noWrap w:val="0"/>
            <w:vAlign w:val="center"/>
          </w:tcPr>
          <w:p w14:paraId="4C0BA77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对策</w:t>
            </w:r>
          </w:p>
          <w:p w14:paraId="311F03D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措施</w:t>
            </w:r>
          </w:p>
        </w:tc>
        <w:tc>
          <w:tcPr>
            <w:tcW w:w="7208" w:type="dxa"/>
            <w:tcBorders>
              <w:tl2br w:val="nil"/>
              <w:tr2bl w:val="nil"/>
            </w:tcBorders>
            <w:noWrap w:val="0"/>
            <w:vAlign w:val="center"/>
          </w:tcPr>
          <w:p w14:paraId="35C9F41D">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避让</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；减缓</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；生态修复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；生态补偿</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；可研</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1BD72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40" w:type="dxa"/>
            <w:vMerge w:val="continue"/>
            <w:tcBorders>
              <w:tl2br w:val="nil"/>
              <w:tr2bl w:val="nil"/>
            </w:tcBorders>
            <w:noWrap w:val="0"/>
            <w:vAlign w:val="center"/>
          </w:tcPr>
          <w:p w14:paraId="22CE3A6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262E5A4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生态监测计划</w:t>
            </w:r>
          </w:p>
        </w:tc>
        <w:tc>
          <w:tcPr>
            <w:tcW w:w="7208" w:type="dxa"/>
            <w:tcBorders>
              <w:tl2br w:val="nil"/>
              <w:tr2bl w:val="nil"/>
            </w:tcBorders>
            <w:noWrap w:val="0"/>
            <w:vAlign w:val="center"/>
          </w:tcPr>
          <w:p w14:paraId="4359B492">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全生命周期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；长期跟踪</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；常规</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1264A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vMerge w:val="continue"/>
            <w:tcBorders>
              <w:tl2br w:val="nil"/>
              <w:tr2bl w:val="nil"/>
            </w:tcBorders>
            <w:noWrap w:val="0"/>
            <w:vAlign w:val="center"/>
          </w:tcPr>
          <w:p w14:paraId="470D7E87">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040" w:type="dxa"/>
            <w:tcBorders>
              <w:tl2br w:val="nil"/>
              <w:tr2bl w:val="nil"/>
            </w:tcBorders>
            <w:noWrap w:val="0"/>
            <w:vAlign w:val="center"/>
          </w:tcPr>
          <w:p w14:paraId="15D5A8C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环境</w:t>
            </w:r>
          </w:p>
          <w:p w14:paraId="31B02F3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管理</w:t>
            </w:r>
          </w:p>
        </w:tc>
        <w:tc>
          <w:tcPr>
            <w:tcW w:w="7208" w:type="dxa"/>
            <w:tcBorders>
              <w:tl2br w:val="nil"/>
              <w:tr2bl w:val="nil"/>
            </w:tcBorders>
            <w:noWrap w:val="0"/>
            <w:vAlign w:val="center"/>
          </w:tcPr>
          <w:p w14:paraId="261EC5FA">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环境监理</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；环境影响后评价</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；其他</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06A0D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40" w:type="dxa"/>
            <w:tcBorders>
              <w:tl2br w:val="nil"/>
              <w:tr2bl w:val="nil"/>
            </w:tcBorders>
            <w:noWrap w:val="0"/>
            <w:vAlign w:val="center"/>
          </w:tcPr>
          <w:p w14:paraId="0A12965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评价</w:t>
            </w:r>
          </w:p>
          <w:p w14:paraId="12B38E7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结论</w:t>
            </w:r>
          </w:p>
        </w:tc>
        <w:tc>
          <w:tcPr>
            <w:tcW w:w="1040" w:type="dxa"/>
            <w:tcBorders>
              <w:tl2br w:val="nil"/>
              <w:tr2bl w:val="nil"/>
            </w:tcBorders>
            <w:noWrap w:val="0"/>
            <w:vAlign w:val="center"/>
          </w:tcPr>
          <w:p w14:paraId="0C4EEB3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w:t>
            </w:r>
          </w:p>
          <w:p w14:paraId="46E6204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影响</w:t>
            </w:r>
          </w:p>
        </w:tc>
        <w:tc>
          <w:tcPr>
            <w:tcW w:w="7208" w:type="dxa"/>
            <w:tcBorders>
              <w:tl2br w:val="nil"/>
              <w:tr2bl w:val="nil"/>
            </w:tcBorders>
            <w:noWrap w:val="0"/>
            <w:vAlign w:val="center"/>
          </w:tcPr>
          <w:p w14:paraId="2CA7E19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可</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行</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不可</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tc>
      </w:tr>
      <w:tr w14:paraId="50009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88" w:type="dxa"/>
            <w:gridSpan w:val="3"/>
            <w:tcBorders>
              <w:tl2br w:val="nil"/>
              <w:tr2bl w:val="nil"/>
            </w:tcBorders>
            <w:noWrap w:val="0"/>
            <w:vAlign w:val="center"/>
          </w:tcPr>
          <w:p w14:paraId="43D3D69C">
            <w:pPr>
              <w:keepNext w:val="0"/>
              <w:keepLines w:val="0"/>
              <w:pageBreakBefore w:val="0"/>
              <w:widowControl w:val="0"/>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注：“□”为勾选项，填“√”，“（）”为填写项</w:t>
            </w:r>
          </w:p>
        </w:tc>
      </w:tr>
    </w:tbl>
    <w:p w14:paraId="1CBADB97">
      <w:pPr>
        <w:keepNext w:val="0"/>
        <w:keepLines w:val="0"/>
        <w:pageBreakBefore w:val="0"/>
        <w:widowControl w:val="0"/>
        <w:kinsoku/>
        <w:wordWrap/>
        <w:overflowPunct/>
        <w:topLinePunct w:val="0"/>
        <w:autoSpaceDE/>
        <w:autoSpaceDN/>
        <w:bidi w:val="0"/>
        <w:adjustRightInd w:val="0"/>
        <w:snapToGrid w:val="0"/>
        <w:spacing w:after="0"/>
        <w:jc w:val="both"/>
        <w:textAlignment w:val="auto"/>
        <w:outlineLvl w:val="0"/>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sectPr>
          <w:pgSz w:w="11906" w:h="16838"/>
          <w:pgMar w:top="1417" w:right="1417" w:bottom="1417" w:left="1417" w:header="964" w:footer="964" w:gutter="0"/>
          <w:pgBorders>
            <w:top w:val="none" w:sz="0" w:space="0"/>
            <w:left w:val="none" w:sz="0" w:space="0"/>
            <w:bottom w:val="none" w:sz="0" w:space="0"/>
            <w:right w:val="none" w:sz="0" w:space="0"/>
          </w:pgBorders>
          <w:pgNumType w:fmt="decimal"/>
          <w:cols w:space="425" w:num="1"/>
          <w:docGrid w:type="lines" w:linePitch="312" w:charSpace="0"/>
        </w:sectPr>
      </w:pPr>
    </w:p>
    <w:p w14:paraId="2058E390">
      <w:pPr>
        <w:keepNext w:val="0"/>
        <w:keepLines w:val="0"/>
        <w:pageBreakBefore w:val="0"/>
        <w:widowControl w:val="0"/>
        <w:kinsoku/>
        <w:wordWrap/>
        <w:topLinePunct w:val="0"/>
        <w:bidi w:val="0"/>
        <w:spacing w:line="240" w:lineRule="auto"/>
        <w:jc w:val="both"/>
        <w:outlineLvl w:val="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169" w:name="_Toc27062"/>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附表</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建设项目环境风险评价自查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表</w:t>
      </w:r>
      <w:bookmarkEnd w:id="169"/>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7763"/>
      </w:tblGrid>
      <w:tr w14:paraId="494D1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7" w:type="dxa"/>
            <w:tcBorders>
              <w:tl2br w:val="nil"/>
              <w:tr2bl w:val="nil"/>
            </w:tcBorders>
            <w:noWrap w:val="0"/>
            <w:vAlign w:val="center"/>
          </w:tcPr>
          <w:p w14:paraId="3FDEF5AF">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建设项目名称</w:t>
            </w:r>
          </w:p>
        </w:tc>
        <w:tc>
          <w:tcPr>
            <w:tcW w:w="7763" w:type="dxa"/>
            <w:tcBorders>
              <w:tl2br w:val="nil"/>
              <w:tr2bl w:val="nil"/>
            </w:tcBorders>
            <w:noWrap w:val="0"/>
            <w:vAlign w:val="center"/>
          </w:tcPr>
          <w:p w14:paraId="13FC8163">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第八采油厂2025年管网改造工程项目</w:t>
            </w:r>
          </w:p>
        </w:tc>
      </w:tr>
      <w:tr w14:paraId="40B65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7" w:type="dxa"/>
            <w:tcBorders>
              <w:tl2br w:val="nil"/>
              <w:tr2bl w:val="nil"/>
            </w:tcBorders>
            <w:noWrap w:val="0"/>
            <w:vAlign w:val="center"/>
          </w:tcPr>
          <w:p w14:paraId="2028F319">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建设地点</w:t>
            </w:r>
          </w:p>
        </w:tc>
        <w:tc>
          <w:tcPr>
            <w:tcW w:w="7763" w:type="dxa"/>
            <w:tcBorders>
              <w:tl2br w:val="nil"/>
              <w:tr2bl w:val="nil"/>
            </w:tcBorders>
            <w:noWrap w:val="0"/>
            <w:vAlign w:val="center"/>
          </w:tcPr>
          <w:p w14:paraId="4EE7CA3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黑龙江省绥化市安达市昌德镇、升平镇，大庆市大同区祝三乡</w:t>
            </w:r>
          </w:p>
        </w:tc>
      </w:tr>
      <w:tr w14:paraId="2B914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7" w:type="dxa"/>
            <w:tcBorders>
              <w:tl2br w:val="nil"/>
              <w:tr2bl w:val="nil"/>
            </w:tcBorders>
            <w:noWrap w:val="0"/>
            <w:vAlign w:val="center"/>
          </w:tcPr>
          <w:p w14:paraId="7AC3912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地理坐标</w:t>
            </w:r>
          </w:p>
        </w:tc>
        <w:tc>
          <w:tcPr>
            <w:tcW w:w="7763" w:type="dxa"/>
            <w:tcBorders>
              <w:tl2br w:val="nil"/>
              <w:tr2bl w:val="nil"/>
            </w:tcBorders>
            <w:noWrap w:val="0"/>
            <w:vAlign w:val="center"/>
          </w:tcPr>
          <w:p w14:paraId="614FC41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E124°56'53.350"-125°17'13.251"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N45°58'16.09"-46°10'12.99"</w:t>
            </w:r>
          </w:p>
        </w:tc>
      </w:tr>
      <w:tr w14:paraId="7B72A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307" w:type="dxa"/>
            <w:tcBorders>
              <w:tl2br w:val="nil"/>
              <w:tr2bl w:val="nil"/>
            </w:tcBorders>
            <w:noWrap w:val="0"/>
            <w:vAlign w:val="center"/>
          </w:tcPr>
          <w:p w14:paraId="7CE78CF4">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主要危险物质及分布</w:t>
            </w:r>
          </w:p>
        </w:tc>
        <w:tc>
          <w:tcPr>
            <w:tcW w:w="7763" w:type="dxa"/>
            <w:tcBorders>
              <w:tl2br w:val="nil"/>
              <w:tr2bl w:val="nil"/>
            </w:tcBorders>
            <w:noWrap w:val="0"/>
            <w:vAlign w:val="center"/>
          </w:tcPr>
          <w:p w14:paraId="26589B3F">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原油、天然气：集输管道；</w:t>
            </w:r>
          </w:p>
          <w:p w14:paraId="76F93008">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截断阀之间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最长集油管道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（芳3转油站外输油管道）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核算，原油最大存在总量为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p>
        </w:tc>
      </w:tr>
      <w:tr w14:paraId="55B15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307" w:type="dxa"/>
            <w:tcBorders>
              <w:tl2br w:val="nil"/>
              <w:tr2bl w:val="nil"/>
            </w:tcBorders>
            <w:noWrap w:val="0"/>
            <w:vAlign w:val="center"/>
          </w:tcPr>
          <w:p w14:paraId="7E84EA5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环境影响途径及危险后果</w:t>
            </w:r>
          </w:p>
        </w:tc>
        <w:tc>
          <w:tcPr>
            <w:tcW w:w="7763" w:type="dxa"/>
            <w:tcBorders>
              <w:tl2br w:val="nil"/>
              <w:tr2bl w:val="nil"/>
            </w:tcBorders>
            <w:noWrap w:val="0"/>
            <w:vAlign w:val="center"/>
          </w:tcPr>
          <w:p w14:paraId="058DAE2D">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大气</w:t>
            </w:r>
          </w:p>
          <w:p w14:paraId="41EFA9A4">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集油管道及场站原油泄漏会对大气环境造成直接影响，事故会造成局部大气污染，但具有发生机率小、持续时间短的特性。由于该区块所处地势平坦，一次性事故形成的局部大气污染在一定的气象条件下会逐步自然净化，对周围大气环境的影响很小。</w:t>
            </w:r>
          </w:p>
          <w:p w14:paraId="4C895AF2">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水环境</w:t>
            </w:r>
          </w:p>
          <w:p w14:paraId="1B479DCA">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在运行期对集输管道、站场储罐进行检测，防止腐蚀穿孔引起含油污水泄漏污染环境，同时对位于土壤腐蚀性较强的低洼地带，采用外防腐管道，以延长埋地管道使用寿命。另外加强巡检巡视，及时发现问题及时处理事故，对泄漏含油污水及时回收处理。所以本地区发生集输管道泄漏随地表径流进入水体和草地的可能性不大，但可能在事故情况下对区块外的水体产生含油污水泄漏污染环境，应该通过加强检测、巡检巡视、事故应急措施等事故预防和控制措施尽量避免事故的发生，降低事故发生后对环境的影响程度和范围。</w:t>
            </w:r>
          </w:p>
          <w:p w14:paraId="5B24D267">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地下水</w:t>
            </w:r>
          </w:p>
          <w:p w14:paraId="06E701D2">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管道</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泄漏造成污染的概率并不大。只要及时发现及时处理，一般不会对地下水造成影响。</w:t>
            </w:r>
          </w:p>
          <w:p w14:paraId="0283DA47">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土壤</w:t>
            </w:r>
          </w:p>
          <w:p w14:paraId="1F2B8D66">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原油泄漏渗入土壤孔隙，会降低土壤的通透性，抑制土壤中酶活性，使土壤生物减少。一般而言，原油集中于土壤表层0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30cm的范围内，使得根系分布于此深度的植物不能生长。石油烃对土壤的污染，可使土地肥力下降，改变土壤的理化性质，影响局部区域土壤正常的结构和功能。</w:t>
            </w:r>
          </w:p>
        </w:tc>
      </w:tr>
      <w:tr w14:paraId="235B9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7" w:type="dxa"/>
            <w:tcBorders>
              <w:tl2br w:val="nil"/>
              <w:tr2bl w:val="nil"/>
            </w:tcBorders>
            <w:noWrap w:val="0"/>
            <w:vAlign w:val="center"/>
          </w:tcPr>
          <w:p w14:paraId="390FD802">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环境防范措施要求</w:t>
            </w:r>
          </w:p>
        </w:tc>
        <w:tc>
          <w:tcPr>
            <w:tcW w:w="7763" w:type="dxa"/>
            <w:tcBorders>
              <w:tl2br w:val="nil"/>
              <w:tr2bl w:val="nil"/>
            </w:tcBorders>
            <w:noWrap w:val="0"/>
            <w:vAlign w:val="center"/>
          </w:tcPr>
          <w:p w14:paraId="45154E28">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针对环境风险制定</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套管破损事故、</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集输系统事故、场站事故、火灾及爆炸</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事故、</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危险废物收集、贮存、运输过程</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风险防范措施</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r>
      <w:tr w14:paraId="58BBC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07" w:type="dxa"/>
            <w:tcBorders>
              <w:tl2br w:val="nil"/>
              <w:tr2bl w:val="nil"/>
            </w:tcBorders>
            <w:noWrap w:val="0"/>
            <w:vAlign w:val="center"/>
          </w:tcPr>
          <w:p w14:paraId="5E84513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填表说明</w:t>
            </w:r>
          </w:p>
        </w:tc>
        <w:tc>
          <w:tcPr>
            <w:tcW w:w="7763" w:type="dxa"/>
            <w:tcBorders>
              <w:tl2br w:val="nil"/>
              <w:tr2bl w:val="nil"/>
            </w:tcBorders>
            <w:noWrap w:val="0"/>
            <w:vAlign w:val="center"/>
          </w:tcPr>
          <w:p w14:paraId="312584A5">
            <w:pPr>
              <w:keepNext w:val="0"/>
              <w:keepLines w:val="0"/>
              <w:pageBreakBefore w:val="0"/>
              <w:widowControl w:val="0"/>
              <w:kinsoku/>
              <w:wordWrap/>
              <w:overflowPunct/>
              <w:topLinePunct w:val="0"/>
              <w:autoSpaceDE/>
              <w:autoSpaceDN/>
              <w:bidi w:val="0"/>
              <w:adjustRightInd/>
              <w:snapToGrid/>
              <w:spacing w:after="0"/>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根据《建设项目环境风险评价技术导则》（HJ169-2018），本项目为简单分析</w:t>
            </w:r>
          </w:p>
        </w:tc>
      </w:tr>
    </w:tbl>
    <w:p w14:paraId="662A38E5">
      <w:pP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br w:type="page"/>
      </w:r>
    </w:p>
    <w:p w14:paraId="78C115C6">
      <w:pPr>
        <w:pStyle w:val="34"/>
        <w:keepNext w:val="0"/>
        <w:keepLines w:val="0"/>
        <w:pageBreakBefore w:val="0"/>
        <w:widowControl w:val="0"/>
        <w:kinsoku/>
        <w:wordWrap/>
        <w:topLinePunct w:val="0"/>
        <w:bidi w:val="0"/>
        <w:ind w:left="0" w:leftChars="0" w:firstLine="0" w:firstLineChars="0"/>
        <w:outlineLvl w:val="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附表</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地表水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环境影响评价自查表</w:t>
      </w:r>
    </w:p>
    <w:tbl>
      <w:tblPr>
        <w:tblStyle w:val="1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4"/>
        <w:gridCol w:w="1351"/>
        <w:gridCol w:w="1432"/>
        <w:gridCol w:w="1155"/>
        <w:gridCol w:w="368"/>
        <w:gridCol w:w="168"/>
        <w:gridCol w:w="1143"/>
        <w:gridCol w:w="125"/>
        <w:gridCol w:w="898"/>
        <w:gridCol w:w="547"/>
        <w:gridCol w:w="96"/>
        <w:gridCol w:w="1694"/>
      </w:tblGrid>
      <w:tr w14:paraId="40D4F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gridSpan w:val="2"/>
            <w:tcBorders>
              <w:tl2br w:val="nil"/>
              <w:tr2bl w:val="nil"/>
            </w:tcBorders>
            <w:noWrap w:val="0"/>
            <w:vAlign w:val="center"/>
          </w:tcPr>
          <w:p w14:paraId="3C82F484">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工作内容</w:t>
            </w:r>
          </w:p>
        </w:tc>
        <w:tc>
          <w:tcPr>
            <w:tcW w:w="4108" w:type="pct"/>
            <w:gridSpan w:val="10"/>
            <w:tcBorders>
              <w:tl2br w:val="nil"/>
              <w:tr2bl w:val="nil"/>
            </w:tcBorders>
            <w:noWrap w:val="0"/>
            <w:vAlign w:val="center"/>
          </w:tcPr>
          <w:p w14:paraId="7C556BD7">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完成情况</w:t>
            </w:r>
          </w:p>
        </w:tc>
      </w:tr>
      <w:tr w14:paraId="42B81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tcBorders>
              <w:tl2br w:val="nil"/>
              <w:tr2bl w:val="nil"/>
            </w:tcBorders>
            <w:noWrap w:val="0"/>
            <w:vAlign w:val="center"/>
          </w:tcPr>
          <w:p w14:paraId="318D83CD">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影响识别</w:t>
            </w:r>
          </w:p>
        </w:tc>
        <w:tc>
          <w:tcPr>
            <w:tcW w:w="727" w:type="pct"/>
            <w:tcBorders>
              <w:tl2br w:val="nil"/>
              <w:tr2bl w:val="nil"/>
            </w:tcBorders>
            <w:noWrap w:val="0"/>
            <w:vAlign w:val="center"/>
          </w:tcPr>
          <w:p w14:paraId="2DB020D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影响类型</w:t>
            </w:r>
          </w:p>
        </w:tc>
        <w:tc>
          <w:tcPr>
            <w:tcW w:w="4108" w:type="pct"/>
            <w:gridSpan w:val="10"/>
            <w:tcBorders>
              <w:tl2br w:val="nil"/>
              <w:tr2bl w:val="nil"/>
            </w:tcBorders>
            <w:noWrap w:val="0"/>
            <w:vAlign w:val="center"/>
          </w:tcPr>
          <w:p w14:paraId="4FE2C99B">
            <w:pPr>
              <w:keepNext w:val="0"/>
              <w:keepLines w:val="0"/>
              <w:pageBreakBefore w:val="0"/>
              <w:widowControl w:val="0"/>
              <w:kinsoku/>
              <w:wordWrap/>
              <w:overflowPunct/>
              <w:topLinePunct w:val="0"/>
              <w:autoSpaceDE/>
              <w:autoSpaceDN/>
              <w:bidi w:val="0"/>
              <w:spacing w:after="0"/>
              <w:jc w:val="left"/>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水污染影响型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；水文要素影响型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7D4F2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5E972463">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71969052">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水环境保护目标</w:t>
            </w:r>
          </w:p>
        </w:tc>
        <w:tc>
          <w:tcPr>
            <w:tcW w:w="4108" w:type="pct"/>
            <w:gridSpan w:val="10"/>
            <w:tcBorders>
              <w:tl2br w:val="nil"/>
              <w:tr2bl w:val="nil"/>
            </w:tcBorders>
            <w:noWrap w:val="0"/>
            <w:vAlign w:val="center"/>
          </w:tcPr>
          <w:p w14:paraId="6A11E858">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饮用水水源保护区☑；饮用水取水□；涉水的自然保护区□；涉水的风景名胜区□；重要湿地□；</w:t>
            </w:r>
          </w:p>
          <w:p w14:paraId="6094B1CF">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重点保护与珍稀水生生物的栖息地□；重要水生生物的自然产卵及索饵场、越冬场和洄游通道□；天然渔场等渔业水体□；水产物种资源保护区□；其他□</w:t>
            </w:r>
          </w:p>
        </w:tc>
      </w:tr>
      <w:tr w14:paraId="0218A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78A93C4B">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28166A3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影响途径</w:t>
            </w:r>
          </w:p>
        </w:tc>
        <w:tc>
          <w:tcPr>
            <w:tcW w:w="2298" w:type="pct"/>
            <w:gridSpan w:val="5"/>
            <w:tcBorders>
              <w:tl2br w:val="nil"/>
              <w:tr2bl w:val="nil"/>
            </w:tcBorders>
            <w:noWrap w:val="0"/>
            <w:vAlign w:val="center"/>
          </w:tcPr>
          <w:p w14:paraId="573AFBB9">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水污染影响型</w:t>
            </w:r>
          </w:p>
        </w:tc>
        <w:tc>
          <w:tcPr>
            <w:tcW w:w="1810" w:type="pct"/>
            <w:gridSpan w:val="5"/>
            <w:tcBorders>
              <w:tl2br w:val="nil"/>
              <w:tr2bl w:val="nil"/>
            </w:tcBorders>
            <w:noWrap w:val="0"/>
            <w:vAlign w:val="center"/>
          </w:tcPr>
          <w:p w14:paraId="0EB3E2B1">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水文要素影响型</w:t>
            </w:r>
          </w:p>
        </w:tc>
      </w:tr>
      <w:tr w14:paraId="4FDCF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6D8EFCA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4A568716">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8" w:type="pct"/>
            <w:gridSpan w:val="5"/>
            <w:tcBorders>
              <w:tl2br w:val="nil"/>
              <w:tr2bl w:val="nil"/>
            </w:tcBorders>
            <w:noWrap w:val="0"/>
            <w:vAlign w:val="center"/>
          </w:tcPr>
          <w:p w14:paraId="567451CC">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直接排放</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；间接排放</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810" w:type="pct"/>
            <w:gridSpan w:val="5"/>
            <w:tcBorders>
              <w:tl2br w:val="nil"/>
              <w:tr2bl w:val="nil"/>
            </w:tcBorders>
            <w:noWrap w:val="0"/>
            <w:vAlign w:val="center"/>
          </w:tcPr>
          <w:p w14:paraId="7F438A6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水温</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；径流</w:t>
            </w:r>
            <w:r>
              <w:rPr>
                <w:rFonts w:hint="eastAsia" w:ascii="宋体" w:hAnsi="宋体" w:eastAsia="宋体" w:cs="宋体"/>
                <w:color w:val="000000" w:themeColor="text1"/>
                <w:sz w:val="21"/>
                <w:szCs w:val="21"/>
                <w:highlight w:val="none"/>
                <w:lang w:eastAsia="zh-CN"/>
                <w14:textFill>
                  <w14:solidFill>
                    <w14:schemeClr w14:val="tx1"/>
                  </w14:solidFill>
                </w14:textFill>
              </w:rPr>
              <w:t>□；水域面积□</w:t>
            </w:r>
          </w:p>
        </w:tc>
      </w:tr>
      <w:tr w14:paraId="6ECDA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298AE03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3A0C0330">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影响因子</w:t>
            </w:r>
          </w:p>
        </w:tc>
        <w:tc>
          <w:tcPr>
            <w:tcW w:w="2298" w:type="pct"/>
            <w:gridSpan w:val="5"/>
            <w:tcBorders>
              <w:tl2br w:val="nil"/>
              <w:tr2bl w:val="nil"/>
            </w:tcBorders>
            <w:noWrap w:val="0"/>
            <w:vAlign w:val="center"/>
          </w:tcPr>
          <w:p w14:paraId="59EC8DE5">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持久性污染物□</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；有毒有害污染物</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；非持久性污染物</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；pH值</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；热污染</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；富营养化</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810" w:type="pct"/>
            <w:gridSpan w:val="5"/>
            <w:tcBorders>
              <w:tl2br w:val="nil"/>
              <w:tr2bl w:val="nil"/>
            </w:tcBorders>
            <w:noWrap w:val="0"/>
            <w:vAlign w:val="center"/>
          </w:tcPr>
          <w:p w14:paraId="36B23762">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水温□</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；水位（水深）</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；流速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；流量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008FC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1" w:type="pct"/>
            <w:gridSpan w:val="2"/>
            <w:vMerge w:val="restart"/>
            <w:tcBorders>
              <w:tl2br w:val="nil"/>
              <w:tr2bl w:val="nil"/>
            </w:tcBorders>
            <w:noWrap w:val="0"/>
            <w:vAlign w:val="center"/>
          </w:tcPr>
          <w:p w14:paraId="27E885F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评价等级</w:t>
            </w:r>
          </w:p>
        </w:tc>
        <w:tc>
          <w:tcPr>
            <w:tcW w:w="2298" w:type="pct"/>
            <w:gridSpan w:val="5"/>
            <w:tcBorders>
              <w:tl2br w:val="nil"/>
              <w:tr2bl w:val="nil"/>
            </w:tcBorders>
            <w:noWrap w:val="0"/>
            <w:vAlign w:val="center"/>
          </w:tcPr>
          <w:p w14:paraId="2D74F861">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水污染影响型</w:t>
            </w:r>
          </w:p>
        </w:tc>
        <w:tc>
          <w:tcPr>
            <w:tcW w:w="1810" w:type="pct"/>
            <w:gridSpan w:val="5"/>
            <w:tcBorders>
              <w:tl2br w:val="nil"/>
              <w:tr2bl w:val="nil"/>
            </w:tcBorders>
            <w:noWrap w:val="0"/>
            <w:vAlign w:val="center"/>
          </w:tcPr>
          <w:p w14:paraId="1F8BD2D4">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水文要素影响型</w:t>
            </w:r>
          </w:p>
        </w:tc>
      </w:tr>
      <w:tr w14:paraId="41EDC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1" w:type="pct"/>
            <w:gridSpan w:val="2"/>
            <w:vMerge w:val="continue"/>
            <w:tcBorders>
              <w:tl2br w:val="nil"/>
              <w:tr2bl w:val="nil"/>
            </w:tcBorders>
            <w:noWrap w:val="0"/>
            <w:vAlign w:val="center"/>
          </w:tcPr>
          <w:p w14:paraId="08E0C29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8" w:type="pct"/>
            <w:gridSpan w:val="5"/>
            <w:tcBorders>
              <w:tl2br w:val="nil"/>
              <w:tr2bl w:val="nil"/>
            </w:tcBorders>
            <w:noWrap w:val="0"/>
            <w:vAlign w:val="center"/>
          </w:tcPr>
          <w:p w14:paraId="29D9F46E">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一级□</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；二级</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；三级</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A</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；三级</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810" w:type="pct"/>
            <w:gridSpan w:val="5"/>
            <w:tcBorders>
              <w:tl2br w:val="nil"/>
              <w:tr2bl w:val="nil"/>
            </w:tcBorders>
            <w:noWrap w:val="0"/>
            <w:vAlign w:val="center"/>
          </w:tcPr>
          <w:p w14:paraId="6C85ACEB">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一级□</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；二级</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；三级</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7589F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tcBorders>
              <w:tl2br w:val="nil"/>
              <w:tr2bl w:val="nil"/>
            </w:tcBorders>
            <w:noWrap w:val="0"/>
            <w:vAlign w:val="center"/>
          </w:tcPr>
          <w:p w14:paraId="04186C2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现状调查内容</w:t>
            </w:r>
          </w:p>
        </w:tc>
        <w:tc>
          <w:tcPr>
            <w:tcW w:w="727" w:type="pct"/>
            <w:vMerge w:val="restart"/>
            <w:tcBorders>
              <w:tl2br w:val="nil"/>
              <w:tr2bl w:val="nil"/>
            </w:tcBorders>
            <w:noWrap w:val="0"/>
            <w:vAlign w:val="center"/>
          </w:tcPr>
          <w:p w14:paraId="1EAFA1C6">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区域污染源</w:t>
            </w:r>
          </w:p>
        </w:tc>
        <w:tc>
          <w:tcPr>
            <w:tcW w:w="2298" w:type="pct"/>
            <w:gridSpan w:val="5"/>
            <w:tcBorders>
              <w:tl2br w:val="nil"/>
              <w:tr2bl w:val="nil"/>
            </w:tcBorders>
            <w:noWrap w:val="0"/>
            <w:vAlign w:val="center"/>
          </w:tcPr>
          <w:p w14:paraId="41FB09CE">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调查项目</w:t>
            </w:r>
          </w:p>
        </w:tc>
        <w:tc>
          <w:tcPr>
            <w:tcW w:w="1810" w:type="pct"/>
            <w:gridSpan w:val="5"/>
            <w:tcBorders>
              <w:tl2br w:val="nil"/>
              <w:tr2bl w:val="nil"/>
            </w:tcBorders>
            <w:noWrap w:val="0"/>
            <w:vAlign w:val="center"/>
          </w:tcPr>
          <w:p w14:paraId="06AC2675">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数据来源</w:t>
            </w:r>
          </w:p>
        </w:tc>
      </w:tr>
      <w:tr w14:paraId="37ACF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74D238A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6BB0D83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3" w:type="pct"/>
            <w:gridSpan w:val="2"/>
            <w:tcBorders>
              <w:tl2br w:val="nil"/>
              <w:tr2bl w:val="nil"/>
            </w:tcBorders>
            <w:noWrap w:val="0"/>
            <w:vAlign w:val="center"/>
          </w:tcPr>
          <w:p w14:paraId="42A4468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已建□</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；在建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；拟建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904" w:type="pct"/>
            <w:gridSpan w:val="3"/>
            <w:tcBorders>
              <w:tl2br w:val="nil"/>
              <w:tr2bl w:val="nil"/>
            </w:tcBorders>
            <w:noWrap w:val="0"/>
            <w:vAlign w:val="center"/>
          </w:tcPr>
          <w:p w14:paraId="1F7ED603">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拟替代污染源□</w:t>
            </w:r>
          </w:p>
        </w:tc>
        <w:tc>
          <w:tcPr>
            <w:tcW w:w="1810" w:type="pct"/>
            <w:gridSpan w:val="5"/>
            <w:tcBorders>
              <w:tl2br w:val="nil"/>
              <w:tr2bl w:val="nil"/>
            </w:tcBorders>
            <w:noWrap w:val="0"/>
            <w:vAlign w:val="center"/>
          </w:tcPr>
          <w:p w14:paraId="601C5F80">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排污许可证□</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；环评</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；环保验收</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；既有实测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；现场监测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；入河排放口数据</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630AD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02F72A1D">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2821592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受影响水体环境质量</w:t>
            </w:r>
          </w:p>
        </w:tc>
        <w:tc>
          <w:tcPr>
            <w:tcW w:w="2298" w:type="pct"/>
            <w:gridSpan w:val="5"/>
            <w:tcBorders>
              <w:tl2br w:val="nil"/>
              <w:tr2bl w:val="nil"/>
            </w:tcBorders>
            <w:noWrap w:val="0"/>
            <w:vAlign w:val="center"/>
          </w:tcPr>
          <w:p w14:paraId="6A8EF883">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调查时期</w:t>
            </w:r>
          </w:p>
        </w:tc>
        <w:tc>
          <w:tcPr>
            <w:tcW w:w="1810" w:type="pct"/>
            <w:gridSpan w:val="5"/>
            <w:tcBorders>
              <w:tl2br w:val="nil"/>
              <w:tr2bl w:val="nil"/>
            </w:tcBorders>
            <w:noWrap w:val="0"/>
            <w:vAlign w:val="center"/>
          </w:tcPr>
          <w:p w14:paraId="1689BAA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数据来源</w:t>
            </w:r>
          </w:p>
        </w:tc>
      </w:tr>
      <w:tr w14:paraId="13B77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0CBC1D4B">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392A7A0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8" w:type="pct"/>
            <w:gridSpan w:val="5"/>
            <w:tcBorders>
              <w:tl2br w:val="nil"/>
              <w:tr2bl w:val="nil"/>
            </w:tcBorders>
            <w:noWrap w:val="0"/>
            <w:vAlign w:val="center"/>
          </w:tcPr>
          <w:p w14:paraId="52267AEE">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丰水期□</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；平水期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；枯水期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；冰封期</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BD0E9E5">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春季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；夏季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；秋季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；冬季</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810" w:type="pct"/>
            <w:gridSpan w:val="5"/>
            <w:tcBorders>
              <w:tl2br w:val="nil"/>
              <w:tr2bl w:val="nil"/>
            </w:tcBorders>
            <w:noWrap w:val="0"/>
            <w:vAlign w:val="center"/>
          </w:tcPr>
          <w:p w14:paraId="1940EA7D">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生态环境保护主管部门□</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；补充监测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7D255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4FDD3C5D">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3D6CA3E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区域水资源开发利用状况</w:t>
            </w:r>
          </w:p>
        </w:tc>
        <w:tc>
          <w:tcPr>
            <w:tcW w:w="4108" w:type="pct"/>
            <w:gridSpan w:val="10"/>
            <w:tcBorders>
              <w:tl2br w:val="nil"/>
              <w:tr2bl w:val="nil"/>
            </w:tcBorders>
            <w:noWrap w:val="0"/>
            <w:vAlign w:val="center"/>
          </w:tcPr>
          <w:p w14:paraId="24E497DA">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未开发□</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；开发量</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40%以下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；开发量</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40%以上</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42AEB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3BAEDA21">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5DD3F17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水文情势调查</w:t>
            </w:r>
          </w:p>
        </w:tc>
        <w:tc>
          <w:tcPr>
            <w:tcW w:w="2298" w:type="pct"/>
            <w:gridSpan w:val="5"/>
            <w:tcBorders>
              <w:tl2br w:val="nil"/>
              <w:tr2bl w:val="nil"/>
            </w:tcBorders>
            <w:noWrap w:val="0"/>
            <w:vAlign w:val="center"/>
          </w:tcPr>
          <w:p w14:paraId="3C11EF6A">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调查时期</w:t>
            </w:r>
          </w:p>
        </w:tc>
        <w:tc>
          <w:tcPr>
            <w:tcW w:w="1810" w:type="pct"/>
            <w:gridSpan w:val="5"/>
            <w:tcBorders>
              <w:tl2br w:val="nil"/>
              <w:tr2bl w:val="nil"/>
            </w:tcBorders>
            <w:noWrap w:val="0"/>
            <w:vAlign w:val="center"/>
          </w:tcPr>
          <w:p w14:paraId="7EC83BC5">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数据来源</w:t>
            </w:r>
          </w:p>
        </w:tc>
      </w:tr>
      <w:tr w14:paraId="2C84E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4C5EFEB0">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706EA85F">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8" w:type="pct"/>
            <w:gridSpan w:val="5"/>
            <w:tcBorders>
              <w:tl2br w:val="nil"/>
              <w:tr2bl w:val="nil"/>
            </w:tcBorders>
            <w:noWrap w:val="0"/>
            <w:vAlign w:val="center"/>
          </w:tcPr>
          <w:p w14:paraId="3C24E36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丰水期□</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；平水期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；枯水期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；冰封期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；春季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；夏季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；秋季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；冬季</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810" w:type="pct"/>
            <w:gridSpan w:val="5"/>
            <w:tcBorders>
              <w:tl2br w:val="nil"/>
              <w:tr2bl w:val="nil"/>
            </w:tcBorders>
            <w:noWrap w:val="0"/>
            <w:vAlign w:val="center"/>
          </w:tcPr>
          <w:p w14:paraId="45946B90">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水行政主管部门□</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；补充监测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5B791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7168FB52">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0D37046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补充监测</w:t>
            </w:r>
          </w:p>
        </w:tc>
        <w:tc>
          <w:tcPr>
            <w:tcW w:w="2298" w:type="pct"/>
            <w:gridSpan w:val="5"/>
            <w:tcBorders>
              <w:tl2br w:val="nil"/>
              <w:tr2bl w:val="nil"/>
            </w:tcBorders>
            <w:noWrap w:val="0"/>
            <w:vAlign w:val="center"/>
          </w:tcPr>
          <w:p w14:paraId="26528B94">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监测时期</w:t>
            </w:r>
          </w:p>
        </w:tc>
        <w:tc>
          <w:tcPr>
            <w:tcW w:w="897" w:type="pct"/>
            <w:gridSpan w:val="4"/>
            <w:tcBorders>
              <w:tl2br w:val="nil"/>
              <w:tr2bl w:val="nil"/>
            </w:tcBorders>
            <w:noWrap w:val="0"/>
            <w:vAlign w:val="center"/>
          </w:tcPr>
          <w:p w14:paraId="3B74CF49">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监测因子</w:t>
            </w:r>
          </w:p>
        </w:tc>
        <w:tc>
          <w:tcPr>
            <w:tcW w:w="912" w:type="pct"/>
            <w:tcBorders>
              <w:tl2br w:val="nil"/>
              <w:tr2bl w:val="nil"/>
            </w:tcBorders>
            <w:noWrap w:val="0"/>
            <w:vAlign w:val="center"/>
          </w:tcPr>
          <w:p w14:paraId="4CFE3F21">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监测断面或点位</w:t>
            </w:r>
          </w:p>
        </w:tc>
      </w:tr>
      <w:tr w14:paraId="66F76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4264E7F9">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7EC9C5A6">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98" w:type="pct"/>
            <w:gridSpan w:val="5"/>
            <w:tcBorders>
              <w:tl2br w:val="nil"/>
              <w:tr2bl w:val="nil"/>
            </w:tcBorders>
            <w:noWrap w:val="0"/>
            <w:vAlign w:val="center"/>
          </w:tcPr>
          <w:p w14:paraId="2D80D612">
            <w:pPr>
              <w:keepNext w:val="0"/>
              <w:keepLines w:val="0"/>
              <w:pageBreakBefore w:val="0"/>
              <w:widowControl w:val="0"/>
              <w:kinsoku/>
              <w:wordWrap/>
              <w:overflowPunct/>
              <w:topLinePunct w:val="0"/>
              <w:autoSpaceDE/>
              <w:autoSpaceDN/>
              <w:bidi w:val="0"/>
              <w:adjustRightInd/>
              <w:snapToGrid/>
              <w:spacing w:after="0"/>
              <w:ind w:firstLine="0" w:firstLineChars="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丰水期□</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；平水期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；枯水期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；冰封期</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497B18C">
            <w:pPr>
              <w:keepNext w:val="0"/>
              <w:keepLines w:val="0"/>
              <w:pageBreakBefore w:val="0"/>
              <w:widowControl w:val="0"/>
              <w:kinsoku/>
              <w:wordWrap/>
              <w:overflowPunct/>
              <w:topLinePunct w:val="0"/>
              <w:autoSpaceDE/>
              <w:autoSpaceDN/>
              <w:bidi w:val="0"/>
              <w:adjustRightInd/>
              <w:snapToGrid/>
              <w:spacing w:after="0"/>
              <w:ind w:firstLine="0" w:firstLineChars="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春季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；夏季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；秋季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；冬季</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897" w:type="pct"/>
            <w:gridSpan w:val="4"/>
            <w:tcBorders>
              <w:tl2br w:val="nil"/>
              <w:tr2bl w:val="nil"/>
            </w:tcBorders>
            <w:noWrap w:val="0"/>
            <w:vAlign w:val="center"/>
          </w:tcPr>
          <w:p w14:paraId="58F3987D">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pH、悬浮物、CODCr、BOD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、总磷、挥发酚、氨氮、石油类、硫化物、阴离子表面活性剂、汞、总铬、六价铬、镉、砷、镍、铅</w:t>
            </w:r>
          </w:p>
        </w:tc>
        <w:tc>
          <w:tcPr>
            <w:tcW w:w="912" w:type="pct"/>
            <w:tcBorders>
              <w:tl2br w:val="nil"/>
              <w:tr2bl w:val="nil"/>
            </w:tcBorders>
            <w:noWrap w:val="0"/>
            <w:vAlign w:val="center"/>
          </w:tcPr>
          <w:p w14:paraId="0DF986A2">
            <w:pPr>
              <w:keepNext w:val="0"/>
              <w:keepLines w:val="0"/>
              <w:pageBreakBefore w:val="0"/>
              <w:widowControl w:val="0"/>
              <w:kinsoku/>
              <w:wordWrap/>
              <w:overflowPunct/>
              <w:topLinePunct w:val="0"/>
              <w:autoSpaceDE/>
              <w:autoSpaceDN/>
              <w:bidi w:val="0"/>
              <w:adjustRightInd/>
              <w:snapToGrid/>
              <w:spacing w:after="0"/>
              <w:ind w:firstLine="0" w:firstLineChars="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监测断面或点位个数（4）个</w:t>
            </w:r>
          </w:p>
        </w:tc>
      </w:tr>
      <w:tr w14:paraId="49054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tcBorders>
              <w:tl2br w:val="nil"/>
              <w:tr2bl w:val="nil"/>
            </w:tcBorders>
            <w:noWrap w:val="0"/>
            <w:vAlign w:val="center"/>
          </w:tcPr>
          <w:p w14:paraId="733A8A1B">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现状评价</w:t>
            </w:r>
          </w:p>
        </w:tc>
        <w:tc>
          <w:tcPr>
            <w:tcW w:w="727" w:type="pct"/>
            <w:tcBorders>
              <w:tl2br w:val="nil"/>
              <w:tr2bl w:val="nil"/>
            </w:tcBorders>
            <w:noWrap w:val="0"/>
            <w:vAlign w:val="center"/>
          </w:tcPr>
          <w:p w14:paraId="28BD7D8C">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评价范围</w:t>
            </w:r>
          </w:p>
        </w:tc>
        <w:tc>
          <w:tcPr>
            <w:tcW w:w="4108" w:type="pct"/>
            <w:gridSpan w:val="10"/>
            <w:tcBorders>
              <w:tl2br w:val="nil"/>
              <w:tr2bl w:val="nil"/>
            </w:tcBorders>
            <w:noWrap w:val="0"/>
            <w:vAlign w:val="center"/>
          </w:tcPr>
          <w:p w14:paraId="3C59386D">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河流：长度（）</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km；湖库、河口及近岸海域：面积（）km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2</w:t>
            </w:r>
          </w:p>
        </w:tc>
      </w:tr>
      <w:tr w14:paraId="52C91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575127AE">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1C69234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评价因子</w:t>
            </w:r>
          </w:p>
        </w:tc>
        <w:tc>
          <w:tcPr>
            <w:tcW w:w="4108" w:type="pct"/>
            <w:gridSpan w:val="10"/>
            <w:tcBorders>
              <w:tl2br w:val="nil"/>
              <w:tr2bl w:val="nil"/>
            </w:tcBorders>
            <w:noWrap w:val="0"/>
            <w:vAlign w:val="center"/>
          </w:tcPr>
          <w:p w14:paraId="5952D0DD">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14:paraId="209FE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659DAAF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7BFFA804">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评价标准</w:t>
            </w:r>
          </w:p>
        </w:tc>
        <w:tc>
          <w:tcPr>
            <w:tcW w:w="4108" w:type="pct"/>
            <w:gridSpan w:val="10"/>
            <w:tcBorders>
              <w:tl2br w:val="nil"/>
              <w:tr2bl w:val="nil"/>
            </w:tcBorders>
            <w:noWrap w:val="0"/>
            <w:vAlign w:val="center"/>
          </w:tcPr>
          <w:p w14:paraId="2182AFFD">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河流、湖库、河口：Ⅰ类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；Ⅱ类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；Ⅲ类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；Ⅳ类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；Ⅴ类</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9E6B983">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近岸海域：第一类□</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；第二类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；第三类</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；第四类</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56E7E6A">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规划年评价标注（）</w:t>
            </w:r>
          </w:p>
        </w:tc>
      </w:tr>
      <w:tr w14:paraId="003DB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2372260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6CEBDE64">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评价时期</w:t>
            </w:r>
          </w:p>
        </w:tc>
        <w:tc>
          <w:tcPr>
            <w:tcW w:w="4108" w:type="pct"/>
            <w:gridSpan w:val="10"/>
            <w:tcBorders>
              <w:tl2br w:val="nil"/>
              <w:tr2bl w:val="nil"/>
            </w:tcBorders>
            <w:noWrap w:val="0"/>
            <w:vAlign w:val="center"/>
          </w:tcPr>
          <w:p w14:paraId="74831C1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丰水期□</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；平水期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；枯水期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；冰封期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；春季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；夏季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；秋季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；冬季</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7ECAB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5973575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748D09A1">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评价结论</w:t>
            </w:r>
          </w:p>
        </w:tc>
        <w:tc>
          <w:tcPr>
            <w:tcW w:w="4108" w:type="pct"/>
            <w:gridSpan w:val="10"/>
            <w:tcBorders>
              <w:tl2br w:val="nil"/>
              <w:tr2bl w:val="nil"/>
            </w:tcBorders>
            <w:noWrap w:val="0"/>
            <w:vAlign w:val="center"/>
          </w:tcPr>
          <w:p w14:paraId="1CE686A0">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水环境功能区或水功能区、近岸海域环境功能区水质达标状况：达标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不达标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p>
          <w:p w14:paraId="3F4BC157">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水环境控制单元或断面水质达标状况 ：达标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不达标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p>
          <w:p w14:paraId="3631D220">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水环境保护目标质量状况：达标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不达标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p>
          <w:p w14:paraId="3BB8A8F3">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对照断面、控制断面等代表性断面的水质状况 ：达标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不达标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p>
          <w:p w14:paraId="3CCA3AAF">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 xml:space="preserve">底泥污染评价 </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3FAEB33E">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水资源与开发利用程度及其水文情势评价口水环境质量回顾评价</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34F1F12">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6D86488F">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依托污水处理设施稳定达标排放评价</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1007B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tcBorders>
              <w:tl2br w:val="nil"/>
              <w:tr2bl w:val="nil"/>
            </w:tcBorders>
            <w:noWrap w:val="0"/>
            <w:vAlign w:val="center"/>
          </w:tcPr>
          <w:p w14:paraId="0E358C0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影响预测</w:t>
            </w:r>
          </w:p>
        </w:tc>
        <w:tc>
          <w:tcPr>
            <w:tcW w:w="727" w:type="pct"/>
            <w:tcBorders>
              <w:tl2br w:val="nil"/>
              <w:tr2bl w:val="nil"/>
            </w:tcBorders>
            <w:noWrap w:val="0"/>
            <w:vAlign w:val="center"/>
          </w:tcPr>
          <w:p w14:paraId="52A6FC9D">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预测范围</w:t>
            </w:r>
          </w:p>
        </w:tc>
        <w:tc>
          <w:tcPr>
            <w:tcW w:w="4108" w:type="pct"/>
            <w:gridSpan w:val="10"/>
            <w:tcBorders>
              <w:tl2br w:val="nil"/>
              <w:tr2bl w:val="nil"/>
            </w:tcBorders>
            <w:noWrap w:val="0"/>
            <w:vAlign w:val="center"/>
          </w:tcPr>
          <w:p w14:paraId="087D006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河流：长度（）</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km；湖库、河口及近岸海域：面积（）km</w:t>
            </w:r>
            <w:r>
              <w:rPr>
                <w:rFonts w:hint="eastAsia" w:ascii="宋体" w:hAnsi="宋体" w:eastAsia="宋体" w:cs="宋体"/>
                <w:color w:val="000000" w:themeColor="text1"/>
                <w:sz w:val="21"/>
                <w:szCs w:val="21"/>
                <w:highlight w:val="none"/>
                <w:vertAlign w:val="superscript"/>
                <w:lang w:val="en-US" w:eastAsia="zh-CN"/>
                <w14:textFill>
                  <w14:solidFill>
                    <w14:schemeClr w14:val="tx1"/>
                  </w14:solidFill>
                </w14:textFill>
              </w:rPr>
              <w:t>2</w:t>
            </w:r>
          </w:p>
        </w:tc>
      </w:tr>
      <w:tr w14:paraId="37929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1AACD0A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45B9CC1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预测因子</w:t>
            </w:r>
          </w:p>
        </w:tc>
        <w:tc>
          <w:tcPr>
            <w:tcW w:w="4108" w:type="pct"/>
            <w:gridSpan w:val="10"/>
            <w:tcBorders>
              <w:tl2br w:val="nil"/>
              <w:tr2bl w:val="nil"/>
            </w:tcBorders>
            <w:noWrap w:val="0"/>
            <w:vAlign w:val="center"/>
          </w:tcPr>
          <w:p w14:paraId="1619C3A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p>
        </w:tc>
      </w:tr>
      <w:tr w14:paraId="3D301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7CF3CD72">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4FA4E96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预测时期</w:t>
            </w:r>
          </w:p>
        </w:tc>
        <w:tc>
          <w:tcPr>
            <w:tcW w:w="4108" w:type="pct"/>
            <w:gridSpan w:val="10"/>
            <w:tcBorders>
              <w:tl2br w:val="nil"/>
              <w:tr2bl w:val="nil"/>
            </w:tcBorders>
            <w:noWrap w:val="0"/>
            <w:vAlign w:val="center"/>
          </w:tcPr>
          <w:p w14:paraId="7EBC3A6D">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丰水期□</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；平水期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；枯水期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；冰封期</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625AAE5F">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春季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；夏季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；秋季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；冬季</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1142EA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设计水文条件□</w:t>
            </w:r>
          </w:p>
        </w:tc>
      </w:tr>
      <w:tr w14:paraId="7319D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4FA04E36">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7D754ED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预测情景</w:t>
            </w:r>
          </w:p>
        </w:tc>
        <w:tc>
          <w:tcPr>
            <w:tcW w:w="4108" w:type="pct"/>
            <w:gridSpan w:val="10"/>
            <w:tcBorders>
              <w:tl2br w:val="nil"/>
              <w:tr2bl w:val="nil"/>
            </w:tcBorders>
            <w:noWrap w:val="0"/>
            <w:vAlign w:val="center"/>
          </w:tcPr>
          <w:p w14:paraId="767D284B">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建设期□</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；生产运行期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；服务期满后</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87DB850">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正常工况□</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；非正常工况</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6AA2FF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污染控制和减缓措施方案□</w:t>
            </w:r>
          </w:p>
          <w:p w14:paraId="3B4161CC">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区（流）域环境质量改善目标要求情景□</w:t>
            </w:r>
          </w:p>
        </w:tc>
      </w:tr>
      <w:tr w14:paraId="3CC6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16E503D0">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6924644B">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预测方法</w:t>
            </w:r>
          </w:p>
        </w:tc>
        <w:tc>
          <w:tcPr>
            <w:tcW w:w="4108" w:type="pct"/>
            <w:gridSpan w:val="10"/>
            <w:tcBorders>
              <w:tl2br w:val="nil"/>
              <w:tr2bl w:val="nil"/>
            </w:tcBorders>
            <w:noWrap w:val="0"/>
            <w:vAlign w:val="center"/>
          </w:tcPr>
          <w:p w14:paraId="2E8F803D">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数值解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解析解</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3B1FE49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导则推荐模式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57BBD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tcBorders>
              <w:tl2br w:val="nil"/>
              <w:tr2bl w:val="nil"/>
            </w:tcBorders>
            <w:noWrap w:val="0"/>
            <w:vAlign w:val="center"/>
          </w:tcPr>
          <w:p w14:paraId="6EF5DE14">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影响评价</w:t>
            </w:r>
          </w:p>
        </w:tc>
        <w:tc>
          <w:tcPr>
            <w:tcW w:w="727" w:type="pct"/>
            <w:tcBorders>
              <w:tl2br w:val="nil"/>
              <w:tr2bl w:val="nil"/>
            </w:tcBorders>
            <w:noWrap w:val="0"/>
            <w:vAlign w:val="center"/>
          </w:tcPr>
          <w:p w14:paraId="37DAE8B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水污染控制和水环境影响减缓措施有效性评价</w:t>
            </w:r>
          </w:p>
        </w:tc>
        <w:tc>
          <w:tcPr>
            <w:tcW w:w="4108" w:type="pct"/>
            <w:gridSpan w:val="10"/>
            <w:tcBorders>
              <w:tl2br w:val="nil"/>
              <w:tr2bl w:val="nil"/>
            </w:tcBorders>
            <w:noWrap w:val="0"/>
            <w:vAlign w:val="center"/>
          </w:tcPr>
          <w:p w14:paraId="5D698D02">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区（流）域水环境质量改善目标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；替代削减源</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7B2B1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1C103548">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34AB000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水环境影响评价</w:t>
            </w:r>
          </w:p>
        </w:tc>
        <w:tc>
          <w:tcPr>
            <w:tcW w:w="4108" w:type="pct"/>
            <w:gridSpan w:val="10"/>
            <w:tcBorders>
              <w:tl2br w:val="nil"/>
              <w:tr2bl w:val="nil"/>
            </w:tcBorders>
            <w:noWrap w:val="0"/>
            <w:vAlign w:val="center"/>
          </w:tcPr>
          <w:p w14:paraId="0E41159E">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排放口混合区外满足水环境管理要求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1BB71C7D">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水环境功能区或水功能区、近岸海域环境功能区水质达标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52AA51C">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满足水环境保护目标水域水环境质量要求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D1F8385">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水环境控制单元或断面水质达标</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2FB02B9">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满足重点水污染物排放总量控制指标要求，重点行业建设项目，主要污染物排放满足等量或减量替代要求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F3E9489">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满足区（流）域水环境质量改善目标要求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5351FE2">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水文要素影响型建设项目同时应包括水文情势变化评价、主要水文特征值影响评价、生态流量符合性评价</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415CF1AA">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对于新设或调整入河（湖库、近岸海域）排放口的建设项目，应包括排放口设置的环境合理性评价</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319FB40">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满足生态保护红线、水环境质量底线、资源利用上线和环境准入清单管理要求</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37F56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6E4B19E1">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27BA58A4">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污染源排放核算</w:t>
            </w:r>
          </w:p>
        </w:tc>
        <w:tc>
          <w:tcPr>
            <w:tcW w:w="1591" w:type="pct"/>
            <w:gridSpan w:val="3"/>
            <w:tcBorders>
              <w:tl2br w:val="nil"/>
              <w:tr2bl w:val="nil"/>
            </w:tcBorders>
            <w:noWrap w:val="0"/>
            <w:vAlign w:val="center"/>
          </w:tcPr>
          <w:p w14:paraId="69D4D96A">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污染物名称</w:t>
            </w:r>
          </w:p>
        </w:tc>
        <w:tc>
          <w:tcPr>
            <w:tcW w:w="1257" w:type="pct"/>
            <w:gridSpan w:val="4"/>
            <w:tcBorders>
              <w:tl2br w:val="nil"/>
              <w:tr2bl w:val="nil"/>
            </w:tcBorders>
            <w:noWrap w:val="0"/>
            <w:vAlign w:val="center"/>
          </w:tcPr>
          <w:p w14:paraId="512F3490">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排放量</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1259" w:type="pct"/>
            <w:gridSpan w:val="3"/>
            <w:tcBorders>
              <w:tl2br w:val="nil"/>
              <w:tr2bl w:val="nil"/>
            </w:tcBorders>
            <w:noWrap w:val="0"/>
            <w:vAlign w:val="center"/>
          </w:tcPr>
          <w:p w14:paraId="71E83F01">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排放浓度</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p>
        </w:tc>
      </w:tr>
      <w:tr w14:paraId="50F1A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4CB0CAB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32AE338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91" w:type="pct"/>
            <w:gridSpan w:val="3"/>
            <w:tcBorders>
              <w:tl2br w:val="nil"/>
              <w:tr2bl w:val="nil"/>
            </w:tcBorders>
            <w:noWrap w:val="0"/>
            <w:vAlign w:val="center"/>
          </w:tcPr>
          <w:p w14:paraId="5A8E68B9">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257" w:type="pct"/>
            <w:gridSpan w:val="4"/>
            <w:tcBorders>
              <w:tl2br w:val="nil"/>
              <w:tr2bl w:val="nil"/>
            </w:tcBorders>
            <w:noWrap w:val="0"/>
            <w:vAlign w:val="center"/>
          </w:tcPr>
          <w:p w14:paraId="56A8D6F0">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259" w:type="pct"/>
            <w:gridSpan w:val="3"/>
            <w:tcBorders>
              <w:tl2br w:val="nil"/>
              <w:tr2bl w:val="nil"/>
            </w:tcBorders>
            <w:noWrap w:val="0"/>
            <w:vAlign w:val="center"/>
          </w:tcPr>
          <w:p w14:paraId="4FC9CC9D">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6B3BF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59B7E489">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1055066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替代源排放情况</w:t>
            </w:r>
          </w:p>
        </w:tc>
        <w:tc>
          <w:tcPr>
            <w:tcW w:w="771" w:type="pct"/>
            <w:tcBorders>
              <w:tl2br w:val="nil"/>
              <w:tr2bl w:val="nil"/>
            </w:tcBorders>
            <w:noWrap w:val="0"/>
            <w:vAlign w:val="center"/>
          </w:tcPr>
          <w:p w14:paraId="4D64E91B">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污染源名称</w:t>
            </w:r>
          </w:p>
        </w:tc>
        <w:tc>
          <w:tcPr>
            <w:tcW w:w="911" w:type="pct"/>
            <w:gridSpan w:val="3"/>
            <w:tcBorders>
              <w:tl2br w:val="nil"/>
              <w:tr2bl w:val="nil"/>
            </w:tcBorders>
            <w:noWrap w:val="0"/>
            <w:vAlign w:val="center"/>
          </w:tcPr>
          <w:p w14:paraId="5990A79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排污许可证编号</w:t>
            </w:r>
          </w:p>
        </w:tc>
        <w:tc>
          <w:tcPr>
            <w:tcW w:w="683" w:type="pct"/>
            <w:gridSpan w:val="2"/>
            <w:tcBorders>
              <w:tl2br w:val="nil"/>
              <w:tr2bl w:val="nil"/>
            </w:tcBorders>
            <w:noWrap w:val="0"/>
            <w:vAlign w:val="center"/>
          </w:tcPr>
          <w:p w14:paraId="444AB29B">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污染物名称</w:t>
            </w:r>
          </w:p>
        </w:tc>
        <w:tc>
          <w:tcPr>
            <w:tcW w:w="778" w:type="pct"/>
            <w:gridSpan w:val="2"/>
            <w:tcBorders>
              <w:tl2br w:val="nil"/>
              <w:tr2bl w:val="nil"/>
            </w:tcBorders>
            <w:noWrap w:val="0"/>
            <w:vAlign w:val="center"/>
          </w:tcPr>
          <w:p w14:paraId="4AC36CFD">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排放量</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964" w:type="pct"/>
            <w:gridSpan w:val="2"/>
            <w:tcBorders>
              <w:tl2br w:val="nil"/>
              <w:tr2bl w:val="nil"/>
            </w:tcBorders>
            <w:noWrap w:val="0"/>
            <w:vAlign w:val="center"/>
          </w:tcPr>
          <w:p w14:paraId="5983B7D5">
            <w:pPr>
              <w:keepNext w:val="0"/>
              <w:keepLines w:val="0"/>
              <w:pageBreakBefore w:val="0"/>
              <w:widowControl w:val="0"/>
              <w:kinsoku/>
              <w:wordWrap/>
              <w:overflowPunct/>
              <w:topLinePunct w:val="0"/>
              <w:autoSpaceDE/>
              <w:autoSpaceDN/>
              <w:bidi w:val="0"/>
              <w:spacing w:after="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排放浓度</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p>
        </w:tc>
      </w:tr>
      <w:tr w14:paraId="2CF21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35DC9C03">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6D8C652B">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71" w:type="pct"/>
            <w:tcBorders>
              <w:tl2br w:val="nil"/>
              <w:tr2bl w:val="nil"/>
            </w:tcBorders>
            <w:noWrap w:val="0"/>
            <w:vAlign w:val="center"/>
          </w:tcPr>
          <w:p w14:paraId="19C05A51">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911" w:type="pct"/>
            <w:gridSpan w:val="3"/>
            <w:tcBorders>
              <w:tl2br w:val="nil"/>
              <w:tr2bl w:val="nil"/>
            </w:tcBorders>
            <w:noWrap w:val="0"/>
            <w:vAlign w:val="center"/>
          </w:tcPr>
          <w:p w14:paraId="2AC46D00">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683" w:type="pct"/>
            <w:gridSpan w:val="2"/>
            <w:tcBorders>
              <w:tl2br w:val="nil"/>
              <w:tr2bl w:val="nil"/>
            </w:tcBorders>
            <w:noWrap w:val="0"/>
            <w:vAlign w:val="center"/>
          </w:tcPr>
          <w:p w14:paraId="7224B4EC">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778" w:type="pct"/>
            <w:gridSpan w:val="2"/>
            <w:tcBorders>
              <w:tl2br w:val="nil"/>
              <w:tr2bl w:val="nil"/>
            </w:tcBorders>
            <w:noWrap w:val="0"/>
            <w:vAlign w:val="center"/>
          </w:tcPr>
          <w:p w14:paraId="6841E5FD">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964" w:type="pct"/>
            <w:gridSpan w:val="2"/>
            <w:tcBorders>
              <w:tl2br w:val="nil"/>
              <w:tr2bl w:val="nil"/>
            </w:tcBorders>
            <w:noWrap w:val="0"/>
            <w:vAlign w:val="center"/>
          </w:tcPr>
          <w:p w14:paraId="1FEC59DF">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3A27C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tcBorders>
              <w:tl2br w:val="nil"/>
              <w:tr2bl w:val="nil"/>
            </w:tcBorders>
            <w:noWrap w:val="0"/>
            <w:vAlign w:val="center"/>
          </w:tcPr>
          <w:p w14:paraId="7F4670B7">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6D8CFCC7">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生态流量确定</w:t>
            </w:r>
          </w:p>
        </w:tc>
        <w:tc>
          <w:tcPr>
            <w:tcW w:w="4108" w:type="pct"/>
            <w:gridSpan w:val="10"/>
            <w:tcBorders>
              <w:tl2br w:val="nil"/>
              <w:tr2bl w:val="nil"/>
            </w:tcBorders>
            <w:noWrap w:val="0"/>
            <w:vAlign w:val="center"/>
          </w:tcPr>
          <w:p w14:paraId="0ABB7919">
            <w:pPr>
              <w:keepNext w:val="0"/>
              <w:keepLines w:val="0"/>
              <w:pageBreakBefore w:val="0"/>
              <w:widowControl w:val="0"/>
              <w:kinsoku/>
              <w:wordWrap/>
              <w:overflowPunct/>
              <w:topLinePunct w:val="0"/>
              <w:autoSpaceDE/>
              <w:autoSpaceDN/>
              <w:bidi w:val="0"/>
              <w:spacing w:after="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生态流量：一般水期（）</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/s；鱼类繁殖期m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/s；其他（）m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/s</w:t>
            </w:r>
          </w:p>
          <w:p w14:paraId="1CA7AE3C">
            <w:pPr>
              <w:keepNext w:val="0"/>
              <w:keepLines w:val="0"/>
              <w:pageBreakBefore w:val="0"/>
              <w:widowControl w:val="0"/>
              <w:kinsoku/>
              <w:wordWrap/>
              <w:overflowPunct/>
              <w:topLinePunct w:val="0"/>
              <w:autoSpaceDE/>
              <w:autoSpaceDN/>
              <w:bidi w:val="0"/>
              <w:spacing w:after="0"/>
              <w:jc w:val="both"/>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生态水位：</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一般水期（）</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m；鱼类繁殖期m；其他（）m</w:t>
            </w:r>
          </w:p>
        </w:tc>
      </w:tr>
      <w:tr w14:paraId="08615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tcBorders>
              <w:tl2br w:val="nil"/>
              <w:tr2bl w:val="nil"/>
            </w:tcBorders>
            <w:noWrap w:val="0"/>
            <w:vAlign w:val="center"/>
          </w:tcPr>
          <w:p w14:paraId="0968FBAE">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防治措施</w:t>
            </w:r>
          </w:p>
        </w:tc>
        <w:tc>
          <w:tcPr>
            <w:tcW w:w="727" w:type="pct"/>
            <w:tcBorders>
              <w:tl2br w:val="nil"/>
              <w:tr2bl w:val="nil"/>
            </w:tcBorders>
            <w:noWrap w:val="0"/>
            <w:vAlign w:val="center"/>
          </w:tcPr>
          <w:p w14:paraId="4AFF316D">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环保措施</w:t>
            </w:r>
          </w:p>
        </w:tc>
        <w:tc>
          <w:tcPr>
            <w:tcW w:w="4108" w:type="pct"/>
            <w:gridSpan w:val="10"/>
            <w:tcBorders>
              <w:tl2br w:val="nil"/>
              <w:tr2bl w:val="nil"/>
            </w:tcBorders>
            <w:noWrap w:val="0"/>
            <w:vAlign w:val="center"/>
          </w:tcPr>
          <w:p w14:paraId="3C30312E">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污水处理设施□</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；水文减缓措施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；生态流量保障设施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；区域削减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；依托其他工程措施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；其他</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61185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3" w:type="pct"/>
            <w:vMerge w:val="continue"/>
            <w:tcBorders>
              <w:tl2br w:val="nil"/>
              <w:tr2bl w:val="nil"/>
            </w:tcBorders>
            <w:noWrap w:val="0"/>
            <w:vAlign w:val="center"/>
          </w:tcPr>
          <w:p w14:paraId="6F607472">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vMerge w:val="restart"/>
            <w:tcBorders>
              <w:tl2br w:val="nil"/>
              <w:tr2bl w:val="nil"/>
            </w:tcBorders>
            <w:noWrap w:val="0"/>
            <w:vAlign w:val="center"/>
          </w:tcPr>
          <w:p w14:paraId="5E4CC145">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监测计划</w:t>
            </w:r>
          </w:p>
        </w:tc>
        <w:tc>
          <w:tcPr>
            <w:tcW w:w="1591" w:type="pct"/>
            <w:gridSpan w:val="3"/>
            <w:tcBorders>
              <w:tl2br w:val="nil"/>
              <w:tr2bl w:val="nil"/>
            </w:tcBorders>
            <w:noWrap w:val="0"/>
            <w:vAlign w:val="center"/>
          </w:tcPr>
          <w:p w14:paraId="0889FBED">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p>
        </w:tc>
        <w:tc>
          <w:tcPr>
            <w:tcW w:w="1257" w:type="pct"/>
            <w:gridSpan w:val="4"/>
            <w:tcBorders>
              <w:tl2br w:val="nil"/>
              <w:tr2bl w:val="nil"/>
            </w:tcBorders>
            <w:noWrap w:val="0"/>
            <w:vAlign w:val="center"/>
          </w:tcPr>
          <w:p w14:paraId="4852FBA6">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环境质量</w:t>
            </w:r>
          </w:p>
        </w:tc>
        <w:tc>
          <w:tcPr>
            <w:tcW w:w="1259" w:type="pct"/>
            <w:gridSpan w:val="3"/>
            <w:tcBorders>
              <w:tl2br w:val="nil"/>
              <w:tr2bl w:val="nil"/>
            </w:tcBorders>
            <w:noWrap w:val="0"/>
            <w:vAlign w:val="center"/>
          </w:tcPr>
          <w:p w14:paraId="1F7469BE">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污染源</w:t>
            </w:r>
          </w:p>
        </w:tc>
      </w:tr>
      <w:tr w14:paraId="0A397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3" w:type="pct"/>
            <w:vMerge w:val="continue"/>
            <w:tcBorders>
              <w:tl2br w:val="nil"/>
              <w:tr2bl w:val="nil"/>
            </w:tcBorders>
            <w:noWrap w:val="0"/>
            <w:vAlign w:val="center"/>
          </w:tcPr>
          <w:p w14:paraId="7B1DAE57">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1EE87872">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91" w:type="pct"/>
            <w:gridSpan w:val="3"/>
            <w:tcBorders>
              <w:tl2br w:val="nil"/>
              <w:tr2bl w:val="nil"/>
            </w:tcBorders>
            <w:noWrap w:val="0"/>
            <w:vAlign w:val="center"/>
          </w:tcPr>
          <w:p w14:paraId="1A1153C2">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监测方式</w:t>
            </w:r>
          </w:p>
        </w:tc>
        <w:tc>
          <w:tcPr>
            <w:tcW w:w="1257" w:type="pct"/>
            <w:gridSpan w:val="4"/>
            <w:tcBorders>
              <w:tl2br w:val="nil"/>
              <w:tr2bl w:val="nil"/>
            </w:tcBorders>
            <w:noWrap w:val="0"/>
            <w:vAlign w:val="center"/>
          </w:tcPr>
          <w:p w14:paraId="2EDB1545">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手动□</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；自动</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；无监测</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259" w:type="pct"/>
            <w:gridSpan w:val="3"/>
            <w:tcBorders>
              <w:tl2br w:val="nil"/>
              <w:tr2bl w:val="nil"/>
            </w:tcBorders>
            <w:noWrap w:val="0"/>
            <w:vAlign w:val="center"/>
          </w:tcPr>
          <w:p w14:paraId="4AE37E55">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手动□</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；自动</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t>；无监测</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152523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3" w:type="pct"/>
            <w:vMerge w:val="continue"/>
            <w:tcBorders>
              <w:tl2br w:val="nil"/>
              <w:tr2bl w:val="nil"/>
            </w:tcBorders>
            <w:noWrap w:val="0"/>
            <w:vAlign w:val="center"/>
          </w:tcPr>
          <w:p w14:paraId="43717CAD">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667D07FC">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91" w:type="pct"/>
            <w:gridSpan w:val="3"/>
            <w:tcBorders>
              <w:tl2br w:val="nil"/>
              <w:tr2bl w:val="nil"/>
            </w:tcBorders>
            <w:noWrap w:val="0"/>
            <w:vAlign w:val="center"/>
          </w:tcPr>
          <w:p w14:paraId="318FAD0F">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监测点位</w:t>
            </w:r>
          </w:p>
        </w:tc>
        <w:tc>
          <w:tcPr>
            <w:tcW w:w="1257" w:type="pct"/>
            <w:gridSpan w:val="4"/>
            <w:tcBorders>
              <w:tl2br w:val="nil"/>
              <w:tr2bl w:val="nil"/>
            </w:tcBorders>
            <w:noWrap w:val="0"/>
            <w:vAlign w:val="center"/>
          </w:tcPr>
          <w:p w14:paraId="08ACB0FB">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259" w:type="pct"/>
            <w:gridSpan w:val="3"/>
            <w:tcBorders>
              <w:tl2br w:val="nil"/>
              <w:tr2bl w:val="nil"/>
            </w:tcBorders>
            <w:noWrap w:val="0"/>
            <w:vAlign w:val="center"/>
          </w:tcPr>
          <w:p w14:paraId="4FC02AD0">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421CC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3" w:type="pct"/>
            <w:vMerge w:val="continue"/>
            <w:tcBorders>
              <w:tl2br w:val="nil"/>
              <w:tr2bl w:val="nil"/>
            </w:tcBorders>
            <w:noWrap w:val="0"/>
            <w:vAlign w:val="center"/>
          </w:tcPr>
          <w:p w14:paraId="0CE6162F">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7" w:type="pct"/>
            <w:vMerge w:val="continue"/>
            <w:tcBorders>
              <w:tl2br w:val="nil"/>
              <w:tr2bl w:val="nil"/>
            </w:tcBorders>
            <w:noWrap w:val="0"/>
            <w:vAlign w:val="center"/>
          </w:tcPr>
          <w:p w14:paraId="7362158A">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91" w:type="pct"/>
            <w:gridSpan w:val="3"/>
            <w:tcBorders>
              <w:tl2br w:val="nil"/>
              <w:tr2bl w:val="nil"/>
            </w:tcBorders>
            <w:noWrap w:val="0"/>
            <w:vAlign w:val="center"/>
          </w:tcPr>
          <w:p w14:paraId="00A53150">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监测因子</w:t>
            </w:r>
          </w:p>
        </w:tc>
        <w:tc>
          <w:tcPr>
            <w:tcW w:w="1257" w:type="pct"/>
            <w:gridSpan w:val="4"/>
            <w:tcBorders>
              <w:tl2br w:val="nil"/>
              <w:tr2bl w:val="nil"/>
            </w:tcBorders>
            <w:noWrap w:val="0"/>
            <w:vAlign w:val="center"/>
          </w:tcPr>
          <w:p w14:paraId="75CAA2A7">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c>
          <w:tcPr>
            <w:tcW w:w="1259" w:type="pct"/>
            <w:gridSpan w:val="3"/>
            <w:tcBorders>
              <w:tl2br w:val="nil"/>
              <w:tr2bl w:val="nil"/>
            </w:tcBorders>
            <w:noWrap w:val="0"/>
            <w:vAlign w:val="center"/>
          </w:tcPr>
          <w:p w14:paraId="00C174DE">
            <w:pPr>
              <w:keepNext w:val="0"/>
              <w:keepLines w:val="0"/>
              <w:pageBreakBefore w:val="0"/>
              <w:widowControl w:val="0"/>
              <w:kinsoku/>
              <w:wordWrap/>
              <w:overflowPunct/>
              <w:topLinePunct w:val="0"/>
              <w:autoSpaceDE/>
              <w:autoSpaceDN/>
              <w:bidi w:val="0"/>
              <w:spacing w:after="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50595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continue"/>
            <w:tcBorders>
              <w:tl2br w:val="nil"/>
              <w:tr2bl w:val="nil"/>
            </w:tcBorders>
            <w:noWrap w:val="0"/>
            <w:vAlign w:val="center"/>
          </w:tcPr>
          <w:p w14:paraId="4136ED42">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727" w:type="pct"/>
            <w:tcBorders>
              <w:tl2br w:val="nil"/>
              <w:tr2bl w:val="nil"/>
            </w:tcBorders>
            <w:noWrap w:val="0"/>
            <w:vAlign w:val="center"/>
          </w:tcPr>
          <w:p w14:paraId="5418A38C">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污染物排放清单</w:t>
            </w:r>
          </w:p>
        </w:tc>
        <w:tc>
          <w:tcPr>
            <w:tcW w:w="4108" w:type="pct"/>
            <w:gridSpan w:val="10"/>
            <w:tcBorders>
              <w:tl2br w:val="nil"/>
              <w:tr2bl w:val="nil"/>
            </w:tcBorders>
            <w:noWrap w:val="0"/>
            <w:vAlign w:val="center"/>
          </w:tcPr>
          <w:p w14:paraId="2B602AB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p>
        </w:tc>
      </w:tr>
      <w:tr w14:paraId="54963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gridSpan w:val="2"/>
            <w:tcBorders>
              <w:tl2br w:val="nil"/>
              <w:tr2bl w:val="nil"/>
            </w:tcBorders>
            <w:noWrap w:val="0"/>
            <w:vAlign w:val="center"/>
          </w:tcPr>
          <w:p w14:paraId="465790AB">
            <w:pPr>
              <w:keepNext w:val="0"/>
              <w:keepLines w:val="0"/>
              <w:pageBreakBefore w:val="0"/>
              <w:widowControl w:val="0"/>
              <w:kinsoku/>
              <w:wordWrap/>
              <w:overflowPunct/>
              <w:topLinePunct w:val="0"/>
              <w:autoSpaceDE/>
              <w:autoSpaceDN/>
              <w:bidi w:val="0"/>
              <w:spacing w:after="0"/>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评价结论</w:t>
            </w:r>
          </w:p>
        </w:tc>
        <w:tc>
          <w:tcPr>
            <w:tcW w:w="4108" w:type="pct"/>
            <w:gridSpan w:val="10"/>
            <w:tcBorders>
              <w:tl2br w:val="nil"/>
              <w:tr2bl w:val="nil"/>
            </w:tcBorders>
            <w:noWrap w:val="0"/>
            <w:vAlign w:val="center"/>
          </w:tcPr>
          <w:p w14:paraId="09786291">
            <w:pPr>
              <w:keepNext w:val="0"/>
              <w:keepLines w:val="0"/>
              <w:pageBreakBefore w:val="0"/>
              <w:widowControl w:val="0"/>
              <w:kinsoku/>
              <w:wordWrap/>
              <w:overflowPunct/>
              <w:topLinePunct w:val="0"/>
              <w:autoSpaceDE/>
              <w:autoSpaceDN/>
              <w:bidi w:val="0"/>
              <w:spacing w:after="0"/>
              <w:jc w:val="left"/>
              <w:textAlignment w:val="auto"/>
              <w:rPr>
                <w:rFonts w:hint="eastAsia" w:ascii="宋体" w:hAnsi="宋体" w:eastAsia="宋体" w:cs="宋体"/>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可以接受☑；不可以接受□</w:t>
            </w:r>
          </w:p>
        </w:tc>
      </w:tr>
    </w:tbl>
    <w:p w14:paraId="7AEBFED7">
      <w:pPr>
        <w:pStyle w:val="37"/>
        <w:keepNext w:val="0"/>
        <w:keepLines w:val="0"/>
        <w:pageBreakBefore w:val="0"/>
        <w:widowControl w:val="0"/>
        <w:kinsoku/>
        <w:wordWrap/>
        <w:topLinePunct w:val="0"/>
        <w:bidi w:val="0"/>
        <w:ind w:left="0" w:leftChars="0" w:firstLine="0" w:firstLineChars="0"/>
        <w:rPr>
          <w:rFonts w:hint="default" w:ascii="Times New Roman" w:hAnsi="Times New Roman" w:eastAsia="宋体" w:cs="Times New Roman"/>
          <w:color w:val="000000" w:themeColor="text1"/>
          <w:highlight w:val="none"/>
          <w:lang w:val="en-US" w:eastAsia="zh-CN"/>
          <w14:textFill>
            <w14:solidFill>
              <w14:schemeClr w14:val="tx1"/>
            </w14:solidFill>
          </w14:textFill>
        </w:rPr>
      </w:pPr>
    </w:p>
    <w:sectPr>
      <w:headerReference r:id="rId1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07F25">
    <w:pPr>
      <w:pStyle w:val="10"/>
      <w:jc w:val="center"/>
    </w:pPr>
  </w:p>
  <w:p w14:paraId="67093FED">
    <w:pPr>
      <w:pStyle w:val="10"/>
      <w:tabs>
        <w:tab w:val="left" w:pos="7090"/>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143B7">
    <w:pPr>
      <w:pStyle w:val="10"/>
      <w:jc w:val="center"/>
    </w:pPr>
  </w:p>
  <w:p w14:paraId="7D22F02F">
    <w:pPr>
      <w:pStyle w:val="10"/>
      <w:tabs>
        <w:tab w:val="left" w:pos="7090"/>
        <w:tab w:val="clear" w:pos="4153"/>
        <w:tab w:val="clear" w:pos="830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1244C">
    <w:pPr>
      <w:pStyle w:val="10"/>
      <w:widowControl w:val="0"/>
      <w:pBdr>
        <w:top w:val="thinThickSmallGap" w:color="auto" w:sz="18" w:space="1"/>
      </w:pBdr>
      <w:tabs>
        <w:tab w:val="center" w:pos="4500"/>
        <w:tab w:val="left" w:pos="8820"/>
        <w:tab w:val="clear" w:pos="4153"/>
        <w:tab w:val="clear" w:pos="8306"/>
      </w:tabs>
      <w:overflowPunct w:val="0"/>
      <w:spacing w:after="0"/>
      <w:rPr>
        <w:rFonts w:hint="eastAsia" w:eastAsia="微软雅黑"/>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7141F">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14:paraId="0EF7141F">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hAnsi="Times New Roman" w:eastAsia="宋体" w:asciiTheme="minorHAnsi"/>
        <w:b/>
        <w:i/>
        <w:lang w:eastAsia="zh-CN"/>
      </w:rPr>
      <w:t>黑龙江省合壹环保科技有限公司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7C1C">
    <w:pPr>
      <w:pStyle w:val="10"/>
      <w:widowControl w:val="0"/>
      <w:pBdr>
        <w:top w:val="thinThickSmallGap" w:color="auto" w:sz="18" w:space="1"/>
      </w:pBdr>
      <w:tabs>
        <w:tab w:val="center" w:pos="4500"/>
        <w:tab w:val="left" w:pos="8820"/>
        <w:tab w:val="clear" w:pos="4153"/>
        <w:tab w:val="clear" w:pos="8306"/>
      </w:tabs>
      <w:overflowPunct w:val="0"/>
      <w:spacing w:after="0"/>
      <w:rPr>
        <w:rFonts w:hint="eastAsia" w:eastAsia="微软雅黑"/>
        <w:lang w:eastAsia="zh-CN"/>
      </w:rPr>
    </w:pPr>
    <w:r>
      <w:rPr>
        <w:sz w:val="18"/>
      </w:rPr>
      <mc:AlternateContent>
        <mc:Choice Requires="wps">
          <w:drawing>
            <wp:anchor distT="0" distB="0" distL="114300" distR="114300" simplePos="0" relativeHeight="251672576" behindDoc="0" locked="0" layoutInCell="1" allowOverlap="1">
              <wp:simplePos x="0" y="0"/>
              <wp:positionH relativeFrom="margin">
                <wp:posOffset>2846070</wp:posOffset>
              </wp:positionH>
              <wp:positionV relativeFrom="paragraph">
                <wp:posOffset>-8890</wp:posOffset>
              </wp:positionV>
              <wp:extent cx="206375" cy="15303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6375" cy="153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E8F60">
                          <w:pPr>
                            <w:pStyle w:val="10"/>
                            <w:keepNext w:val="0"/>
                            <w:keepLines w:val="0"/>
                            <w:pageBreakBefore w:val="0"/>
                            <w:widowControl/>
                            <w:kinsoku/>
                            <w:wordWrap/>
                            <w:overflowPunct/>
                            <w:topLinePunct w:val="0"/>
                            <w:bidi w:val="0"/>
                            <w:adjustRightInd w:val="0"/>
                            <w:snapToGrid w:val="0"/>
                            <w:spacing w:after="0"/>
                            <w:textAlignment w:val="auto"/>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4.1pt;margin-top:-0.7pt;height:12.05pt;width:16.25pt;mso-position-horizontal-relative:margin;z-index:251672576;mso-width-relative:page;mso-height-relative:page;" filled="f" stroked="f" coordsize="21600,21600" o:gfxdata="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qQp0R2AAAAAkBAAAPAAAAAAAAAAEAIAAAACIAAABkcnMvZG93&#10;bnJldi54bWxQSwECFAAUAAAACACHTuJAag0voTkCAABjBAAADgAAAAAAAAABACAAAAAnAQAAZHJz&#10;L2Uyb0RvYy54bWxQSwUGAAAAAAYABgBZAQAA0gUAAAAA&#10;">
              <v:fill on="f" focussize="0,0"/>
              <v:stroke on="f" weight="0.5pt"/>
              <v:imagedata o:title=""/>
              <o:lock v:ext="edit" aspectratio="f"/>
              <v:textbox inset="0mm,0mm,0mm,0mm">
                <w:txbxContent>
                  <w:p w14:paraId="351E8F60">
                    <w:pPr>
                      <w:pStyle w:val="10"/>
                      <w:keepNext w:val="0"/>
                      <w:keepLines w:val="0"/>
                      <w:pageBreakBefore w:val="0"/>
                      <w:widowControl/>
                      <w:kinsoku/>
                      <w:wordWrap/>
                      <w:overflowPunct/>
                      <w:topLinePunct w:val="0"/>
                      <w:bidi w:val="0"/>
                      <w:adjustRightInd w:val="0"/>
                      <w:snapToGrid w:val="0"/>
                      <w:spacing w:after="0"/>
                      <w:textAlignment w:val="auto"/>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hAnsi="Times New Roman" w:eastAsia="宋体" w:asciiTheme="minorHAnsi"/>
        <w:b/>
        <w:i/>
        <w:lang w:eastAsia="zh-CN"/>
      </w:rPr>
      <w:t>黑龙江省合壹环保科技有限公司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AABB4">
    <w:pPr>
      <w:widowControl w:val="0"/>
      <w:pBdr>
        <w:top w:val="thinThickSmallGap" w:color="auto" w:sz="18" w:space="1"/>
      </w:pBdr>
      <w:tabs>
        <w:tab w:val="center" w:pos="4500"/>
        <w:tab w:val="left" w:pos="8820"/>
      </w:tabs>
      <w:overflowPunct w:val="0"/>
      <w:adjustRightInd w:val="0"/>
      <w:snapToGrid w:val="0"/>
      <w:spacing w:after="0"/>
      <w:rPr>
        <w:rFonts w:ascii="Tahoma" w:hAnsi="Tahoma" w:eastAsia="微软雅黑" w:cs="Times New Roman"/>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posOffset>5019675</wp:posOffset>
              </wp:positionH>
              <wp:positionV relativeFrom="paragraph">
                <wp:posOffset>6350</wp:posOffset>
              </wp:positionV>
              <wp:extent cx="588645"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8864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4795B">
                          <w:pPr>
                            <w:pStyle w:val="10"/>
                          </w:pPr>
                          <w:r>
                            <w:t>第</w:t>
                          </w:r>
                          <w:r>
                            <w:fldChar w:fldCharType="begin"/>
                          </w:r>
                          <w:r>
                            <w:instrText xml:space="preserve"> PAGE  \* MERGEFORMAT </w:instrText>
                          </w:r>
                          <w:r>
                            <w:fldChar w:fldCharType="separate"/>
                          </w:r>
                          <w:r>
                            <w:t>1</w:t>
                          </w:r>
                          <w:r>
                            <w:fldChar w:fldCharType="end"/>
                          </w:r>
                          <w:r>
                            <w:t>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5.25pt;margin-top:0.5pt;height:144pt;width:46.35pt;mso-position-horizontal-relative:margin;z-index:251661312;mso-width-relative:page;mso-height-relative:page;" filled="f" stroked="f" coordsize="21600,21600" o:gfxdata="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kZzObXAAAACQEAAA8AAAAAAAAAAQAgAAAAIgAAAGRycy9kb3du&#10;cmV2LnhtbFBLAQIUABQAAAAIAIdO4kBk5h/3OQIAAGIEAAAOAAAAAAAAAAEAIAAAACYBAABkcnMv&#10;ZTJvRG9jLnhtbFBLBQYAAAAABgAGAFkBAADRBQAAAAA=&#10;">
              <v:fill on="f" focussize="0,0"/>
              <v:stroke on="f" weight="0.5pt"/>
              <v:imagedata o:title=""/>
              <o:lock v:ext="edit" aspectratio="f"/>
              <v:textbox inset="0mm,0mm,0mm,0mm" style="mso-fit-shape-to-text:t;">
                <w:txbxContent>
                  <w:p w14:paraId="32A4795B">
                    <w:pPr>
                      <w:pStyle w:val="10"/>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r>
      <w:rPr>
        <w:rFonts w:hint="eastAsia" w:ascii="黑体" w:hAnsi="黑体" w:eastAsia="黑体" w:cs="黑体"/>
        <w:color w:val="auto"/>
        <w:sz w:val="15"/>
        <w:szCs w:val="15"/>
        <w:highlight w:val="none"/>
        <w:lang w:val="en-US" w:eastAsia="zh-CN" w:bidi="ar-SA"/>
      </w:rPr>
      <w:t>黑龙江省合壹环保科技有限公司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16D3">
    <w:pPr>
      <w:pStyle w:val="1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F73E1">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5EEF4">
    <w:pPr>
      <w:pBdr>
        <w:bottom w:val="thinThickSmallGap" w:color="auto" w:sz="18" w:space="1"/>
      </w:pBdr>
      <w:tabs>
        <w:tab w:val="center" w:pos="4153"/>
        <w:tab w:val="right" w:pos="8306"/>
      </w:tabs>
      <w:jc w:val="center"/>
      <w:rPr>
        <w:rFonts w:ascii="仿宋" w:hAnsi="仿宋" w:eastAsia="仿宋"/>
        <w:sz w:val="18"/>
        <w:szCs w:val="18"/>
      </w:rPr>
    </w:pPr>
    <w:r>
      <w:rPr>
        <w:rFonts w:hint="eastAsia" w:ascii="仿宋" w:hAnsi="仿宋" w:eastAsia="仿宋"/>
        <w:b/>
        <w:i/>
        <w:sz w:val="18"/>
        <w:szCs w:val="18"/>
        <w:lang w:eastAsia="zh-CN"/>
      </w:rPr>
      <w:t>第八采油厂2025年管网改造工程</w:t>
    </w:r>
    <w:r>
      <w:rPr>
        <w:rFonts w:hint="eastAsia" w:ascii="仿宋" w:hAnsi="仿宋" w:eastAsia="仿宋"/>
        <w:b/>
        <w:i/>
        <w:sz w:val="18"/>
        <w:szCs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04868">
    <w:pPr>
      <w:pBdr>
        <w:bottom w:val="thinThickSmallGap" w:color="auto" w:sz="18" w:space="1"/>
      </w:pBdr>
      <w:tabs>
        <w:tab w:val="center" w:pos="4153"/>
        <w:tab w:val="right" w:pos="8306"/>
      </w:tabs>
      <w:jc w:val="center"/>
      <w:rPr>
        <w:rFonts w:ascii="仿宋" w:hAnsi="仿宋" w:eastAsia="仿宋"/>
        <w:sz w:val="18"/>
        <w:szCs w:val="18"/>
      </w:rPr>
    </w:pPr>
    <w:r>
      <w:rPr>
        <w:rFonts w:hint="eastAsia" w:ascii="仿宋" w:hAnsi="仿宋" w:eastAsia="仿宋"/>
        <w:b/>
        <w:i/>
        <w:sz w:val="18"/>
        <w:szCs w:val="18"/>
        <w:lang w:eastAsia="zh-CN"/>
      </w:rPr>
      <w:t>宋芳屯-第八采油厂2025年管网改造工程项目</w:t>
    </w:r>
    <w:r>
      <w:rPr>
        <w:rFonts w:hint="eastAsia" w:ascii="仿宋" w:hAnsi="仿宋" w:eastAsia="仿宋"/>
        <w:b/>
        <w:i/>
        <w:sz w:val="18"/>
        <w:szCs w:val="18"/>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FE335">
    <w:pPr>
      <w:pBdr>
        <w:bottom w:val="thinThickSmallGap" w:color="auto" w:sz="18" w:space="1"/>
      </w:pBdr>
      <w:tabs>
        <w:tab w:val="center" w:pos="4153"/>
        <w:tab w:val="right" w:pos="8306"/>
      </w:tabs>
      <w:jc w:val="center"/>
      <w:rPr>
        <w:rFonts w:ascii="仿宋" w:hAnsi="仿宋" w:eastAsia="仿宋"/>
        <w:sz w:val="18"/>
        <w:szCs w:val="18"/>
      </w:rPr>
    </w:pPr>
    <w:r>
      <w:rPr>
        <w:rFonts w:hint="eastAsia" w:ascii="仿宋" w:hAnsi="仿宋" w:eastAsia="仿宋"/>
        <w:b/>
        <w:i/>
        <w:sz w:val="18"/>
        <w:szCs w:val="18"/>
        <w:lang w:eastAsia="zh-CN"/>
      </w:rPr>
      <w:t>第八采油厂2025年管网改造工程项目</w:t>
    </w:r>
    <w:r>
      <w:rPr>
        <w:rFonts w:hint="eastAsia" w:ascii="仿宋" w:hAnsi="仿宋" w:eastAsia="仿宋"/>
        <w:b/>
        <w:i/>
        <w:sz w:val="18"/>
        <w:szCs w:val="18"/>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F37F7">
    <w:pPr>
      <w:pStyle w:val="1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7E423">
    <w:pPr>
      <w:pStyle w:val="1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11D8">
    <w:pPr>
      <w:pBdr>
        <w:bottom w:val="thinThickSmallGap" w:color="auto" w:sz="18" w:space="1"/>
      </w:pBdr>
      <w:tabs>
        <w:tab w:val="center" w:pos="4153"/>
        <w:tab w:val="right" w:pos="8306"/>
      </w:tabs>
      <w:jc w:val="center"/>
      <w:rPr>
        <w:rFonts w:ascii="仿宋" w:hAnsi="仿宋" w:eastAsia="仿宋"/>
        <w:sz w:val="18"/>
        <w:szCs w:val="18"/>
      </w:rPr>
    </w:pPr>
    <w:r>
      <w:rPr>
        <w:rFonts w:hint="eastAsia" w:ascii="仿宋" w:hAnsi="仿宋" w:eastAsia="仿宋"/>
        <w:b/>
        <w:i/>
        <w:sz w:val="18"/>
        <w:szCs w:val="18"/>
        <w:lang w:eastAsia="zh-CN"/>
      </w:rPr>
      <w:t>第八采油厂2025年管网改造工程项目</w:t>
    </w:r>
    <w:r>
      <w:rPr>
        <w:rFonts w:hint="eastAsia" w:ascii="仿宋" w:hAnsi="仿宋" w:eastAsia="仿宋"/>
        <w:b/>
        <w:i/>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F7EDA"/>
    <w:multiLevelType w:val="singleLevel"/>
    <w:tmpl w:val="876F7EDA"/>
    <w:lvl w:ilvl="0" w:tentative="0">
      <w:start w:val="1"/>
      <w:numFmt w:val="decimal"/>
      <w:suff w:val="nothing"/>
      <w:lvlText w:val="（%1）"/>
      <w:lvlJc w:val="left"/>
    </w:lvl>
  </w:abstractNum>
  <w:abstractNum w:abstractNumId="1">
    <w:nsid w:val="AF02EEDE"/>
    <w:multiLevelType w:val="singleLevel"/>
    <w:tmpl w:val="AF02EEDE"/>
    <w:lvl w:ilvl="0" w:tentative="0">
      <w:start w:val="1"/>
      <w:numFmt w:val="decimal"/>
      <w:suff w:val="nothing"/>
      <w:lvlText w:val="%1、"/>
      <w:lvlJc w:val="left"/>
    </w:lvl>
  </w:abstractNum>
  <w:abstractNum w:abstractNumId="2">
    <w:nsid w:val="B6BEA05F"/>
    <w:multiLevelType w:val="singleLevel"/>
    <w:tmpl w:val="B6BEA05F"/>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BDEFFAE6"/>
    <w:multiLevelType w:val="singleLevel"/>
    <w:tmpl w:val="BDEFFAE6"/>
    <w:lvl w:ilvl="0" w:tentative="0">
      <w:start w:val="1"/>
      <w:numFmt w:val="decimal"/>
      <w:suff w:val="nothing"/>
      <w:lvlText w:val="（%1）"/>
      <w:lvlJc w:val="left"/>
    </w:lvl>
  </w:abstractNum>
  <w:abstractNum w:abstractNumId="4">
    <w:nsid w:val="D2AB8DAF"/>
    <w:multiLevelType w:val="singleLevel"/>
    <w:tmpl w:val="D2AB8DAF"/>
    <w:lvl w:ilvl="0" w:tentative="0">
      <w:start w:val="1"/>
      <w:numFmt w:val="decimal"/>
      <w:suff w:val="nothing"/>
      <w:lvlText w:val="（%1）"/>
      <w:lvlJc w:val="left"/>
    </w:lvl>
  </w:abstractNum>
  <w:abstractNum w:abstractNumId="5">
    <w:nsid w:val="FB217A66"/>
    <w:multiLevelType w:val="singleLevel"/>
    <w:tmpl w:val="FB217A66"/>
    <w:lvl w:ilvl="0" w:tentative="0">
      <w:start w:val="1"/>
      <w:numFmt w:val="decimal"/>
      <w:suff w:val="nothing"/>
      <w:lvlText w:val="（%1）"/>
      <w:lvlJc w:val="left"/>
    </w:lvl>
  </w:abstractNum>
  <w:abstractNum w:abstractNumId="6">
    <w:nsid w:val="FDEEDB74"/>
    <w:multiLevelType w:val="singleLevel"/>
    <w:tmpl w:val="FDEEDB74"/>
    <w:lvl w:ilvl="0" w:tentative="0">
      <w:start w:val="2"/>
      <w:numFmt w:val="decimal"/>
      <w:suff w:val="nothing"/>
      <w:lvlText w:val="（%1）"/>
      <w:lvlJc w:val="left"/>
    </w:lvl>
  </w:abstractNum>
  <w:abstractNum w:abstractNumId="7">
    <w:nsid w:val="1291EA3A"/>
    <w:multiLevelType w:val="singleLevel"/>
    <w:tmpl w:val="1291EA3A"/>
    <w:lvl w:ilvl="0" w:tentative="0">
      <w:start w:val="1"/>
      <w:numFmt w:val="decimal"/>
      <w:suff w:val="nothing"/>
      <w:lvlText w:val="%1、"/>
      <w:lvlJc w:val="left"/>
    </w:lvl>
  </w:abstractNum>
  <w:abstractNum w:abstractNumId="8">
    <w:nsid w:val="2F0163D2"/>
    <w:multiLevelType w:val="singleLevel"/>
    <w:tmpl w:val="2F0163D2"/>
    <w:lvl w:ilvl="0" w:tentative="0">
      <w:start w:val="3"/>
      <w:numFmt w:val="decimal"/>
      <w:suff w:val="nothing"/>
      <w:lvlText w:val="（%1）"/>
      <w:lvlJc w:val="left"/>
    </w:lvl>
  </w:abstractNum>
  <w:abstractNum w:abstractNumId="9">
    <w:nsid w:val="47682342"/>
    <w:multiLevelType w:val="singleLevel"/>
    <w:tmpl w:val="47682342"/>
    <w:lvl w:ilvl="0" w:tentative="0">
      <w:start w:val="1"/>
      <w:numFmt w:val="decimal"/>
      <w:suff w:val="nothing"/>
      <w:lvlText w:val="（%1）"/>
      <w:lvlJc w:val="left"/>
    </w:lvl>
  </w:abstractNum>
  <w:abstractNum w:abstractNumId="10">
    <w:nsid w:val="4B4143EF"/>
    <w:multiLevelType w:val="singleLevel"/>
    <w:tmpl w:val="4B4143EF"/>
    <w:lvl w:ilvl="0" w:tentative="0">
      <w:start w:val="1"/>
      <w:numFmt w:val="decimal"/>
      <w:suff w:val="nothing"/>
      <w:lvlText w:val="（%1）"/>
      <w:lvlJc w:val="left"/>
    </w:lvl>
  </w:abstractNum>
  <w:abstractNum w:abstractNumId="11">
    <w:nsid w:val="701BF4EA"/>
    <w:multiLevelType w:val="singleLevel"/>
    <w:tmpl w:val="701BF4EA"/>
    <w:lvl w:ilvl="0" w:tentative="0">
      <w:start w:val="3"/>
      <w:numFmt w:val="decimal"/>
      <w:suff w:val="nothing"/>
      <w:lvlText w:val="（%1）"/>
      <w:lvlJc w:val="left"/>
    </w:lvl>
  </w:abstractNum>
  <w:abstractNum w:abstractNumId="12">
    <w:nsid w:val="7C29F39F"/>
    <w:multiLevelType w:val="singleLevel"/>
    <w:tmpl w:val="7C29F39F"/>
    <w:lvl w:ilvl="0" w:tentative="0">
      <w:start w:val="1"/>
      <w:numFmt w:val="decimal"/>
      <w:suff w:val="nothing"/>
      <w:lvlText w:val="（%1）"/>
      <w:lvlJc w:val="left"/>
    </w:lvl>
  </w:abstractNum>
  <w:num w:numId="1">
    <w:abstractNumId w:val="2"/>
  </w:num>
  <w:num w:numId="2">
    <w:abstractNumId w:val="9"/>
  </w:num>
  <w:num w:numId="3">
    <w:abstractNumId w:val="8"/>
  </w:num>
  <w:num w:numId="4">
    <w:abstractNumId w:val="1"/>
  </w:num>
  <w:num w:numId="5">
    <w:abstractNumId w:val="7"/>
  </w:num>
  <w:num w:numId="6">
    <w:abstractNumId w:val="12"/>
  </w:num>
  <w:num w:numId="7">
    <w:abstractNumId w:val="5"/>
  </w:num>
  <w:num w:numId="8">
    <w:abstractNumId w:val="4"/>
  </w:num>
  <w:num w:numId="9">
    <w:abstractNumId w:val="3"/>
  </w:num>
  <w:num w:numId="10">
    <w:abstractNumId w:val="10"/>
  </w:num>
  <w:num w:numId="11">
    <w:abstractNumId w:val="11"/>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5MjgyYmJkMTc0YTQ5MThlNDI0ZWU0YjNiYTNmOTIifQ=="/>
    <w:docVar w:name="KSO_WPS_MARK_KEY" w:val="2b02d631-24c2-4aaa-aba2-37cc53ebe75f"/>
  </w:docVars>
  <w:rsids>
    <w:rsidRoot w:val="00172A27"/>
    <w:rsid w:val="00315E1D"/>
    <w:rsid w:val="003D44AD"/>
    <w:rsid w:val="005364FC"/>
    <w:rsid w:val="006E63BE"/>
    <w:rsid w:val="00824243"/>
    <w:rsid w:val="00836820"/>
    <w:rsid w:val="00893649"/>
    <w:rsid w:val="0098388D"/>
    <w:rsid w:val="00B572BB"/>
    <w:rsid w:val="00BC757B"/>
    <w:rsid w:val="00DF68BB"/>
    <w:rsid w:val="010304AD"/>
    <w:rsid w:val="010530FE"/>
    <w:rsid w:val="01220FBE"/>
    <w:rsid w:val="01484294"/>
    <w:rsid w:val="014E007B"/>
    <w:rsid w:val="016A5229"/>
    <w:rsid w:val="016B1D63"/>
    <w:rsid w:val="016F0F11"/>
    <w:rsid w:val="01A0356A"/>
    <w:rsid w:val="01DD3C4D"/>
    <w:rsid w:val="01E202A3"/>
    <w:rsid w:val="01E26C92"/>
    <w:rsid w:val="01F66D5D"/>
    <w:rsid w:val="02064AE0"/>
    <w:rsid w:val="023207B4"/>
    <w:rsid w:val="023A2E4D"/>
    <w:rsid w:val="02494095"/>
    <w:rsid w:val="024A0BB7"/>
    <w:rsid w:val="026406A1"/>
    <w:rsid w:val="027B656D"/>
    <w:rsid w:val="02954CA3"/>
    <w:rsid w:val="02A45786"/>
    <w:rsid w:val="02A67511"/>
    <w:rsid w:val="02B27BE7"/>
    <w:rsid w:val="02B52978"/>
    <w:rsid w:val="02D92D3D"/>
    <w:rsid w:val="02E743C7"/>
    <w:rsid w:val="02E85330"/>
    <w:rsid w:val="0313544C"/>
    <w:rsid w:val="032D650E"/>
    <w:rsid w:val="03664F47"/>
    <w:rsid w:val="03676145"/>
    <w:rsid w:val="036A3CD6"/>
    <w:rsid w:val="037405E1"/>
    <w:rsid w:val="0379569E"/>
    <w:rsid w:val="03795884"/>
    <w:rsid w:val="037A095A"/>
    <w:rsid w:val="0385459C"/>
    <w:rsid w:val="03CD7173"/>
    <w:rsid w:val="03D33559"/>
    <w:rsid w:val="04090CF0"/>
    <w:rsid w:val="0415532F"/>
    <w:rsid w:val="04472DF8"/>
    <w:rsid w:val="044C484D"/>
    <w:rsid w:val="044F0706"/>
    <w:rsid w:val="04954A32"/>
    <w:rsid w:val="049E22CC"/>
    <w:rsid w:val="04B75458"/>
    <w:rsid w:val="04CA1D57"/>
    <w:rsid w:val="04E67E0C"/>
    <w:rsid w:val="04F8014A"/>
    <w:rsid w:val="050E745D"/>
    <w:rsid w:val="05151207"/>
    <w:rsid w:val="053D39CE"/>
    <w:rsid w:val="053F5209"/>
    <w:rsid w:val="055C7717"/>
    <w:rsid w:val="056A61EA"/>
    <w:rsid w:val="05704C5F"/>
    <w:rsid w:val="057C68B8"/>
    <w:rsid w:val="057E7581"/>
    <w:rsid w:val="058608DE"/>
    <w:rsid w:val="058762A2"/>
    <w:rsid w:val="058D4433"/>
    <w:rsid w:val="05A50167"/>
    <w:rsid w:val="05BF42BD"/>
    <w:rsid w:val="05C1311F"/>
    <w:rsid w:val="06010975"/>
    <w:rsid w:val="0617479A"/>
    <w:rsid w:val="0626559C"/>
    <w:rsid w:val="062E429D"/>
    <w:rsid w:val="063268F5"/>
    <w:rsid w:val="06587E4E"/>
    <w:rsid w:val="066813DB"/>
    <w:rsid w:val="067A240E"/>
    <w:rsid w:val="0697366D"/>
    <w:rsid w:val="069E18E6"/>
    <w:rsid w:val="06A35DE4"/>
    <w:rsid w:val="06A82ED2"/>
    <w:rsid w:val="06B571DF"/>
    <w:rsid w:val="06C672D2"/>
    <w:rsid w:val="06D33810"/>
    <w:rsid w:val="06F021D3"/>
    <w:rsid w:val="07011237"/>
    <w:rsid w:val="0702016C"/>
    <w:rsid w:val="07077C39"/>
    <w:rsid w:val="0747075D"/>
    <w:rsid w:val="07624915"/>
    <w:rsid w:val="07744DAE"/>
    <w:rsid w:val="079E4554"/>
    <w:rsid w:val="07CD3E58"/>
    <w:rsid w:val="07D929BF"/>
    <w:rsid w:val="07EF3BE3"/>
    <w:rsid w:val="07F32417"/>
    <w:rsid w:val="07FE2B6F"/>
    <w:rsid w:val="08083F2A"/>
    <w:rsid w:val="08205F73"/>
    <w:rsid w:val="082223BA"/>
    <w:rsid w:val="082425D6"/>
    <w:rsid w:val="082E49BD"/>
    <w:rsid w:val="08346563"/>
    <w:rsid w:val="08476B26"/>
    <w:rsid w:val="087B4365"/>
    <w:rsid w:val="088969F0"/>
    <w:rsid w:val="08915791"/>
    <w:rsid w:val="08B84FD5"/>
    <w:rsid w:val="08C416C3"/>
    <w:rsid w:val="08E22180"/>
    <w:rsid w:val="08F31FA8"/>
    <w:rsid w:val="0902043D"/>
    <w:rsid w:val="090266A8"/>
    <w:rsid w:val="09341E96"/>
    <w:rsid w:val="093455E9"/>
    <w:rsid w:val="09441CCD"/>
    <w:rsid w:val="095C18FB"/>
    <w:rsid w:val="09970B85"/>
    <w:rsid w:val="099C20BC"/>
    <w:rsid w:val="09A96737"/>
    <w:rsid w:val="09B469AA"/>
    <w:rsid w:val="09D21BBD"/>
    <w:rsid w:val="09D6405B"/>
    <w:rsid w:val="09EC28F9"/>
    <w:rsid w:val="09EF7F21"/>
    <w:rsid w:val="0A256191"/>
    <w:rsid w:val="0A272BF7"/>
    <w:rsid w:val="0A3A6FC8"/>
    <w:rsid w:val="0A624878"/>
    <w:rsid w:val="0AAE4EA2"/>
    <w:rsid w:val="0AB3379D"/>
    <w:rsid w:val="0ABD054B"/>
    <w:rsid w:val="0ABE2142"/>
    <w:rsid w:val="0AD1739D"/>
    <w:rsid w:val="0AD656DD"/>
    <w:rsid w:val="0ADD2EA7"/>
    <w:rsid w:val="0B2621C1"/>
    <w:rsid w:val="0B3A7A6C"/>
    <w:rsid w:val="0B4D05D3"/>
    <w:rsid w:val="0B5207A2"/>
    <w:rsid w:val="0B5C1A41"/>
    <w:rsid w:val="0B774102"/>
    <w:rsid w:val="0B980BE5"/>
    <w:rsid w:val="0B9C302E"/>
    <w:rsid w:val="0BAC0749"/>
    <w:rsid w:val="0BAE764F"/>
    <w:rsid w:val="0BB8033A"/>
    <w:rsid w:val="0BBB7134"/>
    <w:rsid w:val="0BC26EC1"/>
    <w:rsid w:val="0BC937DD"/>
    <w:rsid w:val="0BD16C8D"/>
    <w:rsid w:val="0BEB340A"/>
    <w:rsid w:val="0BF9168A"/>
    <w:rsid w:val="0C1535C2"/>
    <w:rsid w:val="0C2D7638"/>
    <w:rsid w:val="0C2E64E6"/>
    <w:rsid w:val="0C3152C1"/>
    <w:rsid w:val="0C326EE1"/>
    <w:rsid w:val="0C5105A4"/>
    <w:rsid w:val="0C552C5F"/>
    <w:rsid w:val="0C642BA9"/>
    <w:rsid w:val="0C796C68"/>
    <w:rsid w:val="0C9526B5"/>
    <w:rsid w:val="0CA80935"/>
    <w:rsid w:val="0CB13FF3"/>
    <w:rsid w:val="0CCA74C4"/>
    <w:rsid w:val="0CE265BB"/>
    <w:rsid w:val="0CE445EF"/>
    <w:rsid w:val="0CFF583A"/>
    <w:rsid w:val="0D077DD0"/>
    <w:rsid w:val="0D164897"/>
    <w:rsid w:val="0D3F54DD"/>
    <w:rsid w:val="0D440C0A"/>
    <w:rsid w:val="0D70730E"/>
    <w:rsid w:val="0D996493"/>
    <w:rsid w:val="0DAE436B"/>
    <w:rsid w:val="0DDB5F7A"/>
    <w:rsid w:val="0DF94DB5"/>
    <w:rsid w:val="0E142062"/>
    <w:rsid w:val="0E280E57"/>
    <w:rsid w:val="0E316732"/>
    <w:rsid w:val="0E482315"/>
    <w:rsid w:val="0E6E0413"/>
    <w:rsid w:val="0EA967ED"/>
    <w:rsid w:val="0EBA0709"/>
    <w:rsid w:val="0EBB3568"/>
    <w:rsid w:val="0EBB5316"/>
    <w:rsid w:val="0ECC5E61"/>
    <w:rsid w:val="0EF024FE"/>
    <w:rsid w:val="0EF625DF"/>
    <w:rsid w:val="0EFA3E31"/>
    <w:rsid w:val="0F0F7410"/>
    <w:rsid w:val="0F2904D1"/>
    <w:rsid w:val="0F5F0397"/>
    <w:rsid w:val="0F6231FA"/>
    <w:rsid w:val="0F700028"/>
    <w:rsid w:val="0F8B2EB0"/>
    <w:rsid w:val="0F8B4526"/>
    <w:rsid w:val="0F900A8A"/>
    <w:rsid w:val="0FB026BA"/>
    <w:rsid w:val="0FB73EED"/>
    <w:rsid w:val="0FD058A7"/>
    <w:rsid w:val="0FD91EF8"/>
    <w:rsid w:val="0FE331FC"/>
    <w:rsid w:val="10150A56"/>
    <w:rsid w:val="10305890"/>
    <w:rsid w:val="104B091B"/>
    <w:rsid w:val="105B28D3"/>
    <w:rsid w:val="10625A8B"/>
    <w:rsid w:val="106F4149"/>
    <w:rsid w:val="10B4201D"/>
    <w:rsid w:val="10BD22A9"/>
    <w:rsid w:val="10D57B32"/>
    <w:rsid w:val="10F15F04"/>
    <w:rsid w:val="110343BD"/>
    <w:rsid w:val="11074842"/>
    <w:rsid w:val="110B58E5"/>
    <w:rsid w:val="11160F29"/>
    <w:rsid w:val="114535BD"/>
    <w:rsid w:val="11656B42"/>
    <w:rsid w:val="11665A0D"/>
    <w:rsid w:val="117C3E8D"/>
    <w:rsid w:val="119B07AD"/>
    <w:rsid w:val="11CD0504"/>
    <w:rsid w:val="11EC50F9"/>
    <w:rsid w:val="11EE0483"/>
    <w:rsid w:val="12043D00"/>
    <w:rsid w:val="12246BA6"/>
    <w:rsid w:val="122A6587"/>
    <w:rsid w:val="122F11AC"/>
    <w:rsid w:val="12435D4E"/>
    <w:rsid w:val="12485112"/>
    <w:rsid w:val="12541D09"/>
    <w:rsid w:val="125F420A"/>
    <w:rsid w:val="127E6189"/>
    <w:rsid w:val="12870A42"/>
    <w:rsid w:val="128751A6"/>
    <w:rsid w:val="12B96010"/>
    <w:rsid w:val="12BC349B"/>
    <w:rsid w:val="12C06265"/>
    <w:rsid w:val="12DD169C"/>
    <w:rsid w:val="12EE26FD"/>
    <w:rsid w:val="1312118D"/>
    <w:rsid w:val="132E137E"/>
    <w:rsid w:val="134E4D84"/>
    <w:rsid w:val="136F6A03"/>
    <w:rsid w:val="137C2B47"/>
    <w:rsid w:val="1384217A"/>
    <w:rsid w:val="13966A26"/>
    <w:rsid w:val="13987DB4"/>
    <w:rsid w:val="139B5716"/>
    <w:rsid w:val="13AC2D7A"/>
    <w:rsid w:val="13BD4DA4"/>
    <w:rsid w:val="13C908A8"/>
    <w:rsid w:val="14266C26"/>
    <w:rsid w:val="1436303E"/>
    <w:rsid w:val="14385654"/>
    <w:rsid w:val="1448764C"/>
    <w:rsid w:val="14697BE6"/>
    <w:rsid w:val="14784D3D"/>
    <w:rsid w:val="14861F22"/>
    <w:rsid w:val="148B578A"/>
    <w:rsid w:val="14906D7F"/>
    <w:rsid w:val="14C80262"/>
    <w:rsid w:val="14D902A4"/>
    <w:rsid w:val="14E37F9E"/>
    <w:rsid w:val="14EB7692"/>
    <w:rsid w:val="14ED4A0C"/>
    <w:rsid w:val="1521615A"/>
    <w:rsid w:val="15324EE2"/>
    <w:rsid w:val="15352AAA"/>
    <w:rsid w:val="153D4CD7"/>
    <w:rsid w:val="153E7FCB"/>
    <w:rsid w:val="15595889"/>
    <w:rsid w:val="155C2C83"/>
    <w:rsid w:val="15B13177"/>
    <w:rsid w:val="15B54BF3"/>
    <w:rsid w:val="15D35A8F"/>
    <w:rsid w:val="15D370F1"/>
    <w:rsid w:val="15E33554"/>
    <w:rsid w:val="15E74886"/>
    <w:rsid w:val="15EF35D8"/>
    <w:rsid w:val="15F401AF"/>
    <w:rsid w:val="160F7526"/>
    <w:rsid w:val="16157A01"/>
    <w:rsid w:val="161812A0"/>
    <w:rsid w:val="161B330B"/>
    <w:rsid w:val="163E0A9E"/>
    <w:rsid w:val="16655F19"/>
    <w:rsid w:val="16833F47"/>
    <w:rsid w:val="16867D44"/>
    <w:rsid w:val="16A42B33"/>
    <w:rsid w:val="16A42F81"/>
    <w:rsid w:val="16A56C2E"/>
    <w:rsid w:val="16A91903"/>
    <w:rsid w:val="16B0772A"/>
    <w:rsid w:val="16BB2B9B"/>
    <w:rsid w:val="16CA3F41"/>
    <w:rsid w:val="16D46086"/>
    <w:rsid w:val="16E86EC4"/>
    <w:rsid w:val="170238D9"/>
    <w:rsid w:val="17027C95"/>
    <w:rsid w:val="171D2867"/>
    <w:rsid w:val="173914CE"/>
    <w:rsid w:val="17606A5A"/>
    <w:rsid w:val="176E0798"/>
    <w:rsid w:val="17865B5A"/>
    <w:rsid w:val="178D1819"/>
    <w:rsid w:val="17982698"/>
    <w:rsid w:val="17B5270A"/>
    <w:rsid w:val="17BD2A45"/>
    <w:rsid w:val="17BF00B7"/>
    <w:rsid w:val="17D62CC6"/>
    <w:rsid w:val="17E31439"/>
    <w:rsid w:val="17EC5D75"/>
    <w:rsid w:val="17FE7EEB"/>
    <w:rsid w:val="18071421"/>
    <w:rsid w:val="18426F29"/>
    <w:rsid w:val="18444B0A"/>
    <w:rsid w:val="184C55CA"/>
    <w:rsid w:val="185D1B60"/>
    <w:rsid w:val="18770EFA"/>
    <w:rsid w:val="1877170B"/>
    <w:rsid w:val="187E625B"/>
    <w:rsid w:val="188A386F"/>
    <w:rsid w:val="189160DC"/>
    <w:rsid w:val="18AB26BC"/>
    <w:rsid w:val="18B37C79"/>
    <w:rsid w:val="18C279A9"/>
    <w:rsid w:val="18CE3E98"/>
    <w:rsid w:val="18D14821"/>
    <w:rsid w:val="18D85B20"/>
    <w:rsid w:val="18E36400"/>
    <w:rsid w:val="191108A3"/>
    <w:rsid w:val="1921046B"/>
    <w:rsid w:val="19487815"/>
    <w:rsid w:val="195972AD"/>
    <w:rsid w:val="196B16E7"/>
    <w:rsid w:val="196E064C"/>
    <w:rsid w:val="1970627E"/>
    <w:rsid w:val="19782037"/>
    <w:rsid w:val="198033E4"/>
    <w:rsid w:val="1995486A"/>
    <w:rsid w:val="199B21E2"/>
    <w:rsid w:val="19DE635C"/>
    <w:rsid w:val="19FB6F0E"/>
    <w:rsid w:val="1A12156C"/>
    <w:rsid w:val="1A1A5C56"/>
    <w:rsid w:val="1A272593"/>
    <w:rsid w:val="1A456BD7"/>
    <w:rsid w:val="1A5225DD"/>
    <w:rsid w:val="1A5667E7"/>
    <w:rsid w:val="1A58610F"/>
    <w:rsid w:val="1A701E6A"/>
    <w:rsid w:val="1A800F04"/>
    <w:rsid w:val="1A923DD3"/>
    <w:rsid w:val="1A927913"/>
    <w:rsid w:val="1AF44089"/>
    <w:rsid w:val="1AFC0BF2"/>
    <w:rsid w:val="1B193ED6"/>
    <w:rsid w:val="1B19550F"/>
    <w:rsid w:val="1B281F85"/>
    <w:rsid w:val="1B2D27B2"/>
    <w:rsid w:val="1B395F40"/>
    <w:rsid w:val="1B447873"/>
    <w:rsid w:val="1B496E1C"/>
    <w:rsid w:val="1B632312"/>
    <w:rsid w:val="1B657425"/>
    <w:rsid w:val="1B66485B"/>
    <w:rsid w:val="1B6D3662"/>
    <w:rsid w:val="1B83540D"/>
    <w:rsid w:val="1B8E7DF5"/>
    <w:rsid w:val="1B902BDE"/>
    <w:rsid w:val="1BB93055"/>
    <w:rsid w:val="1BCD15A0"/>
    <w:rsid w:val="1BD96ED2"/>
    <w:rsid w:val="1BDC7FD9"/>
    <w:rsid w:val="1BE2736C"/>
    <w:rsid w:val="1BFD5468"/>
    <w:rsid w:val="1C00080C"/>
    <w:rsid w:val="1C0328E9"/>
    <w:rsid w:val="1C1A5D03"/>
    <w:rsid w:val="1C1D518B"/>
    <w:rsid w:val="1C3861F8"/>
    <w:rsid w:val="1C502CBA"/>
    <w:rsid w:val="1C563FE7"/>
    <w:rsid w:val="1C60600A"/>
    <w:rsid w:val="1C8C20A0"/>
    <w:rsid w:val="1CA00A0C"/>
    <w:rsid w:val="1CB3185B"/>
    <w:rsid w:val="1CB379EA"/>
    <w:rsid w:val="1CBD7923"/>
    <w:rsid w:val="1CC01E1F"/>
    <w:rsid w:val="1CF72722"/>
    <w:rsid w:val="1D0205B4"/>
    <w:rsid w:val="1D0C4282"/>
    <w:rsid w:val="1D0F220C"/>
    <w:rsid w:val="1D0F3F70"/>
    <w:rsid w:val="1D102CD1"/>
    <w:rsid w:val="1D26682C"/>
    <w:rsid w:val="1D4C45BE"/>
    <w:rsid w:val="1D4C7812"/>
    <w:rsid w:val="1D5812AB"/>
    <w:rsid w:val="1D5F68F0"/>
    <w:rsid w:val="1D627E93"/>
    <w:rsid w:val="1D701B54"/>
    <w:rsid w:val="1D705071"/>
    <w:rsid w:val="1D74500E"/>
    <w:rsid w:val="1D840795"/>
    <w:rsid w:val="1D850363"/>
    <w:rsid w:val="1D8E2DB8"/>
    <w:rsid w:val="1D9C27B6"/>
    <w:rsid w:val="1D9C6312"/>
    <w:rsid w:val="1D9F211C"/>
    <w:rsid w:val="1DA6379A"/>
    <w:rsid w:val="1DBF2A00"/>
    <w:rsid w:val="1DC02D2E"/>
    <w:rsid w:val="1DCA1F24"/>
    <w:rsid w:val="1DD71281"/>
    <w:rsid w:val="1DDB42E1"/>
    <w:rsid w:val="1E6D0777"/>
    <w:rsid w:val="1E71478A"/>
    <w:rsid w:val="1E8376BA"/>
    <w:rsid w:val="1E8578BB"/>
    <w:rsid w:val="1E8D19B0"/>
    <w:rsid w:val="1ED30B38"/>
    <w:rsid w:val="1EEA56C8"/>
    <w:rsid w:val="1EF7235C"/>
    <w:rsid w:val="1EF92022"/>
    <w:rsid w:val="1EFC3B58"/>
    <w:rsid w:val="1F0927FA"/>
    <w:rsid w:val="1F171126"/>
    <w:rsid w:val="1F2401A9"/>
    <w:rsid w:val="1F2453B4"/>
    <w:rsid w:val="1F5206B5"/>
    <w:rsid w:val="1F726568"/>
    <w:rsid w:val="1F794E91"/>
    <w:rsid w:val="1F8E1F23"/>
    <w:rsid w:val="1FB8280B"/>
    <w:rsid w:val="1FB917CA"/>
    <w:rsid w:val="1FBC2131"/>
    <w:rsid w:val="1FBE4C66"/>
    <w:rsid w:val="1FDB5818"/>
    <w:rsid w:val="1FE10954"/>
    <w:rsid w:val="1FE2003F"/>
    <w:rsid w:val="20044FF4"/>
    <w:rsid w:val="20230F6D"/>
    <w:rsid w:val="203B1E13"/>
    <w:rsid w:val="207B509C"/>
    <w:rsid w:val="20C35551"/>
    <w:rsid w:val="20C358BC"/>
    <w:rsid w:val="20CF4C51"/>
    <w:rsid w:val="20F025ED"/>
    <w:rsid w:val="20F54A09"/>
    <w:rsid w:val="212D1F69"/>
    <w:rsid w:val="214909C6"/>
    <w:rsid w:val="21611277"/>
    <w:rsid w:val="21805B56"/>
    <w:rsid w:val="21837F15"/>
    <w:rsid w:val="21937A2C"/>
    <w:rsid w:val="219B4157"/>
    <w:rsid w:val="21B62ED1"/>
    <w:rsid w:val="21DB7441"/>
    <w:rsid w:val="224D11D6"/>
    <w:rsid w:val="226241A5"/>
    <w:rsid w:val="226F1D4B"/>
    <w:rsid w:val="2276670F"/>
    <w:rsid w:val="22770843"/>
    <w:rsid w:val="22825C76"/>
    <w:rsid w:val="22A31A5A"/>
    <w:rsid w:val="22A47CD9"/>
    <w:rsid w:val="22B65595"/>
    <w:rsid w:val="22B915F8"/>
    <w:rsid w:val="22B934C3"/>
    <w:rsid w:val="22C70C43"/>
    <w:rsid w:val="22CC6534"/>
    <w:rsid w:val="22DF6E3A"/>
    <w:rsid w:val="22E20C6B"/>
    <w:rsid w:val="22ED1171"/>
    <w:rsid w:val="232E7C5E"/>
    <w:rsid w:val="23424BFF"/>
    <w:rsid w:val="23460F94"/>
    <w:rsid w:val="234F5BD5"/>
    <w:rsid w:val="23531B69"/>
    <w:rsid w:val="23621DAC"/>
    <w:rsid w:val="2371449F"/>
    <w:rsid w:val="237D2C05"/>
    <w:rsid w:val="239D2DE4"/>
    <w:rsid w:val="23C860B3"/>
    <w:rsid w:val="23CA6A57"/>
    <w:rsid w:val="23CE2811"/>
    <w:rsid w:val="23ED6BF0"/>
    <w:rsid w:val="23F85ED1"/>
    <w:rsid w:val="23FC5D5D"/>
    <w:rsid w:val="23FD28EF"/>
    <w:rsid w:val="24063333"/>
    <w:rsid w:val="24125580"/>
    <w:rsid w:val="24381314"/>
    <w:rsid w:val="245C2C9F"/>
    <w:rsid w:val="246102B6"/>
    <w:rsid w:val="2468050F"/>
    <w:rsid w:val="247624DD"/>
    <w:rsid w:val="247C1225"/>
    <w:rsid w:val="24887963"/>
    <w:rsid w:val="24A55CE0"/>
    <w:rsid w:val="24C76DCD"/>
    <w:rsid w:val="24C776A9"/>
    <w:rsid w:val="24C932C7"/>
    <w:rsid w:val="24E058D7"/>
    <w:rsid w:val="24F222CB"/>
    <w:rsid w:val="24F2466B"/>
    <w:rsid w:val="250C6795"/>
    <w:rsid w:val="253A03BE"/>
    <w:rsid w:val="254C1D73"/>
    <w:rsid w:val="254F010E"/>
    <w:rsid w:val="25A465D9"/>
    <w:rsid w:val="25A62424"/>
    <w:rsid w:val="25C77D95"/>
    <w:rsid w:val="25E51CB6"/>
    <w:rsid w:val="26243C7C"/>
    <w:rsid w:val="2655361B"/>
    <w:rsid w:val="26607430"/>
    <w:rsid w:val="26834513"/>
    <w:rsid w:val="26856972"/>
    <w:rsid w:val="26CE0D9C"/>
    <w:rsid w:val="26D04826"/>
    <w:rsid w:val="26DC7D5F"/>
    <w:rsid w:val="26F70636"/>
    <w:rsid w:val="27063A98"/>
    <w:rsid w:val="272223BA"/>
    <w:rsid w:val="27442F58"/>
    <w:rsid w:val="275A509D"/>
    <w:rsid w:val="27660328"/>
    <w:rsid w:val="27684D3F"/>
    <w:rsid w:val="27694594"/>
    <w:rsid w:val="27904839"/>
    <w:rsid w:val="279938C3"/>
    <w:rsid w:val="27B80985"/>
    <w:rsid w:val="27BA1868"/>
    <w:rsid w:val="27C55098"/>
    <w:rsid w:val="27C923FA"/>
    <w:rsid w:val="27CE6CDC"/>
    <w:rsid w:val="27D060BF"/>
    <w:rsid w:val="27D21845"/>
    <w:rsid w:val="27D50D9F"/>
    <w:rsid w:val="27E30471"/>
    <w:rsid w:val="27EF34F1"/>
    <w:rsid w:val="27F6414C"/>
    <w:rsid w:val="27F75E02"/>
    <w:rsid w:val="280158CF"/>
    <w:rsid w:val="280F0246"/>
    <w:rsid w:val="282835C4"/>
    <w:rsid w:val="28481571"/>
    <w:rsid w:val="285D2E76"/>
    <w:rsid w:val="286640ED"/>
    <w:rsid w:val="287071E4"/>
    <w:rsid w:val="289568F9"/>
    <w:rsid w:val="289C7533"/>
    <w:rsid w:val="28A14640"/>
    <w:rsid w:val="28A4296A"/>
    <w:rsid w:val="28A45D52"/>
    <w:rsid w:val="28AB13FD"/>
    <w:rsid w:val="28E21FDF"/>
    <w:rsid w:val="28ED54AE"/>
    <w:rsid w:val="29063C88"/>
    <w:rsid w:val="290C4E0E"/>
    <w:rsid w:val="29211104"/>
    <w:rsid w:val="29395E78"/>
    <w:rsid w:val="294662F0"/>
    <w:rsid w:val="29494D32"/>
    <w:rsid w:val="29713584"/>
    <w:rsid w:val="2973086F"/>
    <w:rsid w:val="298A2320"/>
    <w:rsid w:val="299E6F64"/>
    <w:rsid w:val="299F1E59"/>
    <w:rsid w:val="29A77844"/>
    <w:rsid w:val="29C80440"/>
    <w:rsid w:val="29CD4916"/>
    <w:rsid w:val="2A2D61F0"/>
    <w:rsid w:val="2A303D2C"/>
    <w:rsid w:val="2A31538D"/>
    <w:rsid w:val="2A3224D8"/>
    <w:rsid w:val="2A3225CE"/>
    <w:rsid w:val="2A38576F"/>
    <w:rsid w:val="2A5410C2"/>
    <w:rsid w:val="2A695E79"/>
    <w:rsid w:val="2A6D7D04"/>
    <w:rsid w:val="2A8320FD"/>
    <w:rsid w:val="2AC100D4"/>
    <w:rsid w:val="2AC1385C"/>
    <w:rsid w:val="2AD45722"/>
    <w:rsid w:val="2AD615FE"/>
    <w:rsid w:val="2AE00186"/>
    <w:rsid w:val="2AE44CC7"/>
    <w:rsid w:val="2AE64269"/>
    <w:rsid w:val="2AF37F8B"/>
    <w:rsid w:val="2B0917ED"/>
    <w:rsid w:val="2B1240B8"/>
    <w:rsid w:val="2B165956"/>
    <w:rsid w:val="2B1B368E"/>
    <w:rsid w:val="2B2A7DDE"/>
    <w:rsid w:val="2B30012B"/>
    <w:rsid w:val="2B456079"/>
    <w:rsid w:val="2B45608C"/>
    <w:rsid w:val="2B724C12"/>
    <w:rsid w:val="2BA12DEE"/>
    <w:rsid w:val="2BA2543C"/>
    <w:rsid w:val="2BAF007C"/>
    <w:rsid w:val="2BB36338"/>
    <w:rsid w:val="2BCB541E"/>
    <w:rsid w:val="2BDB6BA0"/>
    <w:rsid w:val="2BE34EA5"/>
    <w:rsid w:val="2BE82483"/>
    <w:rsid w:val="2BF65145"/>
    <w:rsid w:val="2C4D2D8A"/>
    <w:rsid w:val="2C583C14"/>
    <w:rsid w:val="2C7C11BD"/>
    <w:rsid w:val="2C840FE5"/>
    <w:rsid w:val="2C8E0462"/>
    <w:rsid w:val="2CAA1D42"/>
    <w:rsid w:val="2CAB47C4"/>
    <w:rsid w:val="2CB260C8"/>
    <w:rsid w:val="2CC23042"/>
    <w:rsid w:val="2CC36D21"/>
    <w:rsid w:val="2CD30EEF"/>
    <w:rsid w:val="2CE11CF9"/>
    <w:rsid w:val="2D0C5757"/>
    <w:rsid w:val="2D1D6FE0"/>
    <w:rsid w:val="2D2A54DE"/>
    <w:rsid w:val="2D345D53"/>
    <w:rsid w:val="2D4612CB"/>
    <w:rsid w:val="2D7611FD"/>
    <w:rsid w:val="2D8B681C"/>
    <w:rsid w:val="2DC071FE"/>
    <w:rsid w:val="2DC31BF6"/>
    <w:rsid w:val="2DCA6ECC"/>
    <w:rsid w:val="2DD85145"/>
    <w:rsid w:val="2DF464B7"/>
    <w:rsid w:val="2DF87F13"/>
    <w:rsid w:val="2DFB33C8"/>
    <w:rsid w:val="2E073606"/>
    <w:rsid w:val="2E0B376C"/>
    <w:rsid w:val="2E0B6614"/>
    <w:rsid w:val="2E0C7407"/>
    <w:rsid w:val="2E24485D"/>
    <w:rsid w:val="2E283D2E"/>
    <w:rsid w:val="2E387A2F"/>
    <w:rsid w:val="2E424CB4"/>
    <w:rsid w:val="2E59753B"/>
    <w:rsid w:val="2E7C132D"/>
    <w:rsid w:val="2E86237D"/>
    <w:rsid w:val="2E8D2AD1"/>
    <w:rsid w:val="2E9E25BD"/>
    <w:rsid w:val="2ECB6A58"/>
    <w:rsid w:val="2EE443FD"/>
    <w:rsid w:val="2F057B61"/>
    <w:rsid w:val="2F1C6BDE"/>
    <w:rsid w:val="2F225361"/>
    <w:rsid w:val="2F36681B"/>
    <w:rsid w:val="2F397E65"/>
    <w:rsid w:val="2F3F0ED9"/>
    <w:rsid w:val="2F4C1EBE"/>
    <w:rsid w:val="2F8072F1"/>
    <w:rsid w:val="2F810FBD"/>
    <w:rsid w:val="2F86309A"/>
    <w:rsid w:val="2F8A7A46"/>
    <w:rsid w:val="2FC75A0C"/>
    <w:rsid w:val="2FDF2944"/>
    <w:rsid w:val="2FDF7E16"/>
    <w:rsid w:val="2FE315DA"/>
    <w:rsid w:val="2FE70F20"/>
    <w:rsid w:val="300739DF"/>
    <w:rsid w:val="300B5C09"/>
    <w:rsid w:val="300C7F94"/>
    <w:rsid w:val="30206575"/>
    <w:rsid w:val="302C2C0D"/>
    <w:rsid w:val="302F2145"/>
    <w:rsid w:val="30537998"/>
    <w:rsid w:val="305956BF"/>
    <w:rsid w:val="305C3852"/>
    <w:rsid w:val="306A7D83"/>
    <w:rsid w:val="306B18AD"/>
    <w:rsid w:val="306E6A82"/>
    <w:rsid w:val="308022E9"/>
    <w:rsid w:val="30913CD1"/>
    <w:rsid w:val="30965911"/>
    <w:rsid w:val="30A532D8"/>
    <w:rsid w:val="30B01B98"/>
    <w:rsid w:val="30D140CD"/>
    <w:rsid w:val="30D849D0"/>
    <w:rsid w:val="310A1FB4"/>
    <w:rsid w:val="311D0803"/>
    <w:rsid w:val="31216E03"/>
    <w:rsid w:val="312C5AD3"/>
    <w:rsid w:val="318B52D0"/>
    <w:rsid w:val="31A87524"/>
    <w:rsid w:val="31B41044"/>
    <w:rsid w:val="31C11945"/>
    <w:rsid w:val="31D64091"/>
    <w:rsid w:val="320F4EAD"/>
    <w:rsid w:val="32171B2A"/>
    <w:rsid w:val="32200484"/>
    <w:rsid w:val="322C193C"/>
    <w:rsid w:val="322F2FEC"/>
    <w:rsid w:val="323031D0"/>
    <w:rsid w:val="32396BD0"/>
    <w:rsid w:val="323E2188"/>
    <w:rsid w:val="323E5792"/>
    <w:rsid w:val="32601B08"/>
    <w:rsid w:val="32AF043E"/>
    <w:rsid w:val="32AF664E"/>
    <w:rsid w:val="32C71F0C"/>
    <w:rsid w:val="32F06354"/>
    <w:rsid w:val="32F17625"/>
    <w:rsid w:val="32FE1C7C"/>
    <w:rsid w:val="332C31B3"/>
    <w:rsid w:val="332C5104"/>
    <w:rsid w:val="332D6B94"/>
    <w:rsid w:val="33325691"/>
    <w:rsid w:val="33523C4A"/>
    <w:rsid w:val="335F567B"/>
    <w:rsid w:val="336D632F"/>
    <w:rsid w:val="337E54BF"/>
    <w:rsid w:val="337F70D1"/>
    <w:rsid w:val="338342F2"/>
    <w:rsid w:val="3391733F"/>
    <w:rsid w:val="339367DF"/>
    <w:rsid w:val="33A56299"/>
    <w:rsid w:val="33AE2B20"/>
    <w:rsid w:val="33C365BE"/>
    <w:rsid w:val="33D6794E"/>
    <w:rsid w:val="33E31FF1"/>
    <w:rsid w:val="33E63E12"/>
    <w:rsid w:val="33FB7298"/>
    <w:rsid w:val="340F22FB"/>
    <w:rsid w:val="342623B7"/>
    <w:rsid w:val="34291213"/>
    <w:rsid w:val="343B4069"/>
    <w:rsid w:val="343B55E6"/>
    <w:rsid w:val="345A596E"/>
    <w:rsid w:val="34BC22D2"/>
    <w:rsid w:val="34BD32E6"/>
    <w:rsid w:val="34DF462E"/>
    <w:rsid w:val="34E94EEA"/>
    <w:rsid w:val="35027683"/>
    <w:rsid w:val="350D601C"/>
    <w:rsid w:val="351420FD"/>
    <w:rsid w:val="352F23AD"/>
    <w:rsid w:val="35330307"/>
    <w:rsid w:val="354362C5"/>
    <w:rsid w:val="355C0268"/>
    <w:rsid w:val="355D4FC3"/>
    <w:rsid w:val="3561067D"/>
    <w:rsid w:val="35614CF6"/>
    <w:rsid w:val="35650C4F"/>
    <w:rsid w:val="35711278"/>
    <w:rsid w:val="357F059C"/>
    <w:rsid w:val="358E5A60"/>
    <w:rsid w:val="35934025"/>
    <w:rsid w:val="35A65B28"/>
    <w:rsid w:val="35B01D75"/>
    <w:rsid w:val="35B549A8"/>
    <w:rsid w:val="35BA116D"/>
    <w:rsid w:val="35C024FF"/>
    <w:rsid w:val="35C30F7B"/>
    <w:rsid w:val="35E406CA"/>
    <w:rsid w:val="35EE5151"/>
    <w:rsid w:val="35F97693"/>
    <w:rsid w:val="361F1549"/>
    <w:rsid w:val="362C0724"/>
    <w:rsid w:val="363864A5"/>
    <w:rsid w:val="364C35BF"/>
    <w:rsid w:val="365F6E15"/>
    <w:rsid w:val="367D0F7F"/>
    <w:rsid w:val="36B34EFE"/>
    <w:rsid w:val="36B35DD3"/>
    <w:rsid w:val="36BF48CA"/>
    <w:rsid w:val="36F40617"/>
    <w:rsid w:val="370416F6"/>
    <w:rsid w:val="370451FC"/>
    <w:rsid w:val="370851C7"/>
    <w:rsid w:val="37214683"/>
    <w:rsid w:val="374675C3"/>
    <w:rsid w:val="374F5AAD"/>
    <w:rsid w:val="379C6CCF"/>
    <w:rsid w:val="37C62277"/>
    <w:rsid w:val="37D21D1F"/>
    <w:rsid w:val="37DD398F"/>
    <w:rsid w:val="37F76671"/>
    <w:rsid w:val="38054744"/>
    <w:rsid w:val="38114AB7"/>
    <w:rsid w:val="3817320A"/>
    <w:rsid w:val="381F1BC2"/>
    <w:rsid w:val="383647D6"/>
    <w:rsid w:val="383D5364"/>
    <w:rsid w:val="383F28D9"/>
    <w:rsid w:val="385C2357"/>
    <w:rsid w:val="386C3059"/>
    <w:rsid w:val="38733B1A"/>
    <w:rsid w:val="387B0EED"/>
    <w:rsid w:val="3885283E"/>
    <w:rsid w:val="38AC21B1"/>
    <w:rsid w:val="38BB1779"/>
    <w:rsid w:val="38D50C4B"/>
    <w:rsid w:val="38DA51B2"/>
    <w:rsid w:val="38DD0F85"/>
    <w:rsid w:val="38EE1A39"/>
    <w:rsid w:val="39085146"/>
    <w:rsid w:val="39333C1C"/>
    <w:rsid w:val="394404AB"/>
    <w:rsid w:val="394F385D"/>
    <w:rsid w:val="395D37BB"/>
    <w:rsid w:val="39753D73"/>
    <w:rsid w:val="398721C2"/>
    <w:rsid w:val="398E783A"/>
    <w:rsid w:val="39AE6D96"/>
    <w:rsid w:val="39C80D61"/>
    <w:rsid w:val="39D60C07"/>
    <w:rsid w:val="39D85C0A"/>
    <w:rsid w:val="39E57690"/>
    <w:rsid w:val="39FF0C34"/>
    <w:rsid w:val="3A2E0011"/>
    <w:rsid w:val="3A3279AA"/>
    <w:rsid w:val="3A4733D9"/>
    <w:rsid w:val="3A501E8F"/>
    <w:rsid w:val="3A563FC1"/>
    <w:rsid w:val="3A683C1B"/>
    <w:rsid w:val="3A7809B7"/>
    <w:rsid w:val="3A7A47BA"/>
    <w:rsid w:val="3A7F116D"/>
    <w:rsid w:val="3A8258AE"/>
    <w:rsid w:val="3A945E1D"/>
    <w:rsid w:val="3A9745CC"/>
    <w:rsid w:val="3AAA60BB"/>
    <w:rsid w:val="3AB243EB"/>
    <w:rsid w:val="3AD2116E"/>
    <w:rsid w:val="3AD46C94"/>
    <w:rsid w:val="3ADA4423"/>
    <w:rsid w:val="3AED3AE9"/>
    <w:rsid w:val="3B0E09E5"/>
    <w:rsid w:val="3B277E26"/>
    <w:rsid w:val="3B30243D"/>
    <w:rsid w:val="3B361713"/>
    <w:rsid w:val="3B365905"/>
    <w:rsid w:val="3B3874BA"/>
    <w:rsid w:val="3B5C386D"/>
    <w:rsid w:val="3B6F63D9"/>
    <w:rsid w:val="3B7F1199"/>
    <w:rsid w:val="3B801A67"/>
    <w:rsid w:val="3BD12D89"/>
    <w:rsid w:val="3BE0640E"/>
    <w:rsid w:val="3BE524B4"/>
    <w:rsid w:val="3C1201E9"/>
    <w:rsid w:val="3C192018"/>
    <w:rsid w:val="3C1F4887"/>
    <w:rsid w:val="3C293756"/>
    <w:rsid w:val="3C3D5A5C"/>
    <w:rsid w:val="3C5812D8"/>
    <w:rsid w:val="3C6F289A"/>
    <w:rsid w:val="3C7249B6"/>
    <w:rsid w:val="3C752C18"/>
    <w:rsid w:val="3C842AA7"/>
    <w:rsid w:val="3C9A77B5"/>
    <w:rsid w:val="3CA57997"/>
    <w:rsid w:val="3CB7243C"/>
    <w:rsid w:val="3CBD0E3C"/>
    <w:rsid w:val="3CCC056A"/>
    <w:rsid w:val="3CCF0F63"/>
    <w:rsid w:val="3CF64F25"/>
    <w:rsid w:val="3D093336"/>
    <w:rsid w:val="3D302274"/>
    <w:rsid w:val="3D711685"/>
    <w:rsid w:val="3D97084E"/>
    <w:rsid w:val="3D99060A"/>
    <w:rsid w:val="3DB16230"/>
    <w:rsid w:val="3DB570FB"/>
    <w:rsid w:val="3DB95769"/>
    <w:rsid w:val="3DCA0C19"/>
    <w:rsid w:val="3DCF13D6"/>
    <w:rsid w:val="3DEA67CE"/>
    <w:rsid w:val="3E09134F"/>
    <w:rsid w:val="3E17589D"/>
    <w:rsid w:val="3E1A40A9"/>
    <w:rsid w:val="3E33221B"/>
    <w:rsid w:val="3E36341A"/>
    <w:rsid w:val="3E3A2D82"/>
    <w:rsid w:val="3E442BF6"/>
    <w:rsid w:val="3E8122C8"/>
    <w:rsid w:val="3EA06342"/>
    <w:rsid w:val="3EA70BE0"/>
    <w:rsid w:val="3EC6621E"/>
    <w:rsid w:val="3EEA117C"/>
    <w:rsid w:val="3F1B7587"/>
    <w:rsid w:val="3F220916"/>
    <w:rsid w:val="3F235055"/>
    <w:rsid w:val="3F277CDA"/>
    <w:rsid w:val="3F4C329C"/>
    <w:rsid w:val="3F4D25D9"/>
    <w:rsid w:val="3F562641"/>
    <w:rsid w:val="3F735933"/>
    <w:rsid w:val="3F870779"/>
    <w:rsid w:val="3F8F7490"/>
    <w:rsid w:val="3F93536F"/>
    <w:rsid w:val="3F9D57F7"/>
    <w:rsid w:val="3FA118A5"/>
    <w:rsid w:val="3FAD3EF1"/>
    <w:rsid w:val="3FB05EE8"/>
    <w:rsid w:val="3FBA40E2"/>
    <w:rsid w:val="3FBC11E8"/>
    <w:rsid w:val="3FC50DE2"/>
    <w:rsid w:val="3FD52A3F"/>
    <w:rsid w:val="3FF1653A"/>
    <w:rsid w:val="3FF83425"/>
    <w:rsid w:val="3FFC6F59"/>
    <w:rsid w:val="400C0958"/>
    <w:rsid w:val="40100C0A"/>
    <w:rsid w:val="401F6C03"/>
    <w:rsid w:val="40300E10"/>
    <w:rsid w:val="40453D38"/>
    <w:rsid w:val="404C36C2"/>
    <w:rsid w:val="40535BC9"/>
    <w:rsid w:val="4061451C"/>
    <w:rsid w:val="40634F66"/>
    <w:rsid w:val="40A74181"/>
    <w:rsid w:val="40C04836"/>
    <w:rsid w:val="40C1415E"/>
    <w:rsid w:val="40D665B4"/>
    <w:rsid w:val="40E22439"/>
    <w:rsid w:val="40F059F3"/>
    <w:rsid w:val="41076C0D"/>
    <w:rsid w:val="41167F45"/>
    <w:rsid w:val="4137463F"/>
    <w:rsid w:val="4144079F"/>
    <w:rsid w:val="414D154E"/>
    <w:rsid w:val="41547E92"/>
    <w:rsid w:val="41601A12"/>
    <w:rsid w:val="416A3C89"/>
    <w:rsid w:val="416A5299"/>
    <w:rsid w:val="417E24DE"/>
    <w:rsid w:val="418F69F9"/>
    <w:rsid w:val="419E1DAA"/>
    <w:rsid w:val="41B15DCC"/>
    <w:rsid w:val="41B27991"/>
    <w:rsid w:val="41D25E00"/>
    <w:rsid w:val="41D61543"/>
    <w:rsid w:val="41D97C85"/>
    <w:rsid w:val="42184C1B"/>
    <w:rsid w:val="424502F8"/>
    <w:rsid w:val="4255523A"/>
    <w:rsid w:val="425A5D79"/>
    <w:rsid w:val="42600D57"/>
    <w:rsid w:val="427F097F"/>
    <w:rsid w:val="42D02437"/>
    <w:rsid w:val="42D73F8A"/>
    <w:rsid w:val="42DF54E8"/>
    <w:rsid w:val="43654427"/>
    <w:rsid w:val="43706711"/>
    <w:rsid w:val="439E1DFB"/>
    <w:rsid w:val="43A51CCC"/>
    <w:rsid w:val="43BA491F"/>
    <w:rsid w:val="43CE7883"/>
    <w:rsid w:val="43D2480F"/>
    <w:rsid w:val="43E12A1B"/>
    <w:rsid w:val="43EA17D3"/>
    <w:rsid w:val="44103433"/>
    <w:rsid w:val="441D0B74"/>
    <w:rsid w:val="4440533B"/>
    <w:rsid w:val="444F4C93"/>
    <w:rsid w:val="44563FB6"/>
    <w:rsid w:val="446217B4"/>
    <w:rsid w:val="44712DCC"/>
    <w:rsid w:val="449524BA"/>
    <w:rsid w:val="44994355"/>
    <w:rsid w:val="44A6065D"/>
    <w:rsid w:val="44B860D9"/>
    <w:rsid w:val="44BD3D13"/>
    <w:rsid w:val="44BF63AB"/>
    <w:rsid w:val="44CD185A"/>
    <w:rsid w:val="44DF02C8"/>
    <w:rsid w:val="451A5BEB"/>
    <w:rsid w:val="452847AC"/>
    <w:rsid w:val="452B2A92"/>
    <w:rsid w:val="452F48BE"/>
    <w:rsid w:val="4566482F"/>
    <w:rsid w:val="456D5FE0"/>
    <w:rsid w:val="45743E4A"/>
    <w:rsid w:val="457B721F"/>
    <w:rsid w:val="457C28FA"/>
    <w:rsid w:val="45A8724B"/>
    <w:rsid w:val="45B93029"/>
    <w:rsid w:val="45CC5C67"/>
    <w:rsid w:val="45D24BA5"/>
    <w:rsid w:val="45E32C7A"/>
    <w:rsid w:val="45FD637A"/>
    <w:rsid w:val="461A6037"/>
    <w:rsid w:val="46401681"/>
    <w:rsid w:val="46471958"/>
    <w:rsid w:val="46516345"/>
    <w:rsid w:val="46606BC2"/>
    <w:rsid w:val="46696E10"/>
    <w:rsid w:val="468C4B28"/>
    <w:rsid w:val="468E3E57"/>
    <w:rsid w:val="46911EDD"/>
    <w:rsid w:val="46B8627B"/>
    <w:rsid w:val="46D227D3"/>
    <w:rsid w:val="46D36592"/>
    <w:rsid w:val="46E423C3"/>
    <w:rsid w:val="46E53789"/>
    <w:rsid w:val="47036CF2"/>
    <w:rsid w:val="470B4787"/>
    <w:rsid w:val="470B7EE1"/>
    <w:rsid w:val="471D091C"/>
    <w:rsid w:val="472226A5"/>
    <w:rsid w:val="473D0A98"/>
    <w:rsid w:val="47575552"/>
    <w:rsid w:val="475A15A4"/>
    <w:rsid w:val="475F1FDB"/>
    <w:rsid w:val="476C1D04"/>
    <w:rsid w:val="476F4C4A"/>
    <w:rsid w:val="477B340C"/>
    <w:rsid w:val="477B47A8"/>
    <w:rsid w:val="47903266"/>
    <w:rsid w:val="4792415F"/>
    <w:rsid w:val="47D16C60"/>
    <w:rsid w:val="47D61232"/>
    <w:rsid w:val="47DC17D3"/>
    <w:rsid w:val="47DD4C72"/>
    <w:rsid w:val="47E56984"/>
    <w:rsid w:val="47FF09BA"/>
    <w:rsid w:val="4801362F"/>
    <w:rsid w:val="480F36A4"/>
    <w:rsid w:val="48133379"/>
    <w:rsid w:val="481531C8"/>
    <w:rsid w:val="482754B2"/>
    <w:rsid w:val="48415D53"/>
    <w:rsid w:val="484F2B50"/>
    <w:rsid w:val="485E39B6"/>
    <w:rsid w:val="487E3B89"/>
    <w:rsid w:val="48852468"/>
    <w:rsid w:val="4893018E"/>
    <w:rsid w:val="48990868"/>
    <w:rsid w:val="489E2DCA"/>
    <w:rsid w:val="489F2DC3"/>
    <w:rsid w:val="48C645D3"/>
    <w:rsid w:val="48E7457D"/>
    <w:rsid w:val="48F64983"/>
    <w:rsid w:val="48FD7CFE"/>
    <w:rsid w:val="49005CCB"/>
    <w:rsid w:val="4906270B"/>
    <w:rsid w:val="490F7E3B"/>
    <w:rsid w:val="491F2BC5"/>
    <w:rsid w:val="4934660C"/>
    <w:rsid w:val="494051B5"/>
    <w:rsid w:val="4951718A"/>
    <w:rsid w:val="49663AF5"/>
    <w:rsid w:val="49744C34"/>
    <w:rsid w:val="497B6BF6"/>
    <w:rsid w:val="497B6F10"/>
    <w:rsid w:val="49901C7C"/>
    <w:rsid w:val="49A95EA0"/>
    <w:rsid w:val="49CB14EE"/>
    <w:rsid w:val="49E62540"/>
    <w:rsid w:val="49E971BC"/>
    <w:rsid w:val="49EC3A2E"/>
    <w:rsid w:val="49F92273"/>
    <w:rsid w:val="4A0A4883"/>
    <w:rsid w:val="4A274C24"/>
    <w:rsid w:val="4A2E7516"/>
    <w:rsid w:val="4A373651"/>
    <w:rsid w:val="4A3E43C5"/>
    <w:rsid w:val="4A855742"/>
    <w:rsid w:val="4AA83CE8"/>
    <w:rsid w:val="4AB061B7"/>
    <w:rsid w:val="4AB902FA"/>
    <w:rsid w:val="4ABF0BA7"/>
    <w:rsid w:val="4AD05CCA"/>
    <w:rsid w:val="4AF55130"/>
    <w:rsid w:val="4B1E3377"/>
    <w:rsid w:val="4B30028E"/>
    <w:rsid w:val="4B5F3775"/>
    <w:rsid w:val="4B6148D3"/>
    <w:rsid w:val="4B6F23A0"/>
    <w:rsid w:val="4B7334EF"/>
    <w:rsid w:val="4B8E7D4C"/>
    <w:rsid w:val="4B943F96"/>
    <w:rsid w:val="4B994494"/>
    <w:rsid w:val="4BA44460"/>
    <w:rsid w:val="4BBA1ED6"/>
    <w:rsid w:val="4BE33F9B"/>
    <w:rsid w:val="4BEC2074"/>
    <w:rsid w:val="4C222568"/>
    <w:rsid w:val="4C2517DF"/>
    <w:rsid w:val="4C2A31E4"/>
    <w:rsid w:val="4C3720CA"/>
    <w:rsid w:val="4C60482B"/>
    <w:rsid w:val="4C6C192F"/>
    <w:rsid w:val="4C6C2303"/>
    <w:rsid w:val="4C6E50DF"/>
    <w:rsid w:val="4C72455F"/>
    <w:rsid w:val="4C7A7E08"/>
    <w:rsid w:val="4C83184A"/>
    <w:rsid w:val="4CA84B43"/>
    <w:rsid w:val="4CBE11B0"/>
    <w:rsid w:val="4CD45A3E"/>
    <w:rsid w:val="4CE45C4D"/>
    <w:rsid w:val="4D030544"/>
    <w:rsid w:val="4D0D7ED3"/>
    <w:rsid w:val="4D0E0DDF"/>
    <w:rsid w:val="4D1A37C7"/>
    <w:rsid w:val="4D332641"/>
    <w:rsid w:val="4D4A21B7"/>
    <w:rsid w:val="4D6C07A2"/>
    <w:rsid w:val="4D7608A2"/>
    <w:rsid w:val="4D891B60"/>
    <w:rsid w:val="4D9C2615"/>
    <w:rsid w:val="4DBF2864"/>
    <w:rsid w:val="4DCD4A82"/>
    <w:rsid w:val="4E3162AA"/>
    <w:rsid w:val="4E323FA5"/>
    <w:rsid w:val="4E3A24E4"/>
    <w:rsid w:val="4E407554"/>
    <w:rsid w:val="4E606D65"/>
    <w:rsid w:val="4E74375B"/>
    <w:rsid w:val="4E7E4BD3"/>
    <w:rsid w:val="4E805DD8"/>
    <w:rsid w:val="4E842117"/>
    <w:rsid w:val="4EA36DEF"/>
    <w:rsid w:val="4EA81E38"/>
    <w:rsid w:val="4ED9708C"/>
    <w:rsid w:val="4EE03CEC"/>
    <w:rsid w:val="4EE522C2"/>
    <w:rsid w:val="4EE80B08"/>
    <w:rsid w:val="4EEA1AEB"/>
    <w:rsid w:val="4EFD57A9"/>
    <w:rsid w:val="4F0973FC"/>
    <w:rsid w:val="4F100FDD"/>
    <w:rsid w:val="4F135935"/>
    <w:rsid w:val="4F183A30"/>
    <w:rsid w:val="4F20005C"/>
    <w:rsid w:val="4F2C31F8"/>
    <w:rsid w:val="4F364B42"/>
    <w:rsid w:val="4F3E697A"/>
    <w:rsid w:val="4F4626F3"/>
    <w:rsid w:val="4F597A0E"/>
    <w:rsid w:val="4F65059F"/>
    <w:rsid w:val="4F6A10A4"/>
    <w:rsid w:val="4F6E152B"/>
    <w:rsid w:val="4F9273F2"/>
    <w:rsid w:val="4FA871C1"/>
    <w:rsid w:val="4FC207B8"/>
    <w:rsid w:val="4FDD5FEC"/>
    <w:rsid w:val="4FF97BA4"/>
    <w:rsid w:val="500C07E1"/>
    <w:rsid w:val="5025551A"/>
    <w:rsid w:val="504125A3"/>
    <w:rsid w:val="50447FC0"/>
    <w:rsid w:val="50487698"/>
    <w:rsid w:val="50652D51"/>
    <w:rsid w:val="507E62C3"/>
    <w:rsid w:val="50812BD2"/>
    <w:rsid w:val="50832B92"/>
    <w:rsid w:val="50844D5E"/>
    <w:rsid w:val="50971D1E"/>
    <w:rsid w:val="509D719B"/>
    <w:rsid w:val="50AE32FC"/>
    <w:rsid w:val="50BF18E0"/>
    <w:rsid w:val="50EB4B8C"/>
    <w:rsid w:val="50F35914"/>
    <w:rsid w:val="51264516"/>
    <w:rsid w:val="512C197D"/>
    <w:rsid w:val="514566E6"/>
    <w:rsid w:val="514A695D"/>
    <w:rsid w:val="51565B12"/>
    <w:rsid w:val="51644DBE"/>
    <w:rsid w:val="516E5741"/>
    <w:rsid w:val="516E6343"/>
    <w:rsid w:val="51840FBC"/>
    <w:rsid w:val="51970F35"/>
    <w:rsid w:val="51A766BA"/>
    <w:rsid w:val="51AB1266"/>
    <w:rsid w:val="51B977CF"/>
    <w:rsid w:val="51D32F47"/>
    <w:rsid w:val="51E41A6D"/>
    <w:rsid w:val="51F21D52"/>
    <w:rsid w:val="51F223CA"/>
    <w:rsid w:val="5207588A"/>
    <w:rsid w:val="520A064B"/>
    <w:rsid w:val="520B5C96"/>
    <w:rsid w:val="520C6EB7"/>
    <w:rsid w:val="52122037"/>
    <w:rsid w:val="52195E92"/>
    <w:rsid w:val="52445A58"/>
    <w:rsid w:val="52497B10"/>
    <w:rsid w:val="5261453C"/>
    <w:rsid w:val="5261526B"/>
    <w:rsid w:val="52694EC9"/>
    <w:rsid w:val="52773576"/>
    <w:rsid w:val="52991A5A"/>
    <w:rsid w:val="529E30FF"/>
    <w:rsid w:val="52AA5BDE"/>
    <w:rsid w:val="52B5177F"/>
    <w:rsid w:val="52C378C2"/>
    <w:rsid w:val="52CA29FF"/>
    <w:rsid w:val="52CF44B9"/>
    <w:rsid w:val="52DC65DF"/>
    <w:rsid w:val="52F469FE"/>
    <w:rsid w:val="52FC0CED"/>
    <w:rsid w:val="52FF1038"/>
    <w:rsid w:val="53283E3A"/>
    <w:rsid w:val="533F47C5"/>
    <w:rsid w:val="53446D57"/>
    <w:rsid w:val="535414F6"/>
    <w:rsid w:val="53547F9C"/>
    <w:rsid w:val="535E75EB"/>
    <w:rsid w:val="536015B5"/>
    <w:rsid w:val="53642E53"/>
    <w:rsid w:val="536B4DC1"/>
    <w:rsid w:val="536E2C9E"/>
    <w:rsid w:val="536F3C21"/>
    <w:rsid w:val="53A47F19"/>
    <w:rsid w:val="53B15186"/>
    <w:rsid w:val="53B33E89"/>
    <w:rsid w:val="53C56A98"/>
    <w:rsid w:val="53D463B3"/>
    <w:rsid w:val="53D5609D"/>
    <w:rsid w:val="53D96570"/>
    <w:rsid w:val="54142FF8"/>
    <w:rsid w:val="541507A0"/>
    <w:rsid w:val="54233482"/>
    <w:rsid w:val="54314AD3"/>
    <w:rsid w:val="5436119E"/>
    <w:rsid w:val="54396DA9"/>
    <w:rsid w:val="543B42AA"/>
    <w:rsid w:val="545146F9"/>
    <w:rsid w:val="54695C17"/>
    <w:rsid w:val="549D4AE7"/>
    <w:rsid w:val="54BF43FE"/>
    <w:rsid w:val="54C359E0"/>
    <w:rsid w:val="54C40FED"/>
    <w:rsid w:val="54C56711"/>
    <w:rsid w:val="54D620C6"/>
    <w:rsid w:val="54F925B7"/>
    <w:rsid w:val="55006BAB"/>
    <w:rsid w:val="551E7032"/>
    <w:rsid w:val="551F060D"/>
    <w:rsid w:val="55360D3F"/>
    <w:rsid w:val="553625CD"/>
    <w:rsid w:val="55516028"/>
    <w:rsid w:val="557355CF"/>
    <w:rsid w:val="557D439E"/>
    <w:rsid w:val="55A06CC1"/>
    <w:rsid w:val="55A70D89"/>
    <w:rsid w:val="55BC1A60"/>
    <w:rsid w:val="55BD349C"/>
    <w:rsid w:val="55BD765B"/>
    <w:rsid w:val="55D8025F"/>
    <w:rsid w:val="55DA564E"/>
    <w:rsid w:val="55DB1319"/>
    <w:rsid w:val="55E97640"/>
    <w:rsid w:val="560A09AA"/>
    <w:rsid w:val="5619267C"/>
    <w:rsid w:val="561D6E04"/>
    <w:rsid w:val="56215AA3"/>
    <w:rsid w:val="56292132"/>
    <w:rsid w:val="56362BFD"/>
    <w:rsid w:val="564B654C"/>
    <w:rsid w:val="56530F5D"/>
    <w:rsid w:val="56671489"/>
    <w:rsid w:val="56680980"/>
    <w:rsid w:val="56824C41"/>
    <w:rsid w:val="56922442"/>
    <w:rsid w:val="5697353F"/>
    <w:rsid w:val="56D06587"/>
    <w:rsid w:val="56DB3766"/>
    <w:rsid w:val="56E30511"/>
    <w:rsid w:val="56E765CE"/>
    <w:rsid w:val="56EF6ED8"/>
    <w:rsid w:val="56F84889"/>
    <w:rsid w:val="56FC0A70"/>
    <w:rsid w:val="570A0F13"/>
    <w:rsid w:val="57150140"/>
    <w:rsid w:val="5746201F"/>
    <w:rsid w:val="5747582D"/>
    <w:rsid w:val="57486CEB"/>
    <w:rsid w:val="57597059"/>
    <w:rsid w:val="576D258C"/>
    <w:rsid w:val="57745F75"/>
    <w:rsid w:val="5794182D"/>
    <w:rsid w:val="579E1D9B"/>
    <w:rsid w:val="57B679F5"/>
    <w:rsid w:val="57B95132"/>
    <w:rsid w:val="57BF4311"/>
    <w:rsid w:val="57CA626D"/>
    <w:rsid w:val="57E417E0"/>
    <w:rsid w:val="57E9247C"/>
    <w:rsid w:val="57FF53A4"/>
    <w:rsid w:val="580F34AD"/>
    <w:rsid w:val="58266271"/>
    <w:rsid w:val="583027D8"/>
    <w:rsid w:val="583E06A5"/>
    <w:rsid w:val="58426A50"/>
    <w:rsid w:val="58492617"/>
    <w:rsid w:val="58515970"/>
    <w:rsid w:val="585E17E2"/>
    <w:rsid w:val="586E7DBE"/>
    <w:rsid w:val="588673C8"/>
    <w:rsid w:val="58902C26"/>
    <w:rsid w:val="589651F3"/>
    <w:rsid w:val="58975A79"/>
    <w:rsid w:val="58A10CA8"/>
    <w:rsid w:val="58A3441E"/>
    <w:rsid w:val="58A60278"/>
    <w:rsid w:val="58B45806"/>
    <w:rsid w:val="58B77A62"/>
    <w:rsid w:val="58C13E3C"/>
    <w:rsid w:val="58E24906"/>
    <w:rsid w:val="58E520CC"/>
    <w:rsid w:val="58E976C8"/>
    <w:rsid w:val="58FB4C14"/>
    <w:rsid w:val="59056087"/>
    <w:rsid w:val="590B7573"/>
    <w:rsid w:val="59280547"/>
    <w:rsid w:val="59350F6A"/>
    <w:rsid w:val="59473A4D"/>
    <w:rsid w:val="594F4501"/>
    <w:rsid w:val="595251F6"/>
    <w:rsid w:val="59710078"/>
    <w:rsid w:val="59710ADE"/>
    <w:rsid w:val="59AB191C"/>
    <w:rsid w:val="59B33C48"/>
    <w:rsid w:val="59B97059"/>
    <w:rsid w:val="59DD33A9"/>
    <w:rsid w:val="59F260D2"/>
    <w:rsid w:val="59F7710B"/>
    <w:rsid w:val="5A0A665C"/>
    <w:rsid w:val="5A165ADE"/>
    <w:rsid w:val="5A267BB1"/>
    <w:rsid w:val="5A2A46CB"/>
    <w:rsid w:val="5A3B2D8E"/>
    <w:rsid w:val="5A5B2AD6"/>
    <w:rsid w:val="5A69150A"/>
    <w:rsid w:val="5A7A4FC7"/>
    <w:rsid w:val="5A803E5B"/>
    <w:rsid w:val="5AA955EF"/>
    <w:rsid w:val="5AB17627"/>
    <w:rsid w:val="5ABB7C66"/>
    <w:rsid w:val="5ABE2890"/>
    <w:rsid w:val="5AC61CDB"/>
    <w:rsid w:val="5AE43BF7"/>
    <w:rsid w:val="5AEB610E"/>
    <w:rsid w:val="5AF45AD5"/>
    <w:rsid w:val="5B167631"/>
    <w:rsid w:val="5B1B7148"/>
    <w:rsid w:val="5B465F02"/>
    <w:rsid w:val="5B53091F"/>
    <w:rsid w:val="5B5F2152"/>
    <w:rsid w:val="5B6F05E7"/>
    <w:rsid w:val="5B794246"/>
    <w:rsid w:val="5B8E7E4D"/>
    <w:rsid w:val="5B970667"/>
    <w:rsid w:val="5B9718EC"/>
    <w:rsid w:val="5B990964"/>
    <w:rsid w:val="5BA002F0"/>
    <w:rsid w:val="5BA74539"/>
    <w:rsid w:val="5BB164FE"/>
    <w:rsid w:val="5BB4249E"/>
    <w:rsid w:val="5BE02D98"/>
    <w:rsid w:val="5BE97437"/>
    <w:rsid w:val="5BEA3A9A"/>
    <w:rsid w:val="5BEA4111"/>
    <w:rsid w:val="5BEA75B7"/>
    <w:rsid w:val="5C036F81"/>
    <w:rsid w:val="5C051809"/>
    <w:rsid w:val="5C1D7774"/>
    <w:rsid w:val="5C49708A"/>
    <w:rsid w:val="5C5D3A71"/>
    <w:rsid w:val="5C6334A3"/>
    <w:rsid w:val="5C757C50"/>
    <w:rsid w:val="5CBA7F88"/>
    <w:rsid w:val="5CDD5A24"/>
    <w:rsid w:val="5CE173E4"/>
    <w:rsid w:val="5CE7597F"/>
    <w:rsid w:val="5CF10C74"/>
    <w:rsid w:val="5D05501E"/>
    <w:rsid w:val="5D127168"/>
    <w:rsid w:val="5D1E1FD0"/>
    <w:rsid w:val="5D1F5788"/>
    <w:rsid w:val="5D214265"/>
    <w:rsid w:val="5D290D42"/>
    <w:rsid w:val="5D59154F"/>
    <w:rsid w:val="5D616F6A"/>
    <w:rsid w:val="5D8024D0"/>
    <w:rsid w:val="5D82320B"/>
    <w:rsid w:val="5D952970"/>
    <w:rsid w:val="5DA84ED9"/>
    <w:rsid w:val="5DA85395"/>
    <w:rsid w:val="5DC072CF"/>
    <w:rsid w:val="5DCF5028"/>
    <w:rsid w:val="5DD15F13"/>
    <w:rsid w:val="5DE50A3D"/>
    <w:rsid w:val="5E081916"/>
    <w:rsid w:val="5E1429B3"/>
    <w:rsid w:val="5E475B05"/>
    <w:rsid w:val="5E586C13"/>
    <w:rsid w:val="5E671D46"/>
    <w:rsid w:val="5E753B26"/>
    <w:rsid w:val="5E83071A"/>
    <w:rsid w:val="5E892AA4"/>
    <w:rsid w:val="5E9809B3"/>
    <w:rsid w:val="5E9F3785"/>
    <w:rsid w:val="5EAB5E7A"/>
    <w:rsid w:val="5EB7770C"/>
    <w:rsid w:val="5ECE5C2B"/>
    <w:rsid w:val="5ED905F2"/>
    <w:rsid w:val="5EDA48AB"/>
    <w:rsid w:val="5EEE1B5C"/>
    <w:rsid w:val="5F10331D"/>
    <w:rsid w:val="5F106369"/>
    <w:rsid w:val="5F1A5A84"/>
    <w:rsid w:val="5F251AA4"/>
    <w:rsid w:val="5F280662"/>
    <w:rsid w:val="5F3453D4"/>
    <w:rsid w:val="5F3664D8"/>
    <w:rsid w:val="5F3B02CD"/>
    <w:rsid w:val="5F3C2ED6"/>
    <w:rsid w:val="5F575E43"/>
    <w:rsid w:val="5F5C569D"/>
    <w:rsid w:val="5F6F4318"/>
    <w:rsid w:val="5F870846"/>
    <w:rsid w:val="5FAA1F53"/>
    <w:rsid w:val="5FB0165A"/>
    <w:rsid w:val="5FCE4B04"/>
    <w:rsid w:val="5FEA5BF1"/>
    <w:rsid w:val="60007B99"/>
    <w:rsid w:val="600165DF"/>
    <w:rsid w:val="60086948"/>
    <w:rsid w:val="600B4642"/>
    <w:rsid w:val="600F05EB"/>
    <w:rsid w:val="6011707D"/>
    <w:rsid w:val="601360AD"/>
    <w:rsid w:val="6015084A"/>
    <w:rsid w:val="601E25DC"/>
    <w:rsid w:val="605A743E"/>
    <w:rsid w:val="6075370A"/>
    <w:rsid w:val="60776C29"/>
    <w:rsid w:val="608060C0"/>
    <w:rsid w:val="60820DBC"/>
    <w:rsid w:val="6086376A"/>
    <w:rsid w:val="609F144A"/>
    <w:rsid w:val="60A96349"/>
    <w:rsid w:val="60AA6617"/>
    <w:rsid w:val="60B00A07"/>
    <w:rsid w:val="60B23FEB"/>
    <w:rsid w:val="60DA7FCC"/>
    <w:rsid w:val="60E62747"/>
    <w:rsid w:val="60F30E59"/>
    <w:rsid w:val="60F33DDF"/>
    <w:rsid w:val="611B6B1B"/>
    <w:rsid w:val="611D1E16"/>
    <w:rsid w:val="611D6D37"/>
    <w:rsid w:val="611F0BCF"/>
    <w:rsid w:val="612358BE"/>
    <w:rsid w:val="6126799A"/>
    <w:rsid w:val="612B4B14"/>
    <w:rsid w:val="615A3EE8"/>
    <w:rsid w:val="61604B04"/>
    <w:rsid w:val="61995C3B"/>
    <w:rsid w:val="61A41FAE"/>
    <w:rsid w:val="61A84056"/>
    <w:rsid w:val="61AE55F7"/>
    <w:rsid w:val="61AF0AB6"/>
    <w:rsid w:val="61B336CF"/>
    <w:rsid w:val="61B73BDF"/>
    <w:rsid w:val="61BC2C4C"/>
    <w:rsid w:val="61C810BC"/>
    <w:rsid w:val="61DA2E84"/>
    <w:rsid w:val="61E41603"/>
    <w:rsid w:val="61E60FE0"/>
    <w:rsid w:val="61F23C1C"/>
    <w:rsid w:val="621E4B8A"/>
    <w:rsid w:val="624530E9"/>
    <w:rsid w:val="624B6183"/>
    <w:rsid w:val="626559E9"/>
    <w:rsid w:val="627C0904"/>
    <w:rsid w:val="629F0EE6"/>
    <w:rsid w:val="62B65903"/>
    <w:rsid w:val="62CD2097"/>
    <w:rsid w:val="63177661"/>
    <w:rsid w:val="632C5010"/>
    <w:rsid w:val="6333446D"/>
    <w:rsid w:val="633A3BD0"/>
    <w:rsid w:val="634429F0"/>
    <w:rsid w:val="63580189"/>
    <w:rsid w:val="63615CB1"/>
    <w:rsid w:val="63635B94"/>
    <w:rsid w:val="63837DF9"/>
    <w:rsid w:val="638E7A78"/>
    <w:rsid w:val="638F1F10"/>
    <w:rsid w:val="639C0D70"/>
    <w:rsid w:val="639E52BD"/>
    <w:rsid w:val="63B4493D"/>
    <w:rsid w:val="63C65464"/>
    <w:rsid w:val="63D90D78"/>
    <w:rsid w:val="63E8362C"/>
    <w:rsid w:val="63EC0CAB"/>
    <w:rsid w:val="63F241BA"/>
    <w:rsid w:val="64176FC0"/>
    <w:rsid w:val="64325F13"/>
    <w:rsid w:val="643F546A"/>
    <w:rsid w:val="647B030E"/>
    <w:rsid w:val="64893AD4"/>
    <w:rsid w:val="64934472"/>
    <w:rsid w:val="649A7317"/>
    <w:rsid w:val="64B955E7"/>
    <w:rsid w:val="64D67E26"/>
    <w:rsid w:val="64DD6FB9"/>
    <w:rsid w:val="64F66B0F"/>
    <w:rsid w:val="64FE4734"/>
    <w:rsid w:val="65047CF3"/>
    <w:rsid w:val="65075F5C"/>
    <w:rsid w:val="650C1407"/>
    <w:rsid w:val="65313307"/>
    <w:rsid w:val="653E6B5E"/>
    <w:rsid w:val="65406257"/>
    <w:rsid w:val="654B2E6E"/>
    <w:rsid w:val="654F62D1"/>
    <w:rsid w:val="65505775"/>
    <w:rsid w:val="65654D57"/>
    <w:rsid w:val="659B3F44"/>
    <w:rsid w:val="65DA489A"/>
    <w:rsid w:val="65EC0A86"/>
    <w:rsid w:val="65F92235"/>
    <w:rsid w:val="65FA3198"/>
    <w:rsid w:val="660E0C4E"/>
    <w:rsid w:val="661232B7"/>
    <w:rsid w:val="66394772"/>
    <w:rsid w:val="66452A5D"/>
    <w:rsid w:val="664C0BF0"/>
    <w:rsid w:val="66607A0C"/>
    <w:rsid w:val="667B0788"/>
    <w:rsid w:val="66811B16"/>
    <w:rsid w:val="66A8126A"/>
    <w:rsid w:val="66AD63BC"/>
    <w:rsid w:val="66AF3F8D"/>
    <w:rsid w:val="66D470B2"/>
    <w:rsid w:val="670A6BBC"/>
    <w:rsid w:val="670B6971"/>
    <w:rsid w:val="67103C7E"/>
    <w:rsid w:val="67275CDF"/>
    <w:rsid w:val="673246AB"/>
    <w:rsid w:val="674939DF"/>
    <w:rsid w:val="67671C0B"/>
    <w:rsid w:val="676D492B"/>
    <w:rsid w:val="67830ADB"/>
    <w:rsid w:val="67955879"/>
    <w:rsid w:val="67B01298"/>
    <w:rsid w:val="67E51109"/>
    <w:rsid w:val="67E70FCB"/>
    <w:rsid w:val="67F55853"/>
    <w:rsid w:val="67FB3202"/>
    <w:rsid w:val="6818216D"/>
    <w:rsid w:val="681D1D57"/>
    <w:rsid w:val="682409AB"/>
    <w:rsid w:val="682D3D04"/>
    <w:rsid w:val="683B0973"/>
    <w:rsid w:val="68490936"/>
    <w:rsid w:val="684C6BA2"/>
    <w:rsid w:val="68626BB5"/>
    <w:rsid w:val="68805C64"/>
    <w:rsid w:val="68A22EF8"/>
    <w:rsid w:val="68B25BC8"/>
    <w:rsid w:val="68BE7D5D"/>
    <w:rsid w:val="68C1269E"/>
    <w:rsid w:val="68C703F9"/>
    <w:rsid w:val="69001CCB"/>
    <w:rsid w:val="69096AF0"/>
    <w:rsid w:val="69121D12"/>
    <w:rsid w:val="692D60EF"/>
    <w:rsid w:val="69390486"/>
    <w:rsid w:val="693B6E1B"/>
    <w:rsid w:val="694766FF"/>
    <w:rsid w:val="694B04B6"/>
    <w:rsid w:val="695E1B9A"/>
    <w:rsid w:val="69947BBB"/>
    <w:rsid w:val="69965381"/>
    <w:rsid w:val="69F36887"/>
    <w:rsid w:val="69F523FA"/>
    <w:rsid w:val="6A013909"/>
    <w:rsid w:val="6A0F7894"/>
    <w:rsid w:val="6A1B1902"/>
    <w:rsid w:val="6A2F40E2"/>
    <w:rsid w:val="6A3273AF"/>
    <w:rsid w:val="6A342C54"/>
    <w:rsid w:val="6A6C503D"/>
    <w:rsid w:val="6A75445A"/>
    <w:rsid w:val="6A893F0C"/>
    <w:rsid w:val="6AA03710"/>
    <w:rsid w:val="6AA2035E"/>
    <w:rsid w:val="6ACB1CBA"/>
    <w:rsid w:val="6ACB4032"/>
    <w:rsid w:val="6AD246EE"/>
    <w:rsid w:val="6AEE7574"/>
    <w:rsid w:val="6B037510"/>
    <w:rsid w:val="6B1124CE"/>
    <w:rsid w:val="6B255DB2"/>
    <w:rsid w:val="6B35052E"/>
    <w:rsid w:val="6B497D3B"/>
    <w:rsid w:val="6B615D5C"/>
    <w:rsid w:val="6B682838"/>
    <w:rsid w:val="6B6E648B"/>
    <w:rsid w:val="6B7B7D93"/>
    <w:rsid w:val="6B8C24D4"/>
    <w:rsid w:val="6BBC0FD0"/>
    <w:rsid w:val="6BBE595A"/>
    <w:rsid w:val="6BBF2EC5"/>
    <w:rsid w:val="6BC27F0A"/>
    <w:rsid w:val="6BCE2F75"/>
    <w:rsid w:val="6BD61C86"/>
    <w:rsid w:val="6BE80AAB"/>
    <w:rsid w:val="6C224B81"/>
    <w:rsid w:val="6C431398"/>
    <w:rsid w:val="6C696042"/>
    <w:rsid w:val="6C6B196A"/>
    <w:rsid w:val="6C8079C7"/>
    <w:rsid w:val="6C882AB4"/>
    <w:rsid w:val="6CB245FD"/>
    <w:rsid w:val="6CCA4EFB"/>
    <w:rsid w:val="6CCF1EB9"/>
    <w:rsid w:val="6CDF1345"/>
    <w:rsid w:val="6CEF1588"/>
    <w:rsid w:val="6CFB4D33"/>
    <w:rsid w:val="6D21161F"/>
    <w:rsid w:val="6D291F07"/>
    <w:rsid w:val="6D520B73"/>
    <w:rsid w:val="6D657A9C"/>
    <w:rsid w:val="6D882077"/>
    <w:rsid w:val="6D94368A"/>
    <w:rsid w:val="6D967C55"/>
    <w:rsid w:val="6D9C504D"/>
    <w:rsid w:val="6DB072EE"/>
    <w:rsid w:val="6DB410B1"/>
    <w:rsid w:val="6DB95B3D"/>
    <w:rsid w:val="6DBE349A"/>
    <w:rsid w:val="6DD31B0E"/>
    <w:rsid w:val="6DD63AB6"/>
    <w:rsid w:val="6DDA7762"/>
    <w:rsid w:val="6DE94F98"/>
    <w:rsid w:val="6DEB0E9B"/>
    <w:rsid w:val="6DF242FF"/>
    <w:rsid w:val="6DFE19A0"/>
    <w:rsid w:val="6E077F73"/>
    <w:rsid w:val="6E1A3B85"/>
    <w:rsid w:val="6E1D3B76"/>
    <w:rsid w:val="6E3A0F28"/>
    <w:rsid w:val="6E470F4F"/>
    <w:rsid w:val="6E744EF0"/>
    <w:rsid w:val="6E7659E3"/>
    <w:rsid w:val="6EAB3F40"/>
    <w:rsid w:val="6EB75F3D"/>
    <w:rsid w:val="6ED11CF6"/>
    <w:rsid w:val="6EE449F0"/>
    <w:rsid w:val="6EE931E9"/>
    <w:rsid w:val="6EFC7910"/>
    <w:rsid w:val="6EFE31F4"/>
    <w:rsid w:val="6F06530B"/>
    <w:rsid w:val="6F0F2ED2"/>
    <w:rsid w:val="6F261508"/>
    <w:rsid w:val="6F926CD5"/>
    <w:rsid w:val="6FE75652"/>
    <w:rsid w:val="6FF57377"/>
    <w:rsid w:val="6FF670D1"/>
    <w:rsid w:val="70095873"/>
    <w:rsid w:val="700A3084"/>
    <w:rsid w:val="70151AF2"/>
    <w:rsid w:val="703630BC"/>
    <w:rsid w:val="70445DC9"/>
    <w:rsid w:val="704C6CF1"/>
    <w:rsid w:val="70511EFB"/>
    <w:rsid w:val="705B2397"/>
    <w:rsid w:val="70A03792"/>
    <w:rsid w:val="70CA4BD0"/>
    <w:rsid w:val="70D676EC"/>
    <w:rsid w:val="70E402C9"/>
    <w:rsid w:val="70F8731D"/>
    <w:rsid w:val="70FB1852"/>
    <w:rsid w:val="71024493"/>
    <w:rsid w:val="710475CC"/>
    <w:rsid w:val="71140A09"/>
    <w:rsid w:val="711C54CB"/>
    <w:rsid w:val="7121580E"/>
    <w:rsid w:val="712B783B"/>
    <w:rsid w:val="713B0CE0"/>
    <w:rsid w:val="71687ABE"/>
    <w:rsid w:val="718C65A2"/>
    <w:rsid w:val="71920003"/>
    <w:rsid w:val="719C2A65"/>
    <w:rsid w:val="719E0A58"/>
    <w:rsid w:val="71A46B79"/>
    <w:rsid w:val="71A73E48"/>
    <w:rsid w:val="71B77B3B"/>
    <w:rsid w:val="71BB3483"/>
    <w:rsid w:val="71BE009D"/>
    <w:rsid w:val="71CC5FAD"/>
    <w:rsid w:val="71D0413A"/>
    <w:rsid w:val="71E31A6F"/>
    <w:rsid w:val="71E739A6"/>
    <w:rsid w:val="720B1132"/>
    <w:rsid w:val="72156659"/>
    <w:rsid w:val="722074E4"/>
    <w:rsid w:val="72207836"/>
    <w:rsid w:val="723F115E"/>
    <w:rsid w:val="724467EB"/>
    <w:rsid w:val="7244764E"/>
    <w:rsid w:val="72472F2C"/>
    <w:rsid w:val="72522214"/>
    <w:rsid w:val="727C3957"/>
    <w:rsid w:val="72884D44"/>
    <w:rsid w:val="728C38F5"/>
    <w:rsid w:val="729B379D"/>
    <w:rsid w:val="72A2659A"/>
    <w:rsid w:val="72DF25B8"/>
    <w:rsid w:val="73112295"/>
    <w:rsid w:val="73216213"/>
    <w:rsid w:val="733442EA"/>
    <w:rsid w:val="73423B28"/>
    <w:rsid w:val="736634BD"/>
    <w:rsid w:val="736B4940"/>
    <w:rsid w:val="73760242"/>
    <w:rsid w:val="73796CBD"/>
    <w:rsid w:val="737E75EE"/>
    <w:rsid w:val="739B2BD7"/>
    <w:rsid w:val="73B73BF0"/>
    <w:rsid w:val="73DD764E"/>
    <w:rsid w:val="73E7745D"/>
    <w:rsid w:val="74106C78"/>
    <w:rsid w:val="74152A06"/>
    <w:rsid w:val="74205599"/>
    <w:rsid w:val="74211D21"/>
    <w:rsid w:val="743037CE"/>
    <w:rsid w:val="74806F69"/>
    <w:rsid w:val="7487654A"/>
    <w:rsid w:val="748C3B60"/>
    <w:rsid w:val="74A3688A"/>
    <w:rsid w:val="74C3357A"/>
    <w:rsid w:val="74C8371C"/>
    <w:rsid w:val="74D601B2"/>
    <w:rsid w:val="74D930FB"/>
    <w:rsid w:val="74DD37CB"/>
    <w:rsid w:val="74F01604"/>
    <w:rsid w:val="750D0895"/>
    <w:rsid w:val="750D1F31"/>
    <w:rsid w:val="750E0E19"/>
    <w:rsid w:val="751E36B2"/>
    <w:rsid w:val="753019CD"/>
    <w:rsid w:val="75341AC8"/>
    <w:rsid w:val="753903FB"/>
    <w:rsid w:val="75531ACF"/>
    <w:rsid w:val="75644ADD"/>
    <w:rsid w:val="75811FDE"/>
    <w:rsid w:val="759E09C8"/>
    <w:rsid w:val="75A241B6"/>
    <w:rsid w:val="75AA195E"/>
    <w:rsid w:val="75B70664"/>
    <w:rsid w:val="75B832A3"/>
    <w:rsid w:val="75CA302C"/>
    <w:rsid w:val="75D95737"/>
    <w:rsid w:val="75DC0B17"/>
    <w:rsid w:val="760C31AA"/>
    <w:rsid w:val="761C5832"/>
    <w:rsid w:val="762878B8"/>
    <w:rsid w:val="762907FF"/>
    <w:rsid w:val="76423C3E"/>
    <w:rsid w:val="76426822"/>
    <w:rsid w:val="76446D61"/>
    <w:rsid w:val="765B79F0"/>
    <w:rsid w:val="767A7906"/>
    <w:rsid w:val="76B725A7"/>
    <w:rsid w:val="76B85A06"/>
    <w:rsid w:val="76C47178"/>
    <w:rsid w:val="76C53359"/>
    <w:rsid w:val="76E1135D"/>
    <w:rsid w:val="76E6521D"/>
    <w:rsid w:val="76F01430"/>
    <w:rsid w:val="771147F0"/>
    <w:rsid w:val="772860C2"/>
    <w:rsid w:val="77287309"/>
    <w:rsid w:val="773702D5"/>
    <w:rsid w:val="77495792"/>
    <w:rsid w:val="776155EB"/>
    <w:rsid w:val="7762385E"/>
    <w:rsid w:val="77632C28"/>
    <w:rsid w:val="776C7E5C"/>
    <w:rsid w:val="778E4093"/>
    <w:rsid w:val="779F38CC"/>
    <w:rsid w:val="77BF249E"/>
    <w:rsid w:val="77C6382D"/>
    <w:rsid w:val="77CD2FD8"/>
    <w:rsid w:val="77D7547D"/>
    <w:rsid w:val="77D777E8"/>
    <w:rsid w:val="781E79F3"/>
    <w:rsid w:val="782A0E50"/>
    <w:rsid w:val="783E0CCA"/>
    <w:rsid w:val="78941235"/>
    <w:rsid w:val="789C2A58"/>
    <w:rsid w:val="78BD3038"/>
    <w:rsid w:val="78BE0E43"/>
    <w:rsid w:val="78C1738C"/>
    <w:rsid w:val="78EC72C3"/>
    <w:rsid w:val="78F543CA"/>
    <w:rsid w:val="79063058"/>
    <w:rsid w:val="790976A3"/>
    <w:rsid w:val="79134850"/>
    <w:rsid w:val="7965562A"/>
    <w:rsid w:val="79694470"/>
    <w:rsid w:val="797B6D2C"/>
    <w:rsid w:val="79817A0B"/>
    <w:rsid w:val="799A1279"/>
    <w:rsid w:val="799B3535"/>
    <w:rsid w:val="799D69CF"/>
    <w:rsid w:val="79C25500"/>
    <w:rsid w:val="79C42E5E"/>
    <w:rsid w:val="79D83E99"/>
    <w:rsid w:val="79E41D48"/>
    <w:rsid w:val="79E634D0"/>
    <w:rsid w:val="79F01948"/>
    <w:rsid w:val="79F06BB9"/>
    <w:rsid w:val="7A11166E"/>
    <w:rsid w:val="7A163954"/>
    <w:rsid w:val="7A1C5986"/>
    <w:rsid w:val="7A342D54"/>
    <w:rsid w:val="7A4F66AC"/>
    <w:rsid w:val="7A773F1E"/>
    <w:rsid w:val="7AAA11E4"/>
    <w:rsid w:val="7AAF0F69"/>
    <w:rsid w:val="7ABD2CC5"/>
    <w:rsid w:val="7ABE65EE"/>
    <w:rsid w:val="7ACC115A"/>
    <w:rsid w:val="7AF2622C"/>
    <w:rsid w:val="7B0B37B8"/>
    <w:rsid w:val="7B27620B"/>
    <w:rsid w:val="7B2D74A8"/>
    <w:rsid w:val="7B9A224D"/>
    <w:rsid w:val="7C1E35B7"/>
    <w:rsid w:val="7C2750F9"/>
    <w:rsid w:val="7C2D025B"/>
    <w:rsid w:val="7C32323F"/>
    <w:rsid w:val="7C681310"/>
    <w:rsid w:val="7C8411F4"/>
    <w:rsid w:val="7C923CDE"/>
    <w:rsid w:val="7C945F9D"/>
    <w:rsid w:val="7CC65FE9"/>
    <w:rsid w:val="7CE1273E"/>
    <w:rsid w:val="7CFF2276"/>
    <w:rsid w:val="7D073FCA"/>
    <w:rsid w:val="7D093734"/>
    <w:rsid w:val="7D0F1E45"/>
    <w:rsid w:val="7D207D82"/>
    <w:rsid w:val="7D36322E"/>
    <w:rsid w:val="7D3B2822"/>
    <w:rsid w:val="7D40597E"/>
    <w:rsid w:val="7D550ED2"/>
    <w:rsid w:val="7D6C09D3"/>
    <w:rsid w:val="7D6D78BE"/>
    <w:rsid w:val="7D741635"/>
    <w:rsid w:val="7D942764"/>
    <w:rsid w:val="7D951CD7"/>
    <w:rsid w:val="7DBE312B"/>
    <w:rsid w:val="7DBE3A17"/>
    <w:rsid w:val="7DCB55B3"/>
    <w:rsid w:val="7DF82266"/>
    <w:rsid w:val="7E176BD5"/>
    <w:rsid w:val="7E191B65"/>
    <w:rsid w:val="7E265025"/>
    <w:rsid w:val="7E2B263C"/>
    <w:rsid w:val="7E64750A"/>
    <w:rsid w:val="7E687562"/>
    <w:rsid w:val="7E834226"/>
    <w:rsid w:val="7E915068"/>
    <w:rsid w:val="7E96535E"/>
    <w:rsid w:val="7E9848F9"/>
    <w:rsid w:val="7E9E556C"/>
    <w:rsid w:val="7EA321D2"/>
    <w:rsid w:val="7EAC1C03"/>
    <w:rsid w:val="7EB048EF"/>
    <w:rsid w:val="7ED92EEC"/>
    <w:rsid w:val="7EFE565A"/>
    <w:rsid w:val="7F037115"/>
    <w:rsid w:val="7F0D6DEB"/>
    <w:rsid w:val="7F0F1615"/>
    <w:rsid w:val="7F174828"/>
    <w:rsid w:val="7F181DAB"/>
    <w:rsid w:val="7F671DB6"/>
    <w:rsid w:val="7F6A7194"/>
    <w:rsid w:val="7F71054D"/>
    <w:rsid w:val="7F747428"/>
    <w:rsid w:val="7F875650"/>
    <w:rsid w:val="7FA75CF2"/>
    <w:rsid w:val="7FB4656D"/>
    <w:rsid w:val="7FC72AF0"/>
    <w:rsid w:val="7FE728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0"/>
    <w:pPr>
      <w:widowControl w:val="0"/>
      <w:tabs>
        <w:tab w:val="left" w:pos="0"/>
      </w:tabs>
      <w:adjustRightInd w:val="0"/>
      <w:spacing w:before="50" w:beforeLines="50" w:after="50" w:afterLines="50" w:line="480" w:lineRule="exact"/>
      <w:ind w:firstLine="0" w:firstLineChars="0"/>
      <w:jc w:val="center"/>
      <w:outlineLvl w:val="0"/>
    </w:pPr>
    <w:rPr>
      <w:rFonts w:ascii="Times New Roman" w:hAnsi="Times New Roman" w:eastAsia="宋体" w:cs="Times New Roman"/>
      <w:sz w:val="24"/>
      <w:szCs w:val="30"/>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val="0"/>
      <w:spacing w:after="0" w:line="480" w:lineRule="exact"/>
      <w:ind w:firstLine="200" w:firstLineChars="200"/>
      <w:jc w:val="both"/>
    </w:pPr>
    <w:rPr>
      <w:rFonts w:ascii="Times New Roman" w:hAnsi="Times New Roman" w:eastAsia="宋体" w:cs="Times New Roman"/>
      <w:snapToGrid w:val="0"/>
      <w:sz w:val="28"/>
      <w:szCs w:val="24"/>
    </w:rPr>
  </w:style>
  <w:style w:type="paragraph" w:styleId="5">
    <w:name w:val="annotation text"/>
    <w:basedOn w:val="1"/>
    <w:qFormat/>
    <w:uiPriority w:val="0"/>
    <w:pPr>
      <w:jc w:val="left"/>
    </w:pPr>
  </w:style>
  <w:style w:type="paragraph" w:styleId="6">
    <w:name w:val="Body Text"/>
    <w:basedOn w:val="1"/>
    <w:next w:val="1"/>
    <w:unhideWhenUsed/>
    <w:qFormat/>
    <w:uiPriority w:val="1"/>
    <w:pPr>
      <w:spacing w:after="120"/>
    </w:pPr>
  </w:style>
  <w:style w:type="paragraph" w:styleId="7">
    <w:name w:val="Body Text Indent"/>
    <w:basedOn w:val="1"/>
    <w:unhideWhenUsed/>
    <w:qFormat/>
    <w:uiPriority w:val="99"/>
    <w:pPr>
      <w:spacing w:after="120"/>
      <w:ind w:left="420" w:leftChars="200"/>
    </w:pPr>
  </w:style>
  <w:style w:type="paragraph" w:styleId="8">
    <w:name w:val="List Bullet 5"/>
    <w:basedOn w:val="1"/>
    <w:qFormat/>
    <w:uiPriority w:val="0"/>
    <w:pPr>
      <w:numPr>
        <w:ilvl w:val="0"/>
        <w:numId w:val="1"/>
      </w:numPr>
    </w:pPr>
  </w:style>
  <w:style w:type="paragraph" w:styleId="9">
    <w:name w:val="Body Text Indent 2"/>
    <w:basedOn w:val="1"/>
    <w:unhideWhenUsed/>
    <w:qFormat/>
    <w:uiPriority w:val="0"/>
    <w:pPr>
      <w:spacing w:after="120" w:line="480" w:lineRule="auto"/>
      <w:ind w:left="420" w:leftChars="200"/>
    </w:pPr>
    <w:rPr>
      <w:rFonts w:hint="eastAsia"/>
    </w:rPr>
  </w:style>
  <w:style w:type="paragraph" w:styleId="10">
    <w:name w:val="footer"/>
    <w:basedOn w:val="1"/>
    <w:unhideWhenUsed/>
    <w:qFormat/>
    <w:uiPriority w:val="0"/>
    <w:pPr>
      <w:tabs>
        <w:tab w:val="center" w:pos="4153"/>
        <w:tab w:val="right" w:pos="8306"/>
      </w:tabs>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spacing w:before="120" w:after="120"/>
    </w:pPr>
    <w:rPr>
      <w:rFonts w:asciiTheme="minorHAnsi" w:hAnsiTheme="minorHAnsi"/>
      <w:b/>
      <w:bCs/>
      <w:caps/>
      <w:sz w:val="20"/>
      <w:szCs w:val="20"/>
    </w:rPr>
  </w:style>
  <w:style w:type="paragraph" w:styleId="13">
    <w:name w:val="List"/>
    <w:basedOn w:val="1"/>
    <w:semiHidden/>
    <w:unhideWhenUsed/>
    <w:qFormat/>
    <w:uiPriority w:val="99"/>
    <w:pPr>
      <w:ind w:left="200" w:hanging="200" w:hangingChars="200"/>
      <w:contextualSpacing/>
    </w:pPr>
  </w:style>
  <w:style w:type="paragraph" w:styleId="14">
    <w:name w:val="toc 2"/>
    <w:basedOn w:val="1"/>
    <w:next w:val="1"/>
    <w:unhideWhenUsed/>
    <w:qFormat/>
    <w:uiPriority w:val="39"/>
    <w:pPr>
      <w:spacing w:after="0"/>
      <w:ind w:left="220"/>
    </w:pPr>
    <w:rPr>
      <w:rFonts w:asciiTheme="minorHAnsi" w:hAnsiTheme="minorHAnsi"/>
      <w:smallCaps/>
      <w:sz w:val="20"/>
      <w:szCs w:val="20"/>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basedOn w:val="6"/>
    <w:next w:val="1"/>
    <w:qFormat/>
    <w:uiPriority w:val="0"/>
    <w:pPr>
      <w:widowControl w:val="0"/>
      <w:snapToGrid/>
      <w:spacing w:after="120" w:afterLines="0" w:line="240" w:lineRule="auto"/>
      <w:ind w:firstLine="420" w:firstLineChars="100"/>
      <w:jc w:val="both"/>
    </w:pPr>
    <w:rPr>
      <w:rFonts w:ascii="Calibri" w:hAnsi="Times New Roman" w:eastAsia="宋体" w:cs="Times New Roman"/>
      <w:kern w:val="2"/>
      <w:sz w:val="21"/>
      <w:szCs w:val="24"/>
      <w:lang w:val="en-US" w:eastAsia="zh-CN" w:bidi="ar-SA"/>
    </w:rPr>
  </w:style>
  <w:style w:type="paragraph" w:styleId="17">
    <w:name w:val="Body Text First Indent 2"/>
    <w:basedOn w:val="7"/>
    <w:next w:val="1"/>
    <w:qFormat/>
    <w:uiPriority w:val="0"/>
    <w:pPr>
      <w:widowControl w:val="0"/>
      <w:spacing w:line="360" w:lineRule="auto"/>
      <w:ind w:firstLine="420" w:firstLineChars="200"/>
      <w:jc w:val="both"/>
    </w:pPr>
    <w:rPr>
      <w:rFonts w:ascii="Times New Roman" w:hAnsi="Times New Roman" w:eastAsia="宋体" w:cs="Times New Roman"/>
      <w:kern w:val="2"/>
      <w:sz w:val="24"/>
      <w:szCs w:val="24"/>
    </w:rPr>
  </w:style>
  <w:style w:type="table" w:styleId="19">
    <w:name w:val="Table Grid"/>
    <w:basedOn w:val="18"/>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sz w:val="21"/>
      <w:szCs w:val="21"/>
    </w:rPr>
  </w:style>
  <w:style w:type="character" w:styleId="22">
    <w:name w:val="FollowedHyperlink"/>
    <w:basedOn w:val="20"/>
    <w:qFormat/>
    <w:uiPriority w:val="0"/>
    <w:rPr>
      <w:color w:val="454545"/>
      <w:sz w:val="21"/>
      <w:szCs w:val="21"/>
      <w:u w:val="none"/>
    </w:rPr>
  </w:style>
  <w:style w:type="character" w:styleId="23">
    <w:name w:val="HTML Definition"/>
    <w:basedOn w:val="20"/>
    <w:qFormat/>
    <w:uiPriority w:val="0"/>
  </w:style>
  <w:style w:type="character" w:styleId="24">
    <w:name w:val="HTML Variable"/>
    <w:basedOn w:val="20"/>
    <w:qFormat/>
    <w:uiPriority w:val="0"/>
  </w:style>
  <w:style w:type="character" w:styleId="25">
    <w:name w:val="Hyperlink"/>
    <w:basedOn w:val="20"/>
    <w:qFormat/>
    <w:uiPriority w:val="0"/>
    <w:rPr>
      <w:color w:val="454545"/>
      <w:sz w:val="21"/>
      <w:szCs w:val="21"/>
      <w:u w:val="none"/>
    </w:rPr>
  </w:style>
  <w:style w:type="character" w:styleId="26">
    <w:name w:val="HTML Code"/>
    <w:basedOn w:val="20"/>
    <w:qFormat/>
    <w:uiPriority w:val="0"/>
    <w:rPr>
      <w:rFonts w:ascii="Courier New" w:hAnsi="Courier New"/>
      <w:sz w:val="20"/>
    </w:rPr>
  </w:style>
  <w:style w:type="character" w:styleId="27">
    <w:name w:val="HTML Cite"/>
    <w:basedOn w:val="20"/>
    <w:qFormat/>
    <w:uiPriority w:val="0"/>
  </w:style>
  <w:style w:type="paragraph" w:customStyle="1" w:styleId="28">
    <w:name w:val="Default"/>
    <w:basedOn w:val="29"/>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表头"/>
    <w:basedOn w:val="30"/>
    <w:next w:val="1"/>
    <w:qFormat/>
    <w:uiPriority w:val="0"/>
    <w:pPr>
      <w:widowControl w:val="0"/>
      <w:adjustRightInd/>
      <w:snapToGrid/>
      <w:spacing w:after="0" w:line="360" w:lineRule="auto"/>
      <w:jc w:val="center"/>
    </w:pPr>
    <w:rPr>
      <w:rFonts w:ascii="Times New Roman" w:hAnsi="Times New Roman" w:eastAsia="黑体" w:cs="Times New Roman"/>
      <w:kern w:val="2"/>
      <w:sz w:val="24"/>
      <w:szCs w:val="24"/>
    </w:rPr>
  </w:style>
  <w:style w:type="paragraph" w:customStyle="1" w:styleId="30">
    <w:name w:val="表名1"/>
    <w:basedOn w:val="31"/>
    <w:qFormat/>
    <w:uiPriority w:val="0"/>
    <w:pPr>
      <w:spacing w:beforeLines="50" w:afterLines="20" w:line="240" w:lineRule="auto"/>
      <w:ind w:firstLine="0" w:firstLineChars="0"/>
      <w:jc w:val="center"/>
    </w:pPr>
    <w:rPr>
      <w:rFonts w:ascii="仿宋" w:hAnsi="仿宋" w:eastAsia="仿宋"/>
      <w:b/>
      <w:kern w:val="2"/>
    </w:rPr>
  </w:style>
  <w:style w:type="paragraph" w:customStyle="1" w:styleId="31">
    <w:name w:val="报告"/>
    <w:qFormat/>
    <w:uiPriority w:val="99"/>
    <w:pPr>
      <w:autoSpaceDE w:val="0"/>
      <w:autoSpaceDN w:val="0"/>
      <w:adjustRightInd w:val="0"/>
      <w:snapToGrid w:val="0"/>
      <w:spacing w:after="200" w:line="360" w:lineRule="auto"/>
      <w:ind w:firstLine="505"/>
      <w:textAlignment w:val="baseline"/>
    </w:pPr>
    <w:rPr>
      <w:rFonts w:ascii="Tahoma" w:hAnsi="Tahoma" w:eastAsia="微软雅黑" w:cs="Times New Roman"/>
      <w:sz w:val="22"/>
      <w:szCs w:val="20"/>
      <w:lang w:val="en-US" w:eastAsia="zh-CN" w:bidi="ar-SA"/>
    </w:rPr>
  </w:style>
  <w:style w:type="paragraph" w:customStyle="1" w:styleId="32">
    <w:name w:val="表格内"/>
    <w:basedOn w:val="13"/>
    <w:next w:val="1"/>
    <w:qFormat/>
    <w:uiPriority w:val="0"/>
    <w:pPr>
      <w:widowControl w:val="0"/>
      <w:spacing w:after="0" w:line="360" w:lineRule="exact"/>
      <w:jc w:val="center"/>
    </w:pPr>
    <w:rPr>
      <w:rFonts w:ascii="Times New Roman" w:hAnsi="Times New Roman" w:eastAsia="宋体" w:cs="Times New Roman"/>
      <w:snapToGrid w:val="0"/>
      <w:sz w:val="21"/>
      <w:szCs w:val="21"/>
    </w:rPr>
  </w:style>
  <w:style w:type="paragraph" w:customStyle="1" w:styleId="33">
    <w:name w:val="正文格式"/>
    <w:basedOn w:val="1"/>
    <w:next w:val="1"/>
    <w:qFormat/>
    <w:uiPriority w:val="0"/>
    <w:pPr>
      <w:widowControl w:val="0"/>
      <w:adjustRightInd/>
      <w:snapToGrid/>
      <w:spacing w:after="0" w:line="360" w:lineRule="auto"/>
      <w:ind w:firstLine="482" w:firstLineChars="200"/>
      <w:jc w:val="both"/>
    </w:pPr>
    <w:rPr>
      <w:rFonts w:ascii="Times New Roman" w:hAnsi="Times New Roman" w:eastAsia="宋体" w:cs="Times New Roman"/>
      <w:kern w:val="2"/>
      <w:sz w:val="24"/>
      <w:szCs w:val="24"/>
    </w:rPr>
  </w:style>
  <w:style w:type="paragraph" w:customStyle="1" w:styleId="34">
    <w:name w:val="【正文】"/>
    <w:basedOn w:val="1"/>
    <w:next w:val="1"/>
    <w:link w:val="35"/>
    <w:qFormat/>
    <w:uiPriority w:val="0"/>
    <w:pPr>
      <w:widowControl w:val="0"/>
      <w:adjustRightInd/>
      <w:snapToGrid/>
      <w:spacing w:after="0" w:line="360" w:lineRule="auto"/>
      <w:ind w:firstLine="200" w:firstLineChars="200"/>
      <w:jc w:val="both"/>
    </w:pPr>
    <w:rPr>
      <w:rFonts w:ascii="Times New Roman" w:hAnsi="Times New Roman" w:eastAsia="宋体" w:cs="宋体"/>
      <w:snapToGrid w:val="0"/>
      <w:sz w:val="24"/>
      <w:szCs w:val="20"/>
    </w:rPr>
  </w:style>
  <w:style w:type="character" w:customStyle="1" w:styleId="35">
    <w:name w:val="【正文】 Char"/>
    <w:basedOn w:val="20"/>
    <w:link w:val="34"/>
    <w:qFormat/>
    <w:uiPriority w:val="0"/>
    <w:rPr>
      <w:rFonts w:ascii="Times New Roman" w:hAnsi="Times New Roman" w:eastAsia="宋体" w:cs="宋体"/>
      <w:snapToGrid w:val="0"/>
      <w:sz w:val="24"/>
      <w:szCs w:val="20"/>
    </w:rPr>
  </w:style>
  <w:style w:type="paragraph" w:customStyle="1" w:styleId="36">
    <w:name w:val="0正文缩进"/>
    <w:basedOn w:val="4"/>
    <w:qFormat/>
    <w:uiPriority w:val="0"/>
    <w:pPr>
      <w:adjustRightInd/>
      <w:snapToGrid/>
      <w:spacing w:line="360" w:lineRule="auto"/>
    </w:pPr>
    <w:rPr>
      <w:rFonts w:eastAsiaTheme="minorEastAsia" w:cstheme="minorBidi"/>
      <w:snapToGrid/>
      <w:kern w:val="2"/>
      <w:sz w:val="24"/>
    </w:rPr>
  </w:style>
  <w:style w:type="paragraph" w:customStyle="1" w:styleId="37">
    <w:name w:val="+正文"/>
    <w:basedOn w:val="1"/>
    <w:link w:val="54"/>
    <w:qFormat/>
    <w:uiPriority w:val="0"/>
    <w:pPr>
      <w:widowControl w:val="0"/>
      <w:adjustRightInd/>
      <w:snapToGrid/>
      <w:spacing w:after="0" w:line="360" w:lineRule="auto"/>
      <w:ind w:firstLine="200" w:firstLineChars="200"/>
      <w:jc w:val="both"/>
    </w:pPr>
    <w:rPr>
      <w:rFonts w:ascii="宋体" w:hAnsi="Calibri" w:eastAsia="宋体" w:cs="Times New Roman"/>
      <w:sz w:val="24"/>
      <w:szCs w:val="28"/>
    </w:rPr>
  </w:style>
  <w:style w:type="paragraph" w:customStyle="1" w:styleId="38">
    <w:name w:val="_1.1.1"/>
    <w:next w:val="1"/>
    <w:link w:val="41"/>
    <w:qFormat/>
    <w:uiPriority w:val="0"/>
    <w:pPr>
      <w:widowControl w:val="0"/>
      <w:tabs>
        <w:tab w:val="left" w:pos="180"/>
        <w:tab w:val="left" w:pos="1092"/>
        <w:tab w:val="left" w:pos="1686"/>
      </w:tabs>
      <w:ind w:firstLine="200" w:firstLineChars="200"/>
      <w:jc w:val="both"/>
    </w:pPr>
    <w:rPr>
      <w:rFonts w:ascii="Times New Roman" w:hAnsi="Times New Roman" w:eastAsia="宋体" w:cs="Times New Roman"/>
      <w:b/>
      <w:kern w:val="2"/>
      <w:sz w:val="24"/>
      <w:szCs w:val="24"/>
      <w:lang w:val="en-US" w:eastAsia="zh-CN" w:bidi="ar-SA"/>
    </w:rPr>
  </w:style>
  <w:style w:type="paragraph" w:customStyle="1" w:styleId="39">
    <w:name w:val="_Style 6"/>
    <w:basedOn w:val="1"/>
    <w:qFormat/>
    <w:uiPriority w:val="0"/>
    <w:pPr>
      <w:widowControl w:val="0"/>
      <w:adjustRightInd/>
      <w:snapToGrid/>
      <w:spacing w:after="0"/>
      <w:jc w:val="center"/>
    </w:pPr>
    <w:rPr>
      <w:rFonts w:ascii="宋体" w:hAnsi="宋体" w:eastAsia="宋体" w:cs="Times New Roman"/>
      <w:kern w:val="2"/>
      <w:sz w:val="21"/>
      <w:szCs w:val="20"/>
    </w:rPr>
  </w:style>
  <w:style w:type="table" w:customStyle="1" w:styleId="40">
    <w:name w:val="网格型1"/>
    <w:basedOn w:val="18"/>
    <w:qFormat/>
    <w:uiPriority w:val="0"/>
    <w:rPr>
      <w:rFonts w:ascii="Times New Roman" w:hAnsi="Times New Roman" w:eastAsia="宋体" w:cs="Times New Roman"/>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character" w:customStyle="1" w:styleId="41">
    <w:name w:val="_1.1.1 Char"/>
    <w:link w:val="38"/>
    <w:qFormat/>
    <w:uiPriority w:val="0"/>
    <w:rPr>
      <w:rFonts w:ascii="Times New Roman" w:hAnsi="Times New Roman" w:eastAsia="宋体" w:cs="Times New Roman"/>
      <w:b/>
      <w:kern w:val="2"/>
      <w:sz w:val="24"/>
      <w:szCs w:val="24"/>
      <w:lang w:val="en-US" w:eastAsia="zh-CN" w:bidi="ar-SA"/>
    </w:rPr>
  </w:style>
  <w:style w:type="character" w:customStyle="1" w:styleId="42">
    <w:name w:val="【正文】 Char Char"/>
    <w:qFormat/>
    <w:uiPriority w:val="0"/>
    <w:rPr>
      <w:rFonts w:ascii="宋体" w:hAnsi="宋体" w:eastAsia="宋体" w:cs="Times New Roman"/>
      <w:kern w:val="0"/>
      <w:sz w:val="24"/>
      <w:szCs w:val="24"/>
    </w:rPr>
  </w:style>
  <w:style w:type="character" w:customStyle="1" w:styleId="43">
    <w:name w:val="【表头】 Char"/>
    <w:link w:val="44"/>
    <w:qFormat/>
    <w:uiPriority w:val="0"/>
    <w:rPr>
      <w:rFonts w:ascii="宋体" w:hAnsi="宋体" w:eastAsia="宋体" w:cs="宋体"/>
      <w:b/>
      <w:sz w:val="24"/>
    </w:rPr>
  </w:style>
  <w:style w:type="paragraph" w:customStyle="1" w:styleId="44">
    <w:name w:val="【表头】"/>
    <w:basedOn w:val="1"/>
    <w:link w:val="43"/>
    <w:qFormat/>
    <w:uiPriority w:val="0"/>
    <w:pPr>
      <w:widowControl w:val="0"/>
      <w:spacing w:after="0"/>
      <w:ind w:firstLine="200" w:firstLineChars="200"/>
      <w:jc w:val="both"/>
    </w:pPr>
    <w:rPr>
      <w:rFonts w:ascii="宋体" w:hAnsi="宋体" w:eastAsia="宋体" w:cs="宋体"/>
      <w:b/>
      <w:sz w:val="24"/>
    </w:rPr>
  </w:style>
  <w:style w:type="paragraph" w:customStyle="1" w:styleId="45">
    <w:name w:val="0正文中9.8新"/>
    <w:basedOn w:val="1"/>
    <w:qFormat/>
    <w:uiPriority w:val="30"/>
    <w:pPr>
      <w:widowControl w:val="0"/>
      <w:adjustRightInd/>
      <w:snapToGrid/>
      <w:spacing w:after="0" w:line="360" w:lineRule="auto"/>
      <w:ind w:firstLine="200" w:firstLineChars="200"/>
      <w:jc w:val="both"/>
    </w:pPr>
    <w:rPr>
      <w:rFonts w:ascii="Times New Roman" w:hAnsi="Times New Roman" w:eastAsiaTheme="minorEastAsia"/>
      <w:kern w:val="2"/>
      <w:sz w:val="24"/>
      <w:szCs w:val="24"/>
    </w:rPr>
  </w:style>
  <w:style w:type="paragraph" w:customStyle="1" w:styleId="46">
    <w:name w:val="表格"/>
    <w:basedOn w:val="47"/>
    <w:next w:val="1"/>
    <w:qFormat/>
    <w:uiPriority w:val="0"/>
    <w:pPr>
      <w:widowControl w:val="0"/>
      <w:spacing w:after="0"/>
      <w:jc w:val="center"/>
    </w:pPr>
    <w:rPr>
      <w:rFonts w:ascii="Times New Roman" w:hAnsi="Times New Roman" w:eastAsia="宋体" w:cs="Times New Roman"/>
      <w:color w:val="FF0000"/>
      <w:kern w:val="2"/>
      <w:sz w:val="21"/>
      <w:szCs w:val="21"/>
    </w:rPr>
  </w:style>
  <w:style w:type="paragraph" w:customStyle="1" w:styleId="47">
    <w:name w:val="标准"/>
    <w:basedOn w:val="48"/>
    <w:qFormat/>
    <w:uiPriority w:val="0"/>
    <w:pPr>
      <w:adjustRightInd w:val="0"/>
      <w:spacing w:line="480" w:lineRule="exact"/>
      <w:textAlignment w:val="baseline"/>
    </w:pPr>
    <w:rPr>
      <w:rFonts w:ascii="Times New Roman" w:hAnsi="Times New Roman"/>
      <w:sz w:val="28"/>
      <w:szCs w:val="20"/>
      <w:lang w:val="en-GB"/>
    </w:rPr>
  </w:style>
  <w:style w:type="paragraph" w:customStyle="1" w:styleId="48">
    <w:name w:val="正文 New New"/>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9">
    <w:name w:val="【表中文字】"/>
    <w:basedOn w:val="50"/>
    <w:link w:val="59"/>
    <w:qFormat/>
    <w:uiPriority w:val="0"/>
    <w:rPr>
      <w:rFonts w:ascii="宋体" w:hAnsi="宋体" w:eastAsia="宋体"/>
      <w:sz w:val="21"/>
    </w:rPr>
  </w:style>
  <w:style w:type="paragraph" w:customStyle="1" w:styleId="50">
    <w:name w:val="表格字"/>
    <w:basedOn w:val="13"/>
    <w:qFormat/>
    <w:uiPriority w:val="0"/>
    <w:pPr>
      <w:widowControl w:val="0"/>
      <w:adjustRightInd/>
      <w:snapToGrid/>
      <w:spacing w:after="0"/>
      <w:ind w:left="0" w:firstLine="0" w:firstLineChars="0"/>
      <w:jc w:val="center"/>
    </w:pPr>
    <w:rPr>
      <w:rFonts w:ascii="Times New Roman" w:hAnsi="Times New Roman"/>
    </w:rPr>
  </w:style>
  <w:style w:type="paragraph" w:customStyle="1" w:styleId="51">
    <w:name w:val="List"/>
    <w:basedOn w:val="1"/>
    <w:qFormat/>
    <w:uiPriority w:val="0"/>
    <w:pPr>
      <w:ind w:left="200" w:hanging="200" w:hangingChars="200"/>
      <w:contextualSpacing/>
    </w:pPr>
  </w:style>
  <w:style w:type="paragraph" w:customStyle="1" w:styleId="52">
    <w:name w:val="表格标题"/>
    <w:basedOn w:val="34"/>
    <w:next w:val="34"/>
    <w:qFormat/>
    <w:uiPriority w:val="0"/>
    <w:pPr>
      <w:widowControl w:val="0"/>
      <w:adjustRightInd/>
      <w:snapToGrid/>
      <w:spacing w:before="120" w:after="0"/>
      <w:jc w:val="center"/>
    </w:pPr>
    <w:rPr>
      <w:rFonts w:ascii="Times New Roman" w:hAnsi="Times New Roman" w:eastAsia="宋体" w:cs="Times New Roman"/>
      <w:kern w:val="2"/>
      <w:sz w:val="24"/>
      <w:szCs w:val="20"/>
    </w:rPr>
  </w:style>
  <w:style w:type="paragraph" w:customStyle="1" w:styleId="53">
    <w:name w:val="正文 New New New New New New"/>
    <w:qFormat/>
    <w:uiPriority w:val="0"/>
    <w:pPr>
      <w:widowControl w:val="0"/>
      <w:adjustRightInd w:val="0"/>
      <w:snapToGri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54">
    <w:name w:val="+正文 Char"/>
    <w:link w:val="37"/>
    <w:qFormat/>
    <w:uiPriority w:val="0"/>
    <w:rPr>
      <w:rFonts w:ascii="宋体" w:hAnsi="Calibri" w:eastAsia="宋体" w:cs="Times New Roman"/>
      <w:sz w:val="24"/>
      <w:szCs w:val="28"/>
    </w:rPr>
  </w:style>
  <w:style w:type="paragraph" w:styleId="55">
    <w:name w:val="List Paragraph"/>
    <w:basedOn w:val="1"/>
    <w:qFormat/>
    <w:uiPriority w:val="1"/>
    <w:pPr>
      <w:ind w:firstLine="420" w:firstLineChars="200"/>
    </w:pPr>
  </w:style>
  <w:style w:type="paragraph" w:customStyle="1" w:styleId="56">
    <w:name w:val="_Style 3"/>
    <w:basedOn w:val="1"/>
    <w:qFormat/>
    <w:uiPriority w:val="99"/>
    <w:pPr>
      <w:widowControl w:val="0"/>
      <w:adjustRightInd/>
      <w:snapToGrid/>
      <w:spacing w:after="0"/>
      <w:jc w:val="center"/>
    </w:pPr>
    <w:rPr>
      <w:rFonts w:ascii="宋体" w:hAnsi="Calibri" w:eastAsia="宋体" w:cs="宋体"/>
      <w:sz w:val="21"/>
      <w:szCs w:val="21"/>
    </w:rPr>
  </w:style>
  <w:style w:type="table" w:customStyle="1" w:styleId="57">
    <w:name w:val="Table Normal1"/>
    <w:semiHidden/>
    <w:unhideWhenUsed/>
    <w:qFormat/>
    <w:uiPriority w:val="2"/>
    <w:pPr>
      <w:widowControl w:val="0"/>
    </w:pPr>
    <w:rPr>
      <w:rFonts w:eastAsia="宋体"/>
      <w:lang w:eastAsia="en-US"/>
    </w:rPr>
    <w:tblPr>
      <w:tblCellMar>
        <w:top w:w="0" w:type="dxa"/>
        <w:left w:w="0" w:type="dxa"/>
        <w:bottom w:w="0" w:type="dxa"/>
        <w:right w:w="0" w:type="dxa"/>
      </w:tblCellMar>
    </w:tblPr>
  </w:style>
  <w:style w:type="table" w:customStyle="1" w:styleId="58">
    <w:name w:val="Table Normal"/>
    <w:unhideWhenUsed/>
    <w:qFormat/>
    <w:uiPriority w:val="2"/>
    <w:pPr>
      <w:widowControl w:val="0"/>
    </w:pPr>
    <w:rPr>
      <w:rFonts w:eastAsiaTheme="minorEastAsia"/>
      <w:lang w:eastAsia="en-US"/>
    </w:rPr>
    <w:tblPr>
      <w:tblCellMar>
        <w:top w:w="0" w:type="dxa"/>
        <w:left w:w="0" w:type="dxa"/>
        <w:bottom w:w="0" w:type="dxa"/>
        <w:right w:w="0" w:type="dxa"/>
      </w:tblCellMar>
    </w:tblPr>
  </w:style>
  <w:style w:type="character" w:customStyle="1" w:styleId="59">
    <w:name w:val="【表中文字】 Char"/>
    <w:link w:val="49"/>
    <w:qFormat/>
    <w:uiPriority w:val="0"/>
    <w:rPr>
      <w:rFonts w:ascii="宋体" w:hAnsi="宋体" w:eastAsia="宋体"/>
      <w:sz w:val="21"/>
    </w:rPr>
  </w:style>
  <w:style w:type="paragraph" w:customStyle="1" w:styleId="60">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61">
    <w:name w:val="Char Char Char Char Char Char Char"/>
    <w:basedOn w:val="1"/>
    <w:qFormat/>
    <w:uiPriority w:val="0"/>
    <w:pPr>
      <w:spacing w:line="360" w:lineRule="auto"/>
      <w:ind w:firstLine="200" w:firstLineChars="200"/>
    </w:pPr>
  </w:style>
  <w:style w:type="paragraph" w:customStyle="1" w:styleId="62">
    <w:name w:val="正文首行缩进-修改"/>
    <w:basedOn w:val="1"/>
    <w:qFormat/>
    <w:uiPriority w:val="0"/>
    <w:pPr>
      <w:spacing w:line="360" w:lineRule="auto"/>
      <w:ind w:firstLine="480" w:firstLineChars="200"/>
    </w:pPr>
    <w:rPr>
      <w:sz w:val="24"/>
    </w:rPr>
  </w:style>
  <w:style w:type="paragraph" w:customStyle="1" w:styleId="63">
    <w:name w:val="Table Paragraph"/>
    <w:basedOn w:val="1"/>
    <w:qFormat/>
    <w:uiPriority w:val="1"/>
    <w:pPr>
      <w:widowControl w:val="0"/>
      <w:adjustRightInd/>
      <w:snapToGrid/>
      <w:spacing w:after="0"/>
    </w:pPr>
    <w:rPr>
      <w:rFonts w:asciiTheme="minorHAnsi" w:hAnsiTheme="minorHAnsi" w:eastAsiaTheme="minorEastAsia"/>
      <w:lang w:eastAsia="en-US"/>
    </w:rPr>
  </w:style>
  <w:style w:type="character" w:customStyle="1" w:styleId="64">
    <w:name w:val="【表格注释】"/>
    <w:qFormat/>
    <w:uiPriority w:val="0"/>
    <w:rPr>
      <w:rFonts w:hint="eastAsia" w:ascii="宋体" w:hAnsi="宋体" w:eastAsia="宋体" w:cs="宋体"/>
      <w:kern w:val="0"/>
      <w:sz w:val="21"/>
      <w:lang w:val="en-US" w:eastAsia="zh-CN" w:bidi="ar-SA"/>
    </w:rPr>
  </w:style>
  <w:style w:type="paragraph" w:customStyle="1" w:styleId="65">
    <w:name w:val="表内5号正文"/>
    <w:basedOn w:val="1"/>
    <w:qFormat/>
    <w:uiPriority w:val="0"/>
    <w:pPr>
      <w:spacing w:line="240" w:lineRule="exact"/>
      <w:jc w:val="center"/>
    </w:pPr>
    <w:rPr>
      <w:kern w:val="0"/>
      <w:szCs w:val="21"/>
    </w:rPr>
  </w:style>
  <w:style w:type="character" w:customStyle="1" w:styleId="66">
    <w:name w:val="ranknum"/>
    <w:basedOn w:val="20"/>
    <w:qFormat/>
    <w:uiPriority w:val="0"/>
    <w:rPr>
      <w:rFonts w:ascii="Arial" w:hAnsi="Arial" w:cs="Arial"/>
      <w:b/>
      <w:bCs/>
      <w:color w:val="FFFFFF"/>
      <w:shd w:val="clear" w:fill="CACACA"/>
    </w:rPr>
  </w:style>
  <w:style w:type="character" w:customStyle="1" w:styleId="67">
    <w:name w:val="front"/>
    <w:basedOn w:val="20"/>
    <w:qFormat/>
    <w:uiPriority w:val="0"/>
    <w:rPr>
      <w:shd w:val="clear" w:fill="E81325"/>
    </w:rPr>
  </w:style>
  <w:style w:type="character" w:customStyle="1" w:styleId="68">
    <w:name w:val="fr"/>
    <w:basedOn w:val="20"/>
    <w:qFormat/>
    <w:uiPriority w:val="0"/>
  </w:style>
  <w:style w:type="character" w:customStyle="1" w:styleId="69">
    <w:name w:val="fr1"/>
    <w:basedOn w:val="20"/>
    <w:qFormat/>
    <w:uiPriority w:val="0"/>
  </w:style>
  <w:style w:type="character" w:customStyle="1" w:styleId="70">
    <w:name w:val="fr2"/>
    <w:basedOn w:val="20"/>
    <w:qFormat/>
    <w:uiPriority w:val="0"/>
  </w:style>
  <w:style w:type="paragraph" w:customStyle="1" w:styleId="71">
    <w:name w:val="表格 文字"/>
    <w:qFormat/>
    <w:uiPriority w:val="0"/>
    <w:pPr>
      <w:widowControl w:val="0"/>
      <w:tabs>
        <w:tab w:val="left" w:pos="628"/>
        <w:tab w:val="left" w:pos="1727"/>
        <w:tab w:val="left" w:pos="1884"/>
      </w:tabs>
      <w:adjustRightInd w:val="0"/>
      <w:snapToGrid w:val="0"/>
      <w:spacing w:after="0" w:afterLines="0" w:line="240" w:lineRule="exact"/>
      <w:ind w:right="0" w:firstLine="0" w:firstLineChars="0"/>
      <w:jc w:val="center"/>
    </w:pPr>
    <w:rPr>
      <w:rFonts w:ascii="Calibri" w:hAnsi="Times New Roman" w:eastAsia="宋体" w:cs="Times New Roman"/>
      <w:bCs/>
      <w:kern w:val="2"/>
      <w:sz w:val="21"/>
      <w:szCs w:val="21"/>
      <w:lang w:val="en-US" w:eastAsia="zh-CN" w:bidi="ar-SA"/>
    </w:rPr>
  </w:style>
  <w:style w:type="character" w:customStyle="1" w:styleId="72">
    <w:name w:val="font01"/>
    <w:basedOn w:val="20"/>
    <w:qFormat/>
    <w:uiPriority w:val="0"/>
    <w:rPr>
      <w:rFonts w:hint="default" w:ascii="Times New Roman" w:hAnsi="Times New Roman" w:cs="Times New Roman"/>
      <w:color w:val="000000"/>
      <w:sz w:val="21"/>
      <w:szCs w:val="21"/>
      <w:u w:val="none"/>
    </w:rPr>
  </w:style>
  <w:style w:type="character" w:customStyle="1" w:styleId="73">
    <w:name w:val="font21"/>
    <w:basedOn w:val="20"/>
    <w:qFormat/>
    <w:uiPriority w:val="0"/>
    <w:rPr>
      <w:rFonts w:hint="eastAsia" w:ascii="宋体" w:hAnsi="宋体" w:eastAsia="宋体" w:cs="宋体"/>
      <w:color w:val="000000"/>
      <w:sz w:val="21"/>
      <w:szCs w:val="21"/>
      <w:u w:val="none"/>
    </w:rPr>
  </w:style>
  <w:style w:type="character" w:customStyle="1" w:styleId="74">
    <w:name w:val="font11"/>
    <w:basedOn w:val="20"/>
    <w:qFormat/>
    <w:uiPriority w:val="0"/>
    <w:rPr>
      <w:rFonts w:hint="default" w:ascii="Times New Roman" w:hAnsi="Times New Roman" w:cs="Times New Roman"/>
      <w:color w:val="000000"/>
      <w:sz w:val="21"/>
      <w:szCs w:val="21"/>
      <w:u w:val="none"/>
    </w:rPr>
  </w:style>
  <w:style w:type="character" w:customStyle="1" w:styleId="75">
    <w:name w:val="font61"/>
    <w:basedOn w:val="20"/>
    <w:qFormat/>
    <w:uiPriority w:val="0"/>
    <w:rPr>
      <w:rFonts w:hint="default" w:ascii="Times New Roman" w:hAnsi="Times New Roman" w:cs="Times New Roman"/>
      <w:color w:val="000000"/>
      <w:sz w:val="21"/>
      <w:szCs w:val="21"/>
      <w:u w:val="none"/>
      <w:vertAlign w:val="superscript"/>
    </w:rPr>
  </w:style>
  <w:style w:type="character" w:customStyle="1" w:styleId="76">
    <w:name w:val="font71"/>
    <w:basedOn w:val="20"/>
    <w:qFormat/>
    <w:uiPriority w:val="0"/>
    <w:rPr>
      <w:rFonts w:hint="default" w:ascii="Times New Roman" w:hAnsi="Times New Roman" w:cs="Times New Roman"/>
      <w:color w:val="000000"/>
      <w:sz w:val="21"/>
      <w:szCs w:val="21"/>
      <w:u w:val="none"/>
      <w:vertAlign w:val="subscript"/>
    </w:rPr>
  </w:style>
  <w:style w:type="character" w:customStyle="1" w:styleId="77">
    <w:name w:val="font41"/>
    <w:basedOn w:val="20"/>
    <w:qFormat/>
    <w:uiPriority w:val="0"/>
    <w:rPr>
      <w:rFonts w:hint="default" w:ascii="Times New Roman" w:hAnsi="Times New Roman" w:cs="Times New Roman"/>
      <w:color w:val="FF0000"/>
      <w:sz w:val="21"/>
      <w:szCs w:val="21"/>
      <w:u w:val="none"/>
    </w:rPr>
  </w:style>
  <w:style w:type="character" w:customStyle="1" w:styleId="78">
    <w:name w:val="font31"/>
    <w:basedOn w:val="20"/>
    <w:qFormat/>
    <w:uiPriority w:val="0"/>
    <w:rPr>
      <w:rFonts w:hint="eastAsia" w:ascii="宋体" w:hAnsi="宋体" w:eastAsia="宋体" w:cs="宋体"/>
      <w:color w:val="FF0000"/>
      <w:sz w:val="21"/>
      <w:szCs w:val="21"/>
      <w:u w:val="none"/>
    </w:rPr>
  </w:style>
  <w:style w:type="paragraph" w:customStyle="1" w:styleId="79">
    <w:name w:val="@表名"/>
    <w:basedOn w:val="80"/>
    <w:qFormat/>
    <w:uiPriority w:val="0"/>
    <w:pPr>
      <w:adjustRightInd w:val="0"/>
      <w:snapToGrid w:val="0"/>
      <w:spacing w:before="156" w:beforeLines="50" w:after="200" w:line="240" w:lineRule="auto"/>
      <w:ind w:firstLine="0" w:firstLineChars="0"/>
      <w:jc w:val="center"/>
    </w:pPr>
    <w:rPr>
      <w:rFonts w:ascii="黑体" w:hAnsi="黑体" w:eastAsia="黑体" w:cstheme="minorBidi"/>
      <w:sz w:val="22"/>
      <w:szCs w:val="22"/>
      <w:lang w:val="en-US" w:eastAsia="zh-CN" w:bidi="ar-SA"/>
    </w:rPr>
  </w:style>
  <w:style w:type="paragraph" w:customStyle="1" w:styleId="80">
    <w:name w:val="@图名"/>
    <w:basedOn w:val="81"/>
    <w:qFormat/>
    <w:uiPriority w:val="0"/>
    <w:pPr>
      <w:spacing w:line="360" w:lineRule="auto"/>
    </w:pPr>
    <w:rPr>
      <w:rFonts w:ascii="黑体" w:hAnsi="黑体" w:eastAsia="黑体"/>
      <w:sz w:val="22"/>
    </w:rPr>
  </w:style>
  <w:style w:type="paragraph" w:customStyle="1" w:styleId="81">
    <w:name w:val="@表格"/>
    <w:basedOn w:val="5"/>
    <w:qFormat/>
    <w:uiPriority w:val="0"/>
    <w:pPr>
      <w:adjustRightInd w:val="0"/>
      <w:snapToGrid w:val="0"/>
      <w:spacing w:line="240" w:lineRule="auto"/>
      <w:ind w:firstLine="0" w:firstLineChars="0"/>
      <w:jc w:val="center"/>
    </w:pPr>
    <w:rPr>
      <w:sz w:val="21"/>
    </w:rPr>
  </w:style>
  <w:style w:type="paragraph" w:customStyle="1" w:styleId="82">
    <w:name w:val="报告名称副标题"/>
    <w:basedOn w:val="1"/>
    <w:next w:val="1"/>
    <w:qFormat/>
    <w:uiPriority w:val="0"/>
    <w:pPr>
      <w:widowControl/>
      <w:spacing w:before="140" w:beforeLines="0" w:after="120" w:afterLines="0" w:line="700" w:lineRule="exact"/>
      <w:ind w:firstLine="0" w:firstLineChars="0"/>
      <w:jc w:val="center"/>
    </w:pPr>
    <w:rPr>
      <w:rFonts w:eastAsia="黑体"/>
      <w:kern w:val="2"/>
      <w:sz w:val="44"/>
      <w:lang w:bidi="ar-SA"/>
    </w:rPr>
  </w:style>
  <w:style w:type="paragraph" w:customStyle="1" w:styleId="83">
    <w:name w:val="AP-正文无级"/>
    <w:qFormat/>
    <w:uiPriority w:val="0"/>
    <w:pPr>
      <w:widowControl w:val="0"/>
      <w:spacing w:line="360" w:lineRule="auto"/>
      <w:ind w:firstLine="480" w:firstLineChars="200"/>
      <w:jc w:val="both"/>
    </w:pPr>
    <w:rPr>
      <w:rFonts w:ascii="Times New Roman" w:hAnsi="Times New Roman" w:eastAsia="宋体" w:cs="Times New Roman"/>
      <w:sz w:val="24"/>
      <w:szCs w:val="20"/>
      <w:lang w:val="en-US" w:eastAsia="zh-CN" w:bidi="ar-SA"/>
    </w:rPr>
  </w:style>
  <w:style w:type="paragraph" w:customStyle="1" w:styleId="84">
    <w:name w:val="S表格标题"/>
    <w:next w:val="1"/>
    <w:qFormat/>
    <w:uiPriority w:val="0"/>
    <w:pPr>
      <w:widowControl w:val="0"/>
      <w:adjustRightInd w:val="0"/>
      <w:snapToGrid w:val="0"/>
      <w:spacing w:line="240" w:lineRule="auto"/>
      <w:ind w:firstLine="0" w:firstLineChars="0"/>
      <w:jc w:val="center"/>
    </w:pPr>
    <w:rPr>
      <w:rFonts w:ascii="Times New Roman" w:hAnsi="Times New Roman" w:eastAsia="宋体" w:cs="Times New Roman"/>
      <w:b/>
      <w:snapToGrid w:val="0"/>
      <w:sz w:val="22"/>
      <w:szCs w:val="24"/>
      <w:lang w:val="en-US" w:eastAsia="zh-CN" w:bidi="ar-SA"/>
    </w:rPr>
  </w:style>
  <w:style w:type="paragraph" w:customStyle="1" w:styleId="85">
    <w:name w:val="AF-表字表"/>
    <w:qFormat/>
    <w:uiPriority w:val="0"/>
    <w:pPr>
      <w:widowControl/>
      <w:adjustRightInd w:val="0"/>
      <w:snapToGrid w:val="0"/>
      <w:spacing w:line="240" w:lineRule="auto"/>
      <w:ind w:firstLine="0" w:firstLineChars="0"/>
      <w:jc w:val="center"/>
    </w:pPr>
    <w:rPr>
      <w:rFonts w:ascii="Times New Roman" w:hAnsi="Times New Roman" w:eastAsia="宋体" w:cs="Times New Roman"/>
      <w:snapToGrid w:val="0"/>
      <w:kern w:val="2"/>
      <w:sz w:val="21"/>
      <w:szCs w:val="21"/>
      <w:lang w:val="en-US" w:eastAsia="zh-CN" w:bidi="ar-SA"/>
    </w:rPr>
  </w:style>
  <w:style w:type="paragraph" w:customStyle="1" w:styleId="86">
    <w:name w:val="样式 样式 左 + 右侧:  0.85 字符1"/>
    <w:qFormat/>
    <w:uiPriority w:val="0"/>
    <w:pPr>
      <w:widowControl w:val="0"/>
      <w:adjustRightInd w:val="0"/>
      <w:snapToGrid w:val="0"/>
      <w:spacing w:line="360" w:lineRule="auto"/>
      <w:ind w:firstLine="200" w:firstLineChars="200"/>
      <w:jc w:val="both"/>
    </w:pPr>
    <w:rPr>
      <w:rFonts w:ascii="Times New Roman" w:hAnsi="Times New Roman" w:eastAsia="宋体" w:cs="宋体"/>
      <w:kern w:val="2"/>
      <w:sz w:val="24"/>
      <w:szCs w:val="24"/>
      <w:lang w:val="en-US" w:eastAsia="zh-CN" w:bidi="ar-SA"/>
    </w:rPr>
  </w:style>
  <w:style w:type="paragraph" w:customStyle="1" w:styleId="87">
    <w:name w:val="S表格"/>
    <w:basedOn w:val="47"/>
    <w:qFormat/>
    <w:uiPriority w:val="0"/>
    <w:pPr>
      <w:widowControl w:val="0"/>
      <w:adjustRightInd w:val="0"/>
      <w:spacing w:line="240" w:lineRule="auto"/>
      <w:jc w:val="center"/>
      <w:textAlignment w:val="baseline"/>
    </w:pPr>
    <w:rPr>
      <w:rFonts w:ascii="Times New Roman" w:hAnsi="Times New Roman" w:eastAsia="宋体" w:cs="Times New Roman"/>
      <w:kern w:val="0"/>
      <w:sz w:val="21"/>
      <w:szCs w:val="21"/>
      <w:lang w:val="en-US" w:eastAsia="zh-CN" w:bidi="ar-SA"/>
    </w:rPr>
  </w:style>
  <w:style w:type="character" w:customStyle="1" w:styleId="88">
    <w:name w:val="font91"/>
    <w:basedOn w:val="20"/>
    <w:qFormat/>
    <w:uiPriority w:val="0"/>
    <w:rPr>
      <w:rFonts w:hint="default" w:ascii="Times New Roman" w:hAnsi="Times New Roman" w:cs="Times New Roman"/>
      <w:color w:val="000000"/>
      <w:sz w:val="21"/>
      <w:szCs w:val="21"/>
      <w:u w:val="none"/>
      <w:vertAlign w:val="superscript"/>
    </w:rPr>
  </w:style>
  <w:style w:type="character" w:customStyle="1" w:styleId="89">
    <w:name w:val="font101"/>
    <w:basedOn w:val="20"/>
    <w:qFormat/>
    <w:uiPriority w:val="0"/>
    <w:rPr>
      <w:rFonts w:hint="default" w:ascii="Times New Roman" w:hAnsi="Times New Roman" w:cs="Times New Roman"/>
      <w:color w:val="0000FF"/>
      <w:sz w:val="21"/>
      <w:szCs w:val="21"/>
      <w:u w:val="none"/>
      <w:vertAlign w:val="subscript"/>
    </w:rPr>
  </w:style>
  <w:style w:type="paragraph" w:customStyle="1" w:styleId="90">
    <w:name w:val="R-表中文字"/>
    <w:qFormat/>
    <w:uiPriority w:val="6"/>
    <w:pPr>
      <w:widowControl/>
      <w:jc w:val="center"/>
    </w:pPr>
    <w:rPr>
      <w:rFonts w:ascii="Times New Roman" w:hAnsi="Times New Roman" w:eastAsia="宋体" w:cs="Times New Roman"/>
      <w:kern w:val="2"/>
      <w:sz w:val="21"/>
      <w:szCs w:val="21"/>
      <w:lang w:val="en-US" w:eastAsia="zh-CN" w:bidi="ar-SA"/>
    </w:rPr>
  </w:style>
  <w:style w:type="paragraph" w:customStyle="1" w:styleId="91">
    <w:name w:val="样式 标题 1 + 首行缩进:  2 字符"/>
    <w:basedOn w:val="2"/>
    <w:next w:val="1"/>
    <w:qFormat/>
    <w:uiPriority w:val="0"/>
    <w:pPr>
      <w:ind w:firstLine="200" w:firstLineChars="200"/>
    </w:pPr>
    <w:rPr>
      <w:szCs w:val="20"/>
    </w:rPr>
  </w:style>
  <w:style w:type="paragraph" w:customStyle="1" w:styleId="92">
    <w:name w:val="一级标题"/>
    <w:basedOn w:val="1"/>
    <w:qFormat/>
    <w:uiPriority w:val="0"/>
    <w:pPr>
      <w:spacing w:line="520" w:lineRule="exact"/>
    </w:pPr>
    <w:rPr>
      <w:rFonts w:eastAsia="仿宋_GB2312"/>
      <w:b/>
      <w:color w:val="000000"/>
    </w:rPr>
  </w:style>
  <w:style w:type="paragraph" w:customStyle="1" w:styleId="93">
    <w:name w:val="方案-正文"/>
    <w:qFormat/>
    <w:uiPriority w:val="0"/>
    <w:pPr>
      <w:tabs>
        <w:tab w:val="left" w:pos="3544"/>
        <w:tab w:val="left" w:pos="5600"/>
      </w:tabs>
      <w:spacing w:line="480" w:lineRule="exact"/>
      <w:ind w:firstLine="560" w:firstLineChars="200"/>
      <w:jc w:val="both"/>
    </w:pPr>
    <w:rPr>
      <w:rFonts w:ascii="Times New Roman" w:hAnsi="Times New Roman" w:eastAsia="方正仿宋简体" w:cs="宋体"/>
      <w:kern w:val="2"/>
      <w:sz w:val="28"/>
      <w:szCs w:val="24"/>
      <w:lang w:val="zh-CN" w:eastAsia="zh-CN" w:bidi="ar-SA"/>
    </w:rPr>
  </w:style>
  <w:style w:type="paragraph" w:customStyle="1" w:styleId="94">
    <w:name w:val="方案-图、表头"/>
    <w:basedOn w:val="1"/>
    <w:qFormat/>
    <w:uiPriority w:val="0"/>
    <w:pPr>
      <w:widowControl/>
      <w:adjustRightInd/>
      <w:snapToGrid/>
      <w:ind w:firstLine="0" w:firstLineChars="0"/>
      <w:jc w:val="center"/>
    </w:pPr>
    <w:rPr>
      <w:rFonts w:eastAsia="黑体" w:cs="宋体"/>
      <w:snapToGrid/>
      <w:kern w:val="2"/>
      <w:sz w:val="24"/>
      <w:szCs w:val="20"/>
    </w:rPr>
  </w:style>
  <w:style w:type="paragraph" w:customStyle="1" w:styleId="95">
    <w:name w:val="AAP-正文"/>
    <w:qFormat/>
    <w:uiPriority w:val="0"/>
    <w:pPr>
      <w:widowControl w:val="0"/>
      <w:spacing w:beforeLines="0" w:afterLines="0"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character" w:customStyle="1" w:styleId="96">
    <w:name w:val="font51"/>
    <w:basedOn w:val="20"/>
    <w:qFormat/>
    <w:uiPriority w:val="0"/>
    <w:rPr>
      <w:rFonts w:hint="default" w:ascii="Times New Roman" w:hAnsi="Times New Roman" w:cs="Times New Roman"/>
      <w:color w:val="000000"/>
      <w:sz w:val="21"/>
      <w:szCs w:val="21"/>
      <w:u w:val="none"/>
      <w:vertAlign w:val="subscript"/>
    </w:rPr>
  </w:style>
  <w:style w:type="paragraph" w:customStyle="1" w:styleId="97">
    <w:name w:val="A正文"/>
    <w:basedOn w:val="1"/>
    <w:qFormat/>
    <w:uiPriority w:val="0"/>
  </w:style>
  <w:style w:type="character" w:customStyle="1" w:styleId="98">
    <w:name w:val="laypage_curr"/>
    <w:basedOn w:val="20"/>
    <w:qFormat/>
    <w:uiPriority w:val="0"/>
    <w:rPr>
      <w:color w:val="FFFDF4"/>
      <w:sz w:val="42"/>
      <w:szCs w:val="42"/>
      <w:shd w:val="clear" w:fill="0B67A6"/>
    </w:rPr>
  </w:style>
  <w:style w:type="character" w:customStyle="1" w:styleId="99">
    <w:name w:val="active&gt;i"/>
    <w:basedOn w:val="20"/>
    <w:qFormat/>
    <w:uiPriority w:val="0"/>
  </w:style>
  <w:style w:type="character" w:customStyle="1" w:styleId="100">
    <w:name w:val="font"/>
    <w:basedOn w:val="20"/>
    <w:qFormat/>
    <w:uiPriority w:val="0"/>
  </w:style>
  <w:style w:type="character" w:customStyle="1" w:styleId="101">
    <w:name w:val="place"/>
    <w:basedOn w:val="20"/>
    <w:qFormat/>
    <w:uiPriority w:val="0"/>
  </w:style>
  <w:style w:type="character" w:customStyle="1" w:styleId="102">
    <w:name w:val="place1"/>
    <w:basedOn w:val="20"/>
    <w:qFormat/>
    <w:uiPriority w:val="0"/>
  </w:style>
  <w:style w:type="character" w:customStyle="1" w:styleId="103">
    <w:name w:val="place2"/>
    <w:basedOn w:val="20"/>
    <w:qFormat/>
    <w:uiPriority w:val="0"/>
    <w:rPr>
      <w:rFonts w:ascii="微软雅黑" w:hAnsi="微软雅黑" w:eastAsia="微软雅黑" w:cs="微软雅黑"/>
      <w:color w:val="888888"/>
      <w:sz w:val="25"/>
      <w:szCs w:val="25"/>
    </w:rPr>
  </w:style>
  <w:style w:type="character" w:customStyle="1" w:styleId="104">
    <w:name w:val="place3"/>
    <w:basedOn w:val="20"/>
    <w:qFormat/>
    <w:uiPriority w:val="0"/>
  </w:style>
  <w:style w:type="character" w:customStyle="1" w:styleId="105">
    <w:name w:val="bg01"/>
    <w:basedOn w:val="20"/>
    <w:qFormat/>
    <w:uiPriority w:val="0"/>
  </w:style>
  <w:style w:type="character" w:customStyle="1" w:styleId="106">
    <w:name w:val="hover14"/>
    <w:basedOn w:val="20"/>
    <w:qFormat/>
    <w:uiPriority w:val="0"/>
    <w:rPr>
      <w:color w:val="025291"/>
    </w:rPr>
  </w:style>
  <w:style w:type="character" w:customStyle="1" w:styleId="107">
    <w:name w:val="bg02"/>
    <w:basedOn w:val="20"/>
    <w:qFormat/>
    <w:uiPriority w:val="0"/>
  </w:style>
  <w:style w:type="character" w:customStyle="1" w:styleId="108">
    <w:name w:val="tabg"/>
    <w:basedOn w:val="20"/>
    <w:qFormat/>
    <w:uiPriority w:val="0"/>
    <w:rPr>
      <w:color w:val="FFFFFF"/>
      <w:sz w:val="27"/>
      <w:szCs w:val="27"/>
    </w:rPr>
  </w:style>
  <w:style w:type="character" w:customStyle="1" w:styleId="109">
    <w:name w:val="on5"/>
    <w:basedOn w:val="20"/>
    <w:qFormat/>
    <w:uiPriority w:val="0"/>
    <w:rPr>
      <w:color w:val="FFFFFF"/>
      <w:shd w:val="clear" w:fill="0B67A6"/>
    </w:rPr>
  </w:style>
  <w:style w:type="character" w:customStyle="1" w:styleId="110">
    <w:name w:val="on6"/>
    <w:basedOn w:val="20"/>
    <w:qFormat/>
    <w:uiPriority w:val="0"/>
    <w:rPr>
      <w:b/>
      <w:bCs/>
      <w:color w:val="015293"/>
    </w:rPr>
  </w:style>
  <w:style w:type="character" w:customStyle="1" w:styleId="111">
    <w:name w:val="font-zyygwj"/>
    <w:basedOn w:val="20"/>
    <w:qFormat/>
    <w:uiPriority w:val="0"/>
  </w:style>
  <w:style w:type="character" w:customStyle="1" w:styleId="112">
    <w:name w:val="font-zyygwj1"/>
    <w:basedOn w:val="20"/>
    <w:qFormat/>
    <w:uiPriority w:val="0"/>
  </w:style>
  <w:style w:type="character" w:customStyle="1" w:styleId="113">
    <w:name w:val="noline"/>
    <w:basedOn w:val="20"/>
    <w:qFormat/>
    <w:uiPriority w:val="0"/>
  </w:style>
  <w:style w:type="character" w:customStyle="1" w:styleId="114">
    <w:name w:val="font_gjgzk"/>
    <w:basedOn w:val="20"/>
    <w:qFormat/>
    <w:uiPriority w:val="0"/>
  </w:style>
  <w:style w:type="character" w:customStyle="1" w:styleId="115">
    <w:name w:val="hover"/>
    <w:basedOn w:val="20"/>
    <w:qFormat/>
    <w:uiPriority w:val="0"/>
    <w:rPr>
      <w:color w:val="025291"/>
    </w:rPr>
  </w:style>
  <w:style w:type="character" w:customStyle="1" w:styleId="116">
    <w:name w:val="font1"/>
    <w:basedOn w:val="20"/>
    <w:qFormat/>
    <w:uiPriority w:val="0"/>
  </w:style>
  <w:style w:type="paragraph" w:customStyle="1" w:styleId="117">
    <w:name w:val="11111"/>
    <w:basedOn w:val="1"/>
    <w:next w:val="1"/>
    <w:qFormat/>
    <w:uiPriority w:val="0"/>
    <w:pPr>
      <w:spacing w:line="360" w:lineRule="auto"/>
      <w:ind w:firstLine="200" w:firstLineChars="200"/>
    </w:pPr>
    <w:rPr>
      <w:rFonts w:hAnsi="宋体" w:cs="宋体"/>
    </w:rPr>
  </w:style>
  <w:style w:type="character" w:customStyle="1" w:styleId="118">
    <w:name w:val="NormalCharacter"/>
    <w:link w:val="119"/>
    <w:semiHidden/>
    <w:qFormat/>
    <w:uiPriority w:val="0"/>
    <w:rPr>
      <w:rFonts w:eastAsia="宋体"/>
      <w:kern w:val="2"/>
      <w:sz w:val="21"/>
      <w:szCs w:val="20"/>
      <w:lang w:val="en-US" w:eastAsia="zh-CN" w:bidi="ar-SA"/>
    </w:rPr>
  </w:style>
  <w:style w:type="paragraph" w:customStyle="1" w:styleId="119">
    <w:name w:val="UserStyle_2"/>
    <w:basedOn w:val="1"/>
    <w:link w:val="118"/>
    <w:qFormat/>
    <w:uiPriority w:val="0"/>
    <w:pPr>
      <w:widowControl/>
      <w:spacing w:after="160" w:line="240" w:lineRule="exact"/>
      <w:jc w:val="left"/>
      <w:textAlignment w:val="baseline"/>
    </w:pPr>
    <w:rPr>
      <w:rFonts w:eastAsia="宋体"/>
      <w:kern w:val="2"/>
      <w:sz w:val="21"/>
      <w:szCs w:val="20"/>
      <w:lang w:val="en-US" w:eastAsia="zh-CN" w:bidi="ar-SA"/>
    </w:rPr>
  </w:style>
  <w:style w:type="paragraph" w:customStyle="1" w:styleId="120">
    <w:name w:val="样式 环保表内字（五号） + 段前: 7.8 磅"/>
    <w:basedOn w:val="1"/>
    <w:autoRedefine/>
    <w:qFormat/>
    <w:uiPriority w:val="0"/>
    <w:pPr>
      <w:adjustRightInd w:val="0"/>
      <w:snapToGrid w:val="0"/>
      <w:spacing w:line="0" w:lineRule="atLeast"/>
    </w:pPr>
    <w:rPr>
      <w:rFonts w:eastAsia="宋体" w:cs="宋体"/>
      <w:snapToGrid w:val="0"/>
      <w:color w:val="00000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2.xml"/><Relationship Id="rId7" Type="http://schemas.openxmlformats.org/officeDocument/2006/relationships/footer" Target="footer3.xml"/><Relationship Id="rId6" Type="http://schemas.openxmlformats.org/officeDocument/2006/relationships/header" Target="header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wmf"/><Relationship Id="rId36" Type="http://schemas.openxmlformats.org/officeDocument/2006/relationships/oleObject" Target="embeddings/oleObject4.bin"/><Relationship Id="rId35" Type="http://schemas.openxmlformats.org/officeDocument/2006/relationships/image" Target="media/image15.wmf"/><Relationship Id="rId34" Type="http://schemas.openxmlformats.org/officeDocument/2006/relationships/oleObject" Target="embeddings/oleObject3.bin"/><Relationship Id="rId33" Type="http://schemas.openxmlformats.org/officeDocument/2006/relationships/image" Target="media/image14.wmf"/><Relationship Id="rId32" Type="http://schemas.openxmlformats.org/officeDocument/2006/relationships/oleObject" Target="embeddings/oleObject2.bin"/><Relationship Id="rId31" Type="http://schemas.openxmlformats.org/officeDocument/2006/relationships/image" Target="media/image13.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6.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textRotate="1"/>
    <customShpInfo spid="_x0000_s1029"/>
  </customShpExts>
</s:customData>
</file>

<file path=customXml/item2.xml><?xml version="1.0" encoding="utf-8"?>
<contractReview xmlns="http://schemas.wps.cn/vas-ai-hub/contract-review">
  <reviewItems>
    <reviewItem>
      <errorID>398f2ece-bf58-40e0-80e3-7467ba582e01</errorID>
      <errorWord>《</errorWord>
      <group>L1_Punc</group>
      <groupName>标点问题</groupName>
      <ability>L2_Punc</ability>
      <abilityName>标点符号检查</abilityName>
      <candidateList/>
      <explain>同一形式括号套用。</explain>
      <paraID>71DE87BB</paraID>
      <start>28</start>
      <end>29</end>
      <status>unmodified</status>
      <modifiedWord/>
      <trackRevisions>false</trackRevisions>
    </reviewItem>
    <reviewItem>
      <errorID>34dc161f-0782-4758-85ad-562b8ebb114e</errorID>
      <errorWord>》</errorWord>
      <group>L1_Punc</group>
      <groupName>标点问题</groupName>
      <ability>L2_Punc</ability>
      <abilityName>标点符号检查</abilityName>
      <candidateList/>
      <explain>同一形式括号套用。</explain>
      <paraID>71DE87BB</paraID>
      <start>43</start>
      <end>44</end>
      <status>unmodified</status>
      <modifiedWord/>
      <trackRevisions>false</trackRevisions>
    </reviewItem>
    <reviewItem>
      <errorID>dbfb28fc-1270-458c-84a6-ede37c8aaea4</errorID>
      <errorWord>[2019]910号</errorWord>
      <group>L1_Knowledge</group>
      <groupName>知识性问题</groupName>
      <ability>L2_Knowledge</ability>
      <abilityName>其他知识</abilityName>
      <candidateList>
        <item>〔2019〕910号</item>
      </candidateList>
      <explain>发文字号格式错误。</explain>
      <paraID>75A48251</paraID>
      <start>138</start>
      <end>148</end>
      <status>unmodified</status>
      <modifiedWord/>
      <trackRevisions>false</trackRevisions>
    </reviewItem>
    <reviewItem>
      <errorID>d660a365-56f5-4df6-bbfb-ef438cf48a19</errorID>
      <errorWord>期</errorWord>
      <group>L1_Word</group>
      <groupName>字词问题</groupName>
      <ability>L2_Typo</ability>
      <abilityName>字词错误</abilityName>
      <candidateList>
        <item>期间</item>
      </candidateList>
      <explain>〈名〉某个时期里面：农忙～｜春节～｜抗战～。</explain>
      <paraID>44E13F47</paraID>
      <start>2</start>
      <end>3</end>
      <status>unmodified</status>
      <modifiedWord/>
      <trackRevisions>false</trackRevisions>
    </reviewItem>
    <reviewItem>
      <errorID>8fb64bce-b206-438e-8867-915a2bf4b24e</errorID>
      <errorWord>中华人民共和国发展和改革委员会</errorWord>
      <group>L1_Knowledge</group>
      <groupName>知识性问题</groupName>
      <ability>L2_Organization</ability>
      <abilityName>机构检查</abilityName>
      <candidateList>
        <item>中华人民共和国国家发展和改革委员会</item>
      </candidateList>
      <explain>机关单位全简称表述错误</explain>
      <paraID>2C2F1330</paraID>
      <start>23</start>
      <end>38</end>
      <status>unmodified</status>
      <modifiedWord/>
      <trackRevisions>false</trackRevisions>
    </reviewItem>
    <reviewItem>
      <errorID>7c4bcd01-d88e-4963-bb53-84035b8e0da7</errorID>
      <errorWord>量</errorWord>
      <group>L1_Word</group>
      <groupName>字词问题</groupName>
      <ability>L2_Typo</ability>
      <abilityName>字词错误</abilityName>
      <candidateList>
        <item>量和</item>
      </candidateList>
      <explain/>
      <paraID>68666D01</paraID>
      <start>31</start>
      <end>32</end>
      <status>unmodified</status>
      <modifiedWord/>
      <trackRevisions>false</trackRevisions>
    </reviewItem>
    <reviewItem>
      <errorID>1f8135b9-9630-4a78-9a57-581247004ee7</errorID>
      <errorWord>，</errorWord>
      <group>L1_Word</group>
      <groupName>字词问题</groupName>
      <ability>L2_Typo</ability>
      <abilityName>字词错误</abilityName>
      <candidateList>
        <item>，在</item>
      </candidateList>
      <explain/>
      <paraID>150ED763</paraID>
      <start>62</start>
      <end>63</end>
      <status>unmodified</status>
      <modifiedWord/>
      <trackRevisions>false</trackRevisions>
    </reviewItem>
    <reviewItem>
      <errorID>499d585b-4c4e-42a5-8d7a-8378be21c4c2</errorID>
      <errorWord>[2021]13号</errorWord>
      <group>L1_Knowledge</group>
      <groupName>知识性问题</groupName>
      <ability>L2_Knowledge</ability>
      <abilityName>其他知识</abilityName>
      <candidateList>
        <item>〔2021〕13号</item>
      </candidateList>
      <explain>发文字号格式错误。</explain>
      <paraID>295A25D8</paraID>
      <start>38</start>
      <end>47</end>
      <status>unmodified</status>
      <modifiedWord/>
      <trackRevisions>false</trackRevisions>
    </reviewItem>
    <reviewItem>
      <errorID>12d2d32b-d5a9-410c-90a1-e6ab396fd8d9</errorID>
      <errorWord>量</errorWord>
      <group>L1_Word</group>
      <groupName>字词问题</groupName>
      <ability>L2_Typo</ability>
      <abilityName>字词错误</abilityName>
      <candidateList>
        <item>量和</item>
      </candidateList>
      <explain/>
      <paraID>35183030</paraID>
      <start>31</start>
      <end>32</end>
      <status>unmodified</status>
      <modifiedWord/>
      <trackRevisions>false</trackRevisions>
    </reviewItem>
    <reviewItem>
      <errorID>b8feac24-1875-49fd-b1fb-df3f440e325a</errorID>
      <errorWord>量</errorWord>
      <group>L1_Word</group>
      <groupName>字词问题</groupName>
      <ability>L2_Typo</ability>
      <abilityName>字词错误</abilityName>
      <candidateList>
        <item>量和</item>
      </candidateList>
      <explain/>
      <paraID>21260466</paraID>
      <start>31</start>
      <end>32</end>
      <status>unmodified</status>
      <modifiedWord/>
      <trackRevisions>false</trackRevisions>
    </reviewItem>
    <reviewItem>
      <errorID>e999c354-1a5f-4c61-a105-b9509fafa005</errorID>
      <errorWord>量</errorWord>
      <group>L1_Word</group>
      <groupName>字词问题</groupName>
      <ability>L2_Typo</ability>
      <abilityName>字词错误</abilityName>
      <candidateList>
        <item>量和</item>
      </candidateList>
      <explain/>
      <paraID>  F5DE6B</paraID>
      <start>31</start>
      <end>32</end>
      <status>unmodified</status>
      <modifiedWord/>
      <trackRevisions>false</trackRevisions>
    </reviewItem>
    <reviewItem>
      <errorID>1827f360-82de-441a-9b02-beb9888be6f0</errorID>
      <errorWord>，</errorWord>
      <group>L1_Word</group>
      <groupName>字词问题</groupName>
      <ability>L2_Typo</ability>
      <abilityName>字词错误</abilityName>
      <candidateList>
        <item>，在</item>
      </candidateList>
      <explain/>
      <paraID>43399054</paraID>
      <start>65</start>
      <end>66</end>
      <status>unmodified</status>
      <modifiedWord/>
      <trackRevisions>false</trackRevisions>
    </reviewItem>
    <reviewItem>
      <errorID>a7f275f5-254b-420b-a60a-f12ee8495808</errorID>
      <errorWord>法律、法规</errorWord>
      <group>L1_Word</group>
      <groupName>字词问题</groupName>
      <ability>L2_Typo</ability>
      <abilityName>字词错误</abilityName>
      <candidateList>
        <item>法律法规</item>
      </candidateList>
      <explain/>
      <paraID>667ED2D6</paraID>
      <start>60</start>
      <end>65</end>
      <status>unmodified</status>
      <modifiedWord/>
      <trackRevisions>false</trackRevisions>
    </reviewItem>
    <reviewItem>
      <errorID>2daf3611-6a9b-4800-912d-026cbcc039fb</errorID>
      <errorWord>[2022]1531号</errorWord>
      <group>L1_Knowledge</group>
      <groupName>知识性问题</groupName>
      <ability>L2_Knowledge</ability>
      <abilityName>其他知识</abilityName>
      <candidateList>
        <item>〔2022〕1531号</item>
      </candidateList>
      <explain>发文字号格式错误。</explain>
      <paraID> 4508287</paraID>
      <start>33</start>
      <end>44</end>
      <status>unmodified</status>
      <modifiedWord/>
      <trackRevisions>false</trackRevisions>
    </reviewItem>
    <reviewItem>
      <errorID>94a1a1ff-4504-4347-a11f-290afc2371d3</errorID>
      <errorWord>[2021]18号</errorWord>
      <group>L1_Knowledge</group>
      <groupName>知识性问题</groupName>
      <ability>L2_Knowledge</ability>
      <abilityName>其他知识</abilityName>
      <candidateList>
        <item>〔2021〕18号</item>
      </candidateList>
      <explain>发文字号格式错误。</explain>
      <paraID>25AE8528</paraID>
      <start>38</start>
      <end>47</end>
      <status>unmodified</status>
      <modifiedWord/>
      <trackRevisions>false</trackRevisions>
    </reviewItem>
    <reviewItem>
      <errorID>e5dfe5ff-44bb-4746-ad54-2cdbececd009</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67166468</paraID>
      <start>43</start>
      <end>50</end>
      <status>unmodified</status>
      <modifiedWord/>
      <trackRevisions>false</trackRevisions>
    </reviewItem>
    <reviewItem>
      <errorID>fe967cf5-f7e2-4eaf-89e9-aeb1deebe99c</errorID>
      <errorWord>[2016]150号</errorWord>
      <group>L1_Knowledge</group>
      <groupName>知识性问题</groupName>
      <ability>L2_Knowledge</ability>
      <abilityName>其他知识</abilityName>
      <candidateList>
        <item>〔2016〕150号</item>
      </candidateList>
      <explain>发文字号格式错误。</explain>
      <paraID>2FD740CB</paraID>
      <start>41</start>
      <end>51</end>
      <status>unmodified</status>
      <modifiedWord/>
      <trackRevisions>false</trackRevisions>
    </reviewItem>
    <reviewItem>
      <errorID>3e580554-8541-4e2d-ba3c-9f22ce2885d0</errorID>
      <errorWord>[2016]150号</errorWord>
      <group>L1_Knowledge</group>
      <groupName>知识性问题</groupName>
      <ability>L2_Knowledge</ability>
      <abilityName>其他知识</abilityName>
      <candidateList>
        <item>〔2016〕150号</item>
      </candidateList>
      <explain>发文字号格式错误。</explain>
      <paraID>5D3D4AB9</paraID>
      <start>43</start>
      <end>53</end>
      <status>unmodified</status>
      <modifiedWord/>
      <trackRevisions>false</trackRevisions>
    </reviewItem>
    <reviewItem>
      <errorID>3e654515-24b3-4407-b1d5-41a7987d6f00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1E4849F9</paraID>
      <start>120</start>
      <end>127</end>
      <status>unmodified</status>
      <modifiedWord/>
      <trackRevisions>false</trackRevisions>
    </reviewItem>
    <reviewItem>
      <errorID>09b70b01-3b17-4c69-846b-fcfaeee7f676</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542593D1</paraID>
      <start>66</start>
      <end>68</end>
      <status>unmodified</status>
      <modifiedWord/>
      <trackRevisions>false</trackRevisions>
    </reviewItem>
    <reviewItem>
      <errorID>eb9e8260-0915-4ae3-a94b-14874993a5b6</errorID>
      <errorWord>上线</errorWord>
      <group>L1_Word</group>
      <groupName>字词问题</groupName>
      <ability>L2_Typo</ability>
      <abilityName>字词错误</abilityName>
      <candidateList>
        <item>上限</item>
      </candidateList>
      <explain/>
      <paraID>3D572B0C</paraID>
      <start>55</start>
      <end>57</end>
      <status>unmodified</status>
      <modifiedWord/>
      <trackRevisions>false</trackRevisions>
    </reviewItem>
    <reviewItem>
      <errorID>58fda88c-19ef-465b-a37c-ef297c9bc6e0</errorID>
      <errorWord>上线</errorWord>
      <group>L1_Word</group>
      <groupName>字词问题</groupName>
      <ability>L2_Typo</ability>
      <abilityName>字词错误</abilityName>
      <candidateList>
        <item>上限</item>
      </candidateList>
      <explain/>
      <paraID>447D8B39</paraID>
      <start>37</start>
      <end>39</end>
      <status>unmodified</status>
      <modifiedWord/>
      <trackRevisions>false</trackRevisions>
    </reviewItem>
    <reviewItem>
      <errorID>440fc75d-9102-4ef9-8592-1d2f674391f0</errorID>
      <errorWord>，</errorWord>
      <group>L1_Word</group>
      <groupName>字词问题</groupName>
      <ability>L2_Typo</ability>
      <abilityName>字词错误</abilityName>
      <candidateList>
        <item>，以</item>
      </candidateList>
      <explain/>
      <paraID>7259E8D2</paraID>
      <start>106</start>
      <end>107</end>
      <status>unmodified</status>
      <modifiedWord/>
      <trackRevisions>false</trackRevisions>
    </reviewItem>
    <reviewItem>
      <errorID>59f55a27-506c-40df-ae8f-a3e014ee995e</errorID>
      <errorWord>烟尘</errorWord>
      <group>L1_Word</group>
      <groupName>字词问题</groupName>
      <ability>L2_Typo</ability>
      <abilityName>字词错误</abilityName>
      <candidateList>
        <item>扬尘</item>
      </candidateList>
      <explain/>
      <paraID> A68C9DD</paraID>
      <start>39</start>
      <end>41</end>
      <status>unmodified</status>
      <modifiedWord/>
      <trackRevisions>false</trackRevisions>
    </reviewItem>
    <reviewItem>
      <errorID>ab82220a-4b24-4209-ae19-675b6aa1f117</errorID>
      <errorWord>上线</errorWord>
      <group>L1_Word</group>
      <groupName>字词问题</groupName>
      <ability>L2_Typo</ability>
      <abilityName>字词错误</abilityName>
      <candidateList>
        <item>上限</item>
      </candidateList>
      <explain/>
      <paraID>52A5C1D1</paraID>
      <start>19</start>
      <end>21</end>
      <status>unmodified</status>
      <modifiedWord/>
      <trackRevisions>false</trackRevisions>
    </reviewItem>
    <reviewItem>
      <errorID>0fe7d3d1-8ca7-4933-a376-7abeb785f46e</errorID>
      <errorWord>利</errorWord>
      <group>L1_Word</group>
      <groupName>字词问题</groupName>
      <ability>L2_Typo</ability>
      <abilityName>字词错误</abilityName>
      <candidateList>
        <item>利用</item>
      </candidateList>
      <explain/>
      <paraID> 9D1D40A</paraID>
      <start>39</start>
      <end>40</end>
      <status>unmodified</status>
      <modifiedWord/>
      <trackRevisions>false</trackRevisions>
    </reviewItem>
    <reviewItem>
      <errorID>c745ebb5-7ac1-4ddd-866d-491a547a475a</errorID>
      <errorWord>城乡结合部</errorWord>
      <group>L1_Knowledge</group>
      <groupName>知识性问题</groupName>
      <ability>L2_Knowledge</ability>
      <abilityName>其他知识</abilityName>
      <candidateList>
        <item>城乡接合部</item>
      </candidateList>
      <explain/>
      <paraID>7FF58517</paraID>
      <start>10</start>
      <end>15</end>
      <status>unmodified</status>
      <modifiedWord/>
      <trackRevisions>false</trackRevisions>
    </reviewItem>
    <reviewItem>
      <errorID>da1093ba-b1e7-4a1f-887a-1ea1ed3f2e57</errorID>
      <errorWord>上线</errorWord>
      <group>L1_Word</group>
      <groupName>字词问题</groupName>
      <ability>L2_Typo</ability>
      <abilityName>字词错误</abilityName>
      <candidateList>
        <item>上限</item>
      </candidateList>
      <explain/>
      <paraID>2B6AE3F0</paraID>
      <start>23</start>
      <end>25</end>
      <status>unmodified</status>
      <modifiedWord/>
      <trackRevisions>false</trackRevisions>
    </reviewItem>
    <reviewItem>
      <errorID>2d789f5d-4410-40b3-92d4-46b037a40c72</errorID>
      <errorWord>《</errorWord>
      <group>L1_Punc</group>
      <groupName>标点问题</groupName>
      <ability>L2_Punc</ability>
      <abilityName>标点符号检查</abilityName>
      <candidateList/>
      <explain/>
      <paraID>4BA8A94F</paraID>
      <start>75</start>
      <end>76</end>
      <status>unmodified</status>
      <modifiedWord/>
      <trackRevisions>false</trackRevisions>
    </reviewItem>
    <reviewItem>
      <errorID>bff2304f-fde8-460e-bd59-dc31bc13c09f</errorID>
      <errorWord>《</errorWord>
      <group>L1_Punc</group>
      <groupName>标点问题</groupName>
      <ability>L2_Punc</ability>
      <abilityName>标点符号检查</abilityName>
      <candidateList/>
      <explain/>
      <paraID>4BA8A94F</paraID>
      <start>119</start>
      <end>120</end>
      <status>unmodified</status>
      <modifiedWord/>
      <trackRevisions>false</trackRevisions>
    </reviewItem>
    <reviewItem>
      <errorID>39e974a2-c178-408a-823a-e379cca2f7f4</errorID>
      <errorWord>《</errorWord>
      <group>L1_Punc</group>
      <groupName>标点问题</groupName>
      <ability>L2_Punc</ability>
      <abilityName>标点符号检查</abilityName>
      <candidateList/>
      <explain/>
      <paraID>4BA8A94F</paraID>
      <start>216</start>
      <end>217</end>
      <status>unmodified</status>
      <modifiedWord/>
      <trackRevisions>false</trackRevisions>
    </reviewItem>
    <reviewItem>
      <errorID>283fb5f8-a3a0-4b3f-9fd7-c92dd8a36c80</errorID>
      <errorWord>《</errorWord>
      <group>L1_Punc</group>
      <groupName>标点问题</groupName>
      <ability>L2_Punc</ability>
      <abilityName>标点符号检查</abilityName>
      <candidateList/>
      <explain/>
      <paraID>4BA8A94F</paraID>
      <start>253</start>
      <end>254</end>
      <status>unmodified</status>
      <modifiedWord/>
      <trackRevisions>false</trackRevisions>
    </reviewItem>
    <reviewItem>
      <errorID>bdc5c80d-8fe9-46b4-b65a-61df56ad1fd6</errorID>
      <errorWord>〈</errorWord>
      <group>L1_Punc</group>
      <groupName>标点问题</groupName>
      <ability>L2_Punc</ability>
      <abilityName>标点符号检查</abilityName>
      <candidateList/>
      <explain/>
      <paraID>4BA8A94F</paraID>
      <start>858</start>
      <end>859</end>
      <status>unmodified</status>
      <modifiedWord/>
      <trackRevisions>false</trackRevisions>
    </reviewItem>
    <reviewItem>
      <errorID>5e559942-03da-40b7-b59b-ce2d18b09343</errorID>
      <errorWord>城乡结合部</errorWord>
      <group>L1_Knowledge</group>
      <groupName>知识性问题</groupName>
      <ability>L2_Knowledge</ability>
      <abilityName>其他知识</abilityName>
      <candidateList>
        <item>城乡接合部</item>
      </candidateList>
      <explain/>
      <paraID>46747466</paraID>
      <start>55</start>
      <end>60</end>
      <status>unmodified</status>
      <modifiedWord/>
      <trackRevisions>false</trackRevisions>
    </reviewItem>
    <reviewItem>
      <errorID>cea3e356-8f49-4bba-969d-e1874fc75a9d</errorID>
      <errorWord>，</errorWord>
      <group>L1_Word</group>
      <groupName>字词问题</groupName>
      <ability>L2_Typo</ability>
      <abilityName>字词错误</abilityName>
      <candidateList>
        <item>，对</item>
      </candidateList>
      <explain/>
      <paraID> 9773A95</paraID>
      <start>113</start>
      <end>114</end>
      <status>unmodified</status>
      <modifiedWord/>
      <trackRevisions>false</trackRevisions>
    </reviewItem>
    <reviewItem>
      <errorID>16833a14-172a-4a23-babd-aff1d8fe5543</errorID>
      <errorWord>[2019]910号</errorWord>
      <group>L1_Knowledge</group>
      <groupName>知识性问题</groupName>
      <ability>L2_Knowledge</ability>
      <abilityName>其他知识</abilityName>
      <candidateList>
        <item>〔2019〕910号</item>
      </candidateList>
      <explain>发文字号格式错误。</explain>
      <paraID>1576A450</paraID>
      <start>37</start>
      <end>47</end>
      <status>unmodified</status>
      <modifiedWord/>
      <trackRevisions>false</trackRevisions>
    </reviewItem>
    <reviewItem>
      <errorID>586e871d-2269-4436-80f1-cfafdabc41ba</errorID>
      <errorWord>[2019]910号</errorWord>
      <group>L1_Knowledge</group>
      <groupName>知识性问题</groupName>
      <ability>L2_Knowledge</ability>
      <abilityName>其他知识</abilityName>
      <candidateList>
        <item>〔2019〕910号</item>
      </candidateList>
      <explain>发文字号格式错误。</explain>
      <paraID>1E25536F</paraID>
      <start>16</start>
      <end>26</end>
      <status>unmodified</status>
      <modifiedWord/>
      <trackRevisions>false</trackRevisions>
    </reviewItem>
    <reviewItem>
      <errorID>2b53c874-6ac6-4d44-a48b-e0f6d4f6f8a2</errorID>
      <errorWord>[2024]16号</errorWord>
      <group>L1_Knowledge</group>
      <groupName>知识性问题</groupName>
      <ability>L2_Knowledge</ability>
      <abilityName>其他知识</abilityName>
      <candidateList>
        <item>〔2024〕16号</item>
      </candidateList>
      <explain>发文字号格式错误。</explain>
      <paraID>66180AF6</paraID>
      <start>123</start>
      <end>132</end>
      <status>unmodified</status>
      <modifiedWord/>
      <trackRevisions>false</trackRevisions>
    </reviewItem>
    <reviewItem>
      <errorID>67d146b1-9996-4a4f-af43-21c64c1a3bca</errorID>
      <errorWord>[2023]5号</errorWord>
      <group>L1_Knowledge</group>
      <groupName>知识性问题</groupName>
      <ability>L2_Knowledge</ability>
      <abilityName>其他知识</abilityName>
      <candidateList>
        <item>〔2023〕5号</item>
      </candidateList>
      <explain>发文字号格式错误。</explain>
      <paraID>66180AF6</paraID>
      <start>153</start>
      <end>161</end>
      <status>unmodified</status>
      <modifiedWord/>
      <trackRevisions>false</trackRevisions>
    </reviewItem>
    <reviewItem>
      <errorID>5c91ae1d-dd48-4f4b-94f1-8ba016c79dd5</errorID>
      <errorWord>;</errorWord>
      <group>L1_Format</group>
      <groupName>格式问题</groupName>
      <ability>L2_HalfPunc</ability>
      <abilityName>全半角检查</abilityName>
      <candidateList>
        <item>；</item>
      </candidateList>
      <explain>文本全半角错误。</explain>
      <paraID>5D479ECE</paraID>
      <start>111</start>
      <end>112</end>
      <status>unmodified</status>
      <modifiedWord/>
      <trackRevisions>false</trackRevisions>
    </reviewItem>
    <reviewItem>
      <errorID>48812456-1ec4-4c18-be51-67b45278d002</errorID>
      <errorWord>大气污染处理</errorWord>
      <group>L1_Knowledge</group>
      <groupName>知识性问题</groupName>
      <ability>L2_Term</ability>
      <abilityName>专业术语</abilityName>
      <candidateList>
        <item>大气污染治理</item>
      </candidateList>
      <explain/>
      <paraID>5D479ECE</paraID>
      <start>218</start>
      <end>224</end>
      <status>unmodified</status>
      <modifiedWord/>
      <trackRevisions>false</trackRevisions>
    </reviewItem>
    <reviewItem>
      <errorID>54e49bcf-f19e-4bea-9888-9b2f27d94877</errorID>
      <errorWord>大气污染处理</errorWord>
      <group>L1_Knowledge</group>
      <groupName>知识性问题</groupName>
      <ability>L2_Term</ability>
      <abilityName>专业术语</abilityName>
      <candidateList>
        <item>大气污染治理</item>
      </candidateList>
      <explain/>
      <paraID>1803409E</paraID>
      <start>209</start>
      <end>215</end>
      <status>unmodified</status>
      <modifiedWord/>
      <trackRevisions>false</trackRevisions>
    </reviewItem>
    <reviewItem>
      <errorID>cc569d16-a146-4b6e-83fb-8860a3a52b15</errorID>
      <errorWord>洒落</errorWord>
      <group>L1_Word</group>
      <groupName>字词问题</groupName>
      <ability>L2_Typo</ability>
      <abilityName>字词错误</abilityName>
      <candidateList>
        <item>撒落</item>
      </candidateList>
      <explain/>
      <paraID>444BF5F2</paraID>
      <start>56</start>
      <end>58</end>
      <status>unmodified</status>
      <modifiedWord/>
      <trackRevisions>false</trackRevisions>
    </reviewItem>
    <reviewItem>
      <errorID>c719b902-da3e-48eb-8bc6-fcc95993a508</errorID>
      <errorWord>[2024]80号</errorWord>
      <group>L1_Knowledge</group>
      <groupName>知识性问题</groupName>
      <ability>L2_Knowledge</ability>
      <abilityName>其他知识</abilityName>
      <candidateList>
        <item>〔2024〕80号</item>
      </candidateList>
      <explain>发文字号格式错误。</explain>
      <paraID>638F4683</paraID>
      <start>20</start>
      <end>29</end>
      <status>unmodified</status>
      <modifiedWord/>
      <trackRevisions>false</trackRevisions>
    </reviewItem>
    <reviewItem>
      <errorID>cd44d58d-d84d-4a8e-be05-000f297e8e4a</errorID>
      <errorWord>[2016]46号</errorWord>
      <group>L1_Knowledge</group>
      <groupName>知识性问题</groupName>
      <ability>L2_Knowledge</ability>
      <abilityName>其他知识</abilityName>
      <candidateList>
        <item>〔2016〕46号</item>
      </candidateList>
      <explain>发文字号格式错误。</explain>
      <paraID>638F4683</paraID>
      <start>51</start>
      <end>60</end>
      <status>unmodified</status>
      <modifiedWord/>
      <trackRevisions>false</trackRevisions>
    </reviewItem>
    <reviewItem>
      <errorID>af82c4c8-4ffc-410f-b957-8141b5dbe34a</errorID>
      <errorWord>[2017]2号</errorWord>
      <group>L1_Knowledge</group>
      <groupName>知识性问题</groupName>
      <ability>L2_Knowledge</ability>
      <abilityName>其他知识</abilityName>
      <candidateList>
        <item>〔2017〕2号</item>
      </candidateList>
      <explain>发文字号格式错误。</explain>
      <paraID>638F4683</paraID>
      <start>81</start>
      <end>89</end>
      <status>unmodified</status>
      <modifiedWord/>
      <trackRevisions>false</trackRevisions>
    </reviewItem>
    <reviewItem>
      <errorID>4886c4c0-c678-4a91-8efb-25c8e9d06610</errorID>
      <errorWord>尽可能减少对</errorWord>
      <group>L1_Word</group>
      <groupName>字词问题</groupName>
      <ability>L2_Typo</ability>
      <abilityName>字词错误</abilityName>
      <candidateList>
        <item>尽可能减少</item>
      </candidateList>
      <explain/>
      <paraID> 1064E9E</paraID>
      <start>67</start>
      <end>73</end>
      <status>unmodified</status>
      <modifiedWord/>
      <trackRevisions>false</trackRevisions>
    </reviewItem>
    <reviewItem>
      <errorID>44924a86-99ff-46fa-b245-b534588f20c3</errorID>
      <errorWord>目</errorWord>
      <group>L1_Word</group>
      <groupName>字词问题</groupName>
      <ability>L2_Typo</ability>
      <abilityName>字词错误</abilityName>
      <candidateList>
        <item>目在</item>
      </candidateList>
      <explain/>
      <paraID>4F3E0CBD</paraID>
      <start>2</start>
      <end>3</end>
      <status>unmodified</status>
      <modifiedWord/>
      <trackRevisions>false</trackRevisions>
    </reviewItem>
    <reviewItem>
      <errorID>1e090941-f951-44be-a652-3971e1afdead</errorID>
      <errorWord>尽可能减少对</errorWord>
      <group>L1_Word</group>
      <groupName>字词问题</groupName>
      <ability>L2_Typo</ability>
      <abilityName>字词错误</abilityName>
      <candidateList>
        <item>尽可能减少</item>
      </candidateList>
      <explain/>
      <paraID>698F3F01</paraID>
      <start>67</start>
      <end>73</end>
      <status>unmodified</status>
      <modifiedWord/>
      <trackRevisions>false</trackRevisions>
    </reviewItem>
    <reviewItem>
      <errorID>dd5f3568-bae2-48eb-a16e-75b1afc105d6</errorID>
      <errorWord>目</errorWord>
      <group>L1_Word</group>
      <groupName>字词问题</groupName>
      <ability>L2_Typo</ability>
      <abilityName>字词错误</abilityName>
      <candidateList>
        <item>目在</item>
      </candidateList>
      <explain/>
      <paraID>798AE440</paraID>
      <start>2</start>
      <end>3</end>
      <status>unmodified</status>
      <modifiedWord/>
      <trackRevisions>false</trackRevisions>
    </reviewItem>
    <reviewItem>
      <errorID>6637cab5-da31-419b-94ca-f81d89e71167</errorID>
      <errorWord>目</errorWord>
      <group>L1_Word</group>
      <groupName>字词问题</groupName>
      <ability>L2_Typo</ability>
      <abilityName>字词错误</abilityName>
      <candidateList>
        <item>目在</item>
      </candidateList>
      <explain/>
      <paraID>25B8F55E</paraID>
      <start>2</start>
      <end>3</end>
      <status>unmodified</status>
      <modifiedWord/>
      <trackRevisions>false</trackRevisions>
    </reviewItem>
    <reviewItem>
      <errorID>1468f1b3-4335-4426-8149-08fb4f9a08ef</errorID>
      <errorWord>城乡结合部</errorWord>
      <group>L1_Knowledge</group>
      <groupName>知识性问题</groupName>
      <ability>L2_Knowledge</ability>
      <abilityName>其他知识</abilityName>
      <candidateList>
        <item>城乡接合部</item>
      </candidateList>
      <explain/>
      <paraID>7833445E</paraID>
      <start>67</start>
      <end>72</end>
      <status>unmodified</status>
      <modifiedWord/>
      <trackRevisions>false</trackRevisions>
    </reviewItem>
    <reviewItem>
      <errorID>dcc872d4-da22-49e5-99f3-4c8a873cdc76</errorID>
      <errorWord>，</errorWord>
      <group>L1_Word</group>
      <groupName>字词问题</groupName>
      <ability>L2_Typo</ability>
      <abilityName>字词错误</abilityName>
      <candidateList>
        <item>，对</item>
      </candidateList>
      <explain/>
      <paraID>7833445E</paraID>
      <start>83</start>
      <end>84</end>
      <status>unmodified</status>
      <modifiedWord/>
      <trackRevisions>false</trackRevisions>
    </reviewItem>
    <reviewItem>
      <errorID>a403e78f-5d43-49b1-b5e6-33e648727f2b</errorID>
      <errorWord>洒落</errorWord>
      <group>L1_Word</group>
      <groupName>字词问题</groupName>
      <ability>L2_Typo</ability>
      <abilityName>字词错误</abilityName>
      <candidateList>
        <item>撒落</item>
      </candidateList>
      <explain/>
      <paraID>58A45C3A</paraID>
      <start>56</start>
      <end>58</end>
      <status>unmodified</status>
      <modifiedWord/>
      <trackRevisions>false</trackRevisions>
    </reviewItem>
    <reviewItem>
      <errorID>ad7db76d-97cd-4863-a5ab-3e7e19bae852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69BFCCD7</paraID>
      <start>98</start>
      <end>99</end>
      <status>unmodified</status>
      <modifiedWord/>
      <trackRevisions>false</trackRevisions>
    </reviewItem>
    <reviewItem>
      <errorID>ce47bb0c-a80f-4c4f-aae2-a4ec0539f280</errorID>
      <errorWord>，</errorWord>
      <group>L1_Word</group>
      <groupName>字词问题</groupName>
      <ability>L2_Typo</ability>
      <abilityName>字词错误</abilityName>
      <candidateList>
        <item>，对</item>
      </candidateList>
      <explain/>
      <paraID>3C2C67D2</paraID>
      <start>44</start>
      <end>45</end>
      <status>unmodified</status>
      <modifiedWord/>
      <trackRevisions>false</trackRevisions>
    </reviewItem>
    <reviewItem>
      <errorID>5566f8ee-4624-48ad-8ff7-6794a3f4587b</errorID>
      <errorWord>城乡结合部</errorWord>
      <group>L1_Knowledge</group>
      <groupName>知识性问题</groupName>
      <ability>L2_Knowledge</ability>
      <abilityName>其他知识</abilityName>
      <candidateList>
        <item>城乡接合部</item>
      </candidateList>
      <explain/>
      <paraID>35727B8A</paraID>
      <start>67</start>
      <end>72</end>
      <status>unmodified</status>
      <modifiedWord/>
      <trackRevisions>false</trackRevisions>
    </reviewItem>
    <reviewItem>
      <errorID>f5a48fab-cfb1-47f4-90b5-62ed4e165abf</errorID>
      <errorWord>，</errorWord>
      <group>L1_Word</group>
      <groupName>字词问题</groupName>
      <ability>L2_Typo</ability>
      <abilityName>字词错误</abilityName>
      <candidateList>
        <item>，对</item>
      </candidateList>
      <explain/>
      <paraID>35727B8A</paraID>
      <start>83</start>
      <end>84</end>
      <status>unmodified</status>
      <modifiedWord/>
      <trackRevisions>false</trackRevisions>
    </reviewItem>
    <reviewItem>
      <errorID>7ed1a484-be84-466d-af84-93d23bd7280e</errorID>
      <errorWord>洒落</errorWord>
      <group>L1_Word</group>
      <groupName>字词问题</groupName>
      <ability>L2_Typo</ability>
      <abilityName>字词错误</abilityName>
      <candidateList>
        <item>撒落</item>
      </candidateList>
      <explain/>
      <paraID>745B4128</paraID>
      <start>56</start>
      <end>58</end>
      <status>unmodified</status>
      <modifiedWord/>
      <trackRevisions>false</trackRevisions>
    </reviewItem>
    <reviewItem>
      <errorID>1b5a1420-d25e-44d6-b62b-135f8186e843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66541981</paraID>
      <start>98</start>
      <end>99</end>
      <status>unmodified</status>
      <modifiedWord/>
      <trackRevisions>false</trackRevisions>
    </reviewItem>
    <reviewItem>
      <errorID>2001b4a0-70b6-4e0b-bf2b-bc39cb0e0eae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5FB58C90</paraID>
      <start>153</start>
      <end>154</end>
      <status>unmodified</status>
      <modifiedWord/>
      <trackRevisions>false</trackRevisions>
    </reviewItem>
    <reviewItem>
      <errorID>06623504-8926-4f39-9d36-036a763fbd33</errorID>
      <errorWord>地下水管理条例</errorWord>
      <group>L1_Knowledge</group>
      <groupName>知识性问题</groupName>
      <ability>L2_Knowledge</ability>
      <abilityName>其他知识</abilityName>
      <candidateList>
        <item>《地下水管理条例》</item>
      </candidateList>
      <explain>完整法律法规名称需要加书名号，请注意检查。</explain>
      <paraID>246514F7</paraID>
      <start>10</start>
      <end>17</end>
      <status>unmodified</status>
      <modifiedWord/>
      <trackRevisions>false</trackRevisions>
    </reviewItem>
    <reviewItem>
      <errorID>d63a947b-cf9f-4ce1-95c2-53527a258f4f</errorID>
      <errorWord>期</errorWord>
      <group>L1_Word</group>
      <groupName>字词问题</groupName>
      <ability>L2_Typo</ability>
      <abilityName>字词错误</abilityName>
      <candidateList>
        <item>期间</item>
      </candidateList>
      <explain>〈名〉某个时期里面：农忙～｜春节～｜抗战～。</explain>
      <paraID> 4A2D9B8</paraID>
      <start>4</start>
      <end>5</end>
      <status>unmodified</status>
      <modifiedWord/>
      <trackRevisions>false</trackRevisions>
    </reviewItem>
    <reviewItem>
      <errorID>f8c98208-7b83-4f09-8cfc-a8e3545a77ab</errorID>
      <errorWord>法律、法规</errorWord>
      <group>L1_Word</group>
      <groupName>字词问题</groupName>
      <ability>L2_Typo</ability>
      <abilityName>字词错误</abilityName>
      <candidateList>
        <item>法律法规</item>
      </candidateList>
      <explain/>
      <paraID>130FD75E</paraID>
      <start>3</start>
      <end>8</end>
      <status>unmodified</status>
      <modifiedWord/>
      <trackRevisions>false</trackRevisions>
    </reviewItem>
    <reviewItem>
      <errorID>911410ce-7795-42cc-b8c7-e23c7bd0ffde</errorID>
      <errorWord>尽量避绕</errorWord>
      <group>L1_Word</group>
      <groupName>字词问题</groupName>
      <ability>L2_Typo</ability>
      <abilityName>字词错误</abilityName>
      <candidateList>
        <item>尽量避免</item>
      </candidateList>
      <explain/>
      <paraID>280EBF65</paraID>
      <start>28</start>
      <end>32</end>
      <status>unmodified</status>
      <modifiedWord/>
      <trackRevisions>false</trackRevisions>
    </reviewItem>
    <reviewItem>
      <errorID>d3d92447-ce7b-4d94-a7f7-54223d445db3</errorID>
      <errorWord>，</errorWord>
      <group>L1_Word</group>
      <groupName>字词问题</groupName>
      <ability>L2_Typo</ability>
      <abilityName>字词错误</abilityName>
      <candidateList>
        <item>，在</item>
      </candidateList>
      <explain/>
      <paraID>3F2C68BB</paraID>
      <start>208</start>
      <end>209</end>
      <status>unmodified</status>
      <modifiedWord/>
      <trackRevisions>false</trackRevisions>
    </reviewItem>
    <reviewItem>
      <errorID>9ad88553-a05e-422a-ac3f-dcc6c8d15a3e</errorID>
      <errorWord>项目的</errorWord>
      <group>L1_Word</group>
      <groupName>字词问题</groupName>
      <ability>L2_Typo</ability>
      <abilityName>字词错误</abilityName>
      <candidateList>
        <item>项目</item>
      </candidateList>
      <explain>〈名〉事物分成的门类：服务～｜体育～｜建设～。</explain>
      <paraID>579B677F</paraID>
      <start>207</start>
      <end>210</end>
      <status>unmodified</status>
      <modifiedWord/>
      <trackRevisions>false</trackRevisions>
    </reviewItem>
    <reviewItem>
      <errorID>02f480a7-f34f-4ba5-8880-44146ca36753</errorID>
      <errorWord>水平在</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13687999</paraID>
      <start>128</start>
      <end>131</end>
      <status>unmodified</status>
      <modifiedWord/>
      <trackRevisions>false</trackRevisions>
    </reviewItem>
    <reviewItem>
      <errorID>fdab8e09-25cc-4b2b-b2a1-ea7f9f62fbfa</errorID>
      <errorWord>中华人民共和国水土保持法实施条例</errorWord>
      <group>L1_Knowledge</group>
      <groupName>知识性问题</groupName>
      <ability>L2_Knowledge</ability>
      <abilityName>其他知识</abilityName>
      <candidateList/>
      <explain>该法规于2011年1月8日由国务院制定，当前已废止，请注意检查引用是否正确。</explain>
      <paraID>392F521E</paraID>
      <start>4</start>
      <end>20</end>
      <status>unmodified</status>
      <modifiedWord/>
      <trackRevisions>false</trackRevisions>
    </reviewItem>
    <reviewItem>
      <errorID>18a81527-5edd-415a-9c68-be6a3ad30986</errorID>
      <errorWord>黑龙江省环境保护条例</errorWord>
      <group>L1_Knowledge</group>
      <groupName>知识性问题</groupName>
      <ability>L2_Knowledge</ability>
      <abilityName>其他知识</abilityName>
      <candidateList/>
      <explain>该法规已废止，请注意检查引用是否正确。</explain>
      <paraID> 296F29F</paraID>
      <start>4</start>
      <end>14</end>
      <status>unmodified</status>
      <modifiedWord/>
      <trackRevisions>false</trackRevisions>
    </reviewItem>
    <reviewItem>
      <errorID>b104820b-a7e6-444b-80a8-97bd065e7638</errorID>
      <errorWord>黑龙江省土地管理条例</errorWord>
      <group>L1_Knowledge</group>
      <groupName>知识性问题</groupName>
      <ability>L2_Knowledge</ability>
      <abilityName>其他知识</abilityName>
      <candidateList/>
      <explain>该法规已废止，请注意检查引用是否正确。</explain>
      <paraID>6ADF8D19</paraID>
      <start>4</start>
      <end>14</end>
      <status>unmodified</status>
      <modifiedWord/>
      <trackRevisions>false</trackRevisions>
    </reviewItem>
    <reviewItem>
      <errorID>152e2289-e2c7-4c95-8c01-48fc06616c64</errorID>
      <errorWord>中华人民共和国发展和改革委员会</errorWord>
      <group>L1_Knowledge</group>
      <groupName>知识性问题</groupName>
      <ability>L2_Organization</ability>
      <abilityName>机构检查</abilityName>
      <candidateList>
        <item>中华人民共和国国家发展和改革委员会</item>
      </candidateList>
      <explain>机关单位全简称表述错误</explain>
      <paraID> 6E9A949</paraID>
      <start>21</start>
      <end>36</end>
      <status>unmodified</status>
      <modifiedWord/>
      <trackRevisions>false</trackRevisions>
    </reviewItem>
    <reviewItem>
      <errorID>55212e2b-8d84-47e0-bfd1-2ab68f5e0df9</errorID>
      <errorWord>[2012]77号</errorWord>
      <group>L1_Knowledge</group>
      <groupName>知识性问题</groupName>
      <ability>L2_Knowledge</ability>
      <abilityName>其他知识</abilityName>
      <candidateList>
        <item>〔2012〕77号</item>
      </candidateList>
      <explain>发文字号格式错误。</explain>
      <paraID>3FE9AE1A</paraID>
      <start>29</start>
      <end>38</end>
      <status>unmodified</status>
      <modifiedWord/>
      <trackRevisions>false</trackRevisions>
    </reviewItem>
    <reviewItem>
      <errorID>3e839bf0-a755-4e43-902b-7d7c4827ad4f</errorID>
      <errorWord>[2012]98号</errorWord>
      <group>L1_Knowledge</group>
      <groupName>知识性问题</groupName>
      <ability>L2_Knowledge</ability>
      <abilityName>其他知识</abilityName>
      <candidateList>
        <item>〔2012〕98号</item>
      </candidateList>
      <explain>发文字号格式错误。</explain>
      <paraID>6E8A0C41</paraID>
      <start>28</start>
      <end>37</end>
      <status>unmodified</status>
      <modifiedWord/>
      <trackRevisions>false</trackRevisions>
    </reviewItem>
    <reviewItem>
      <errorID>f9dcc9e7-e527-4805-9e50-a1c39b956c62</errorID>
      <errorWord>[2019]910号</errorWord>
      <group>L1_Knowledge</group>
      <groupName>知识性问题</groupName>
      <ability>L2_Knowledge</ability>
      <abilityName>其他知识</abilityName>
      <candidateList>
        <item>〔2019〕910号</item>
      </candidateList>
      <explain>发文字号格式错误。</explain>
      <paraID>5DD4D499</paraID>
      <start>33</start>
      <end>43</end>
      <status>unmodified</status>
      <modifiedWord/>
      <trackRevisions>false</trackRevisions>
    </reviewItem>
    <reviewItem>
      <errorID>1fbc502b-ecb6-4879-be32-a9e7a427140b</errorID>
      <errorWord>[2001]199号</errorWord>
      <group>L1_Knowledge</group>
      <groupName>知识性问题</groupName>
      <ability>L2_Knowledge</ability>
      <abilityName>其他知识</abilityName>
      <candidateList>
        <item>〔2001〕199号</item>
      </candidateList>
      <explain>发文字号格式错误。</explain>
      <paraID>11937A75</paraID>
      <start>17</start>
      <end>27</end>
      <status>unmodified</status>
      <modifiedWord/>
      <trackRevisions>false</trackRevisions>
    </reviewItem>
    <reviewItem>
      <errorID>46c4c0d7-c128-4fc6-8d15-3fca2ec45cc0</errorID>
      <errorWord>[2010]46号</errorWord>
      <group>L1_Knowledge</group>
      <groupName>知识性问题</groupName>
      <ability>L2_Knowledge</ability>
      <abilityName>其他知识</abilityName>
      <candidateList>
        <item>〔2010〕46号</item>
      </candidateList>
      <explain>发文字号格式错误。</explain>
      <paraID>22A32765</paraID>
      <start>14</start>
      <end>23</end>
      <status>unmodified</status>
      <modifiedWord/>
      <trackRevisions>false</trackRevisions>
    </reviewItem>
    <reviewItem>
      <errorID>54d80647-a821-4bfd-ac48-10e2f9b46f9a</errorID>
      <errorWord>《</errorWord>
      <group>L1_Punc</group>
      <groupName>标点问题</groupName>
      <ability>L2_Punc</ability>
      <abilityName>标点符号检查</abilityName>
      <candidateList/>
      <explain>同一形式括号套用。</explain>
      <paraID>4FA1F132</paraID>
      <start>5</start>
      <end>6</end>
      <status>unmodified</status>
      <modifiedWord/>
      <trackRevisions>false</trackRevisions>
    </reviewItem>
    <reviewItem>
      <errorID>3020da6d-4e9f-4ca3-b5c2-342cd5ca13e9</errorID>
      <errorWord>》</errorWord>
      <group>L1_Punc</group>
      <groupName>标点问题</groupName>
      <ability>L2_Punc</ability>
      <abilityName>标点符号检查</abilityName>
      <candidateList/>
      <explain>同一形式括号套用。</explain>
      <paraID>4FA1F132</paraID>
      <start>19</start>
      <end>20</end>
      <status>unmodified</status>
      <modifiedWord/>
      <trackRevisions>false</trackRevisions>
    </reviewItem>
    <reviewItem>
      <errorID>b031efde-f48a-4534-8bcc-7f28b1e4518c</errorID>
      <errorWord>[2016]150号</errorWord>
      <group>L1_Knowledge</group>
      <groupName>知识性问题</groupName>
      <ability>L2_Knowledge</ability>
      <abilityName>其他知识</abilityName>
      <candidateList>
        <item>〔2016〕150号</item>
      </candidateList>
      <explain>发文字号格式错误。</explain>
      <paraID>47782BB8</paraID>
      <start>31</start>
      <end>41</end>
      <status>unmodified</status>
      <modifiedWord/>
      <trackRevisions>false</trackRevisions>
    </reviewItem>
    <reviewItem>
      <errorID>c92c3a76-95bf-4d94-a38f-3ec4f5bcb9b9</errorID>
      <errorWord>[2015]4号</errorWord>
      <group>L1_Knowledge</group>
      <groupName>知识性问题</groupName>
      <ability>L2_Knowledge</ability>
      <abilityName>其他知识</abilityName>
      <candidateList>
        <item>〔2015〕4号</item>
      </candidateList>
      <explain>发文字号格式错误。</explain>
      <paraID>6E994010</paraID>
      <start>40</start>
      <end>48</end>
      <status>unmodified</status>
      <modifiedWord/>
      <trackRevisions>false</trackRevisions>
    </reviewItem>
    <reviewItem>
      <errorID>0803fa61-7ae6-479a-b750-49e07746efa2</errorID>
      <errorWord>[2010]132号</errorWord>
      <group>L1_Knowledge</group>
      <groupName>知识性问题</groupName>
      <ability>L2_Knowledge</ability>
      <abilityName>其他知识</abilityName>
      <candidateList>
        <item>〔2010〕132号</item>
      </candidateList>
      <explain>发文字号格式错误。</explain>
      <paraID> 8B7893E</paraID>
      <start>28</start>
      <end>38</end>
      <status>unmodified</status>
      <modifiedWord/>
      <trackRevisions>false</trackRevisions>
    </reviewItem>
    <reviewItem>
      <errorID>52123989-8acc-4327-a5bf-0158d2e4fa47</errorID>
      <errorWord>[2011]35号</errorWord>
      <group>L1_Knowledge</group>
      <groupName>知识性问题</groupName>
      <ability>L2_Knowledge</ability>
      <abilityName>其他知识</abilityName>
      <candidateList>
        <item>〔2011〕35号</item>
      </candidateList>
      <explain>发文字号格式错误。</explain>
      <paraID> 89A8408</paraID>
      <start>20</start>
      <end>29</end>
      <status>unmodified</status>
      <modifiedWord/>
      <trackRevisions>false</trackRevisions>
    </reviewItem>
    <reviewItem>
      <errorID>4f540138-d65a-4393-abcf-b98d143b83d9</errorID>
      <errorWord>[2023]24号</errorWord>
      <group>L1_Knowledge</group>
      <groupName>知识性问题</groupName>
      <ability>L2_Knowledge</ability>
      <abilityName>其他知识</abilityName>
      <candidateList>
        <item>〔2023〕24号</item>
      </candidateList>
      <explain>发文字号格式错误。</explain>
      <paraID>7091B900</paraID>
      <start>17</start>
      <end>26</end>
      <status>unmodified</status>
      <modifiedWord/>
      <trackRevisions>false</trackRevisions>
    </reviewItem>
    <reviewItem>
      <errorID>1673cf75-5567-4b7d-be5c-0d80186ad507</errorID>
      <errorWord>[2012]29号</errorWord>
      <group>L1_Knowledge</group>
      <groupName>知识性问题</groupName>
      <ability>L2_Knowledge</ability>
      <abilityName>其他知识</abilityName>
      <candidateList>
        <item>〔2012〕29号</item>
      </candidateList>
      <explain>发文字号格式错误。</explain>
      <paraID>7774675F</paraID>
      <start>35</start>
      <end>44</end>
      <status>unmodified</status>
      <modifiedWord/>
      <trackRevisions>false</trackRevisions>
    </reviewItem>
    <reviewItem>
      <errorID>261856af-38fb-485b-bda2-23e7d211c83d</errorID>
      <errorWord>[2016]3号</errorWord>
      <group>L1_Knowledge</group>
      <groupName>知识性问题</groupName>
      <ability>L2_Knowledge</ability>
      <abilityName>其他知识</abilityName>
      <candidateList>
        <item>〔2016〕3号</item>
      </candidateList>
      <explain>发文字号格式错误。</explain>
      <paraID>17F9B3D4</paraID>
      <start>28</start>
      <end>36</end>
      <status>unmodified</status>
      <modifiedWord/>
      <trackRevisions>false</trackRevisions>
    </reviewItem>
    <reviewItem>
      <errorID>5ef8b56f-0bf8-4415-80ba-3484dc972678</errorID>
      <errorWord>[2016]46号</errorWord>
      <group>L1_Knowledge</group>
      <groupName>知识性问题</groupName>
      <ability>L2_Knowledge</ability>
      <abilityName>其他知识</abilityName>
      <candidateList>
        <item>〔2016〕46号</item>
      </candidateList>
      <explain>发文字号格式错误。</explain>
      <paraID>2A85201C</paraID>
      <start>38</start>
      <end>47</end>
      <status>unmodified</status>
      <modifiedWord/>
      <trackRevisions>false</trackRevisions>
    </reviewItem>
    <reviewItem>
      <errorID>3676fc7d-7ff6-4cb0-9485-d9f24a8bc340</errorID>
      <errorWord>[2020]3号</errorWord>
      <group>L1_Knowledge</group>
      <groupName>知识性问题</groupName>
      <ability>L2_Knowledge</ability>
      <abilityName>其他知识</abilityName>
      <candidateList>
        <item>〔2020〕3号</item>
      </candidateList>
      <explain>发文字号格式错误。</explain>
      <paraID>3D3D4BDA</paraID>
      <start>52</start>
      <end>60</end>
      <status>unmodified</status>
      <modifiedWord/>
      <trackRevisions>false</trackRevisions>
    </reviewItem>
    <reviewItem>
      <errorID>13f123d0-d38a-4612-957b-87d8291a187a</errorID>
      <errorWord>[2021]13号</errorWord>
      <group>L1_Knowledge</group>
      <groupName>知识性问题</groupName>
      <ability>L2_Knowledge</ability>
      <abilityName>其他知识</abilityName>
      <candidateList>
        <item>〔2021〕13号</item>
      </candidateList>
      <explain>发文字号格式错误。</explain>
      <paraID>39150DE6</paraID>
      <start>38</start>
      <end>47</end>
      <status>unmodified</status>
      <modifiedWord/>
      <trackRevisions>false</trackRevisions>
    </reviewItem>
    <reviewItem>
      <errorID>bf775378-3a77-4d5c-8adc-ba1cce36bf7e</errorID>
      <errorWord>[2018]17号</errorWord>
      <group>L1_Knowledge</group>
      <groupName>知识性问题</groupName>
      <ability>L2_Knowledge</ability>
      <abilityName>其他知识</abilityName>
      <candidateList>
        <item>〔2018〕17号</item>
      </candidateList>
      <explain>发文字号格式错误。</explain>
      <paraID>2D979337</paraID>
      <start>48</start>
      <end>57</end>
      <status>unmodified</status>
      <modifiedWord/>
      <trackRevisions>false</trackRevisions>
    </reviewItem>
    <reviewItem>
      <errorID>e2c068d2-d2ea-42d8-a530-ee82b0f545e2</errorID>
      <errorWord>[2017]2号</errorWord>
      <group>L1_Knowledge</group>
      <groupName>知识性问题</groupName>
      <ability>L2_Knowledge</ability>
      <abilityName>其他知识</abilityName>
      <candidateList>
        <item>〔2017〕2号</item>
      </candidateList>
      <explain>发文字号格式错误。</explain>
      <paraID>74FCEC98</paraID>
      <start>27</start>
      <end>35</end>
      <status>unmodified</status>
      <modifiedWord/>
      <trackRevisions>false</trackRevisions>
    </reviewItem>
    <reviewItem>
      <errorID>2ef9b28f-9e47-4e99-8301-5a0e6c5fc047</errorID>
      <errorWord>[2019]11号</errorWord>
      <group>L1_Knowledge</group>
      <groupName>知识性问题</groupName>
      <ability>L2_Knowledge</ability>
      <abilityName>其他知识</abilityName>
      <candidateList>
        <item>〔2019〕11号</item>
      </candidateList>
      <explain>发文字号格式错误。</explain>
      <paraID> 4324383</paraID>
      <start>63</start>
      <end>72</end>
      <status>unmodified</status>
      <modifiedWord/>
      <trackRevisions>false</trackRevisions>
    </reviewItem>
    <reviewItem>
      <errorID>2cc7c0ff-2c31-4d77-9afb-6ec324b503d3</errorID>
      <errorWord>[2015]55号</errorWord>
      <group>L1_Knowledge</group>
      <groupName>知识性问题</groupName>
      <ability>L2_Knowledge</ability>
      <abilityName>其他知识</abilityName>
      <candidateList>
        <item>〔2015〕55号</item>
      </candidateList>
      <explain>发文字号格式错误。</explain>
      <paraID>7614587B</paraID>
      <start>34</start>
      <end>43</end>
      <status>unmodified</status>
      <modifiedWord/>
      <trackRevisions>false</trackRevisions>
    </reviewItem>
    <reviewItem>
      <errorID>391a71b6-d416-4b6f-a0fc-63087423ef4b</errorID>
      <errorWord>[2021]18号</errorWord>
      <group>L1_Knowledge</group>
      <groupName>知识性问题</groupName>
      <ability>L2_Knowledge</ability>
      <abilityName>其他知识</abilityName>
      <candidateList>
        <item>〔2021〕18号</item>
      </candidateList>
      <explain>发文字号格式错误。</explain>
      <paraID>7AF70550</paraID>
      <start>47</start>
      <end>56</end>
      <status>unmodified</status>
      <modifiedWord/>
      <trackRevisions>false</trackRevisions>
    </reviewItem>
    <reviewItem>
      <errorID>a1f47672-644c-4c5b-837a-fa73c626d9e0</errorID>
      <errorWord>[2021]48号</errorWord>
      <group>L1_Knowledge</group>
      <groupName>知识性问题</groupName>
      <ability>L2_Knowledge</ability>
      <abilityName>其他知识</abilityName>
      <candidateList>
        <item>〔2021〕48号</item>
      </candidateList>
      <explain>发文字号格式错误。</explain>
      <paraID>19B1DA5B</paraID>
      <start>35</start>
      <end>44</end>
      <status>unmodified</status>
      <modifiedWord/>
      <trackRevisions>false</trackRevisions>
    </reviewItem>
    <reviewItem>
      <errorID>bc2e9dda-cbc3-4dd9-9d25-f6bc8a380c6b</errorID>
      <errorWord>[2021]40号</errorWord>
      <group>L1_Knowledge</group>
      <groupName>知识性问题</groupName>
      <ability>L2_Knowledge</ability>
      <abilityName>其他知识</abilityName>
      <candidateList>
        <item>〔2021〕40号</item>
      </candidateList>
      <explain>发文字号格式错误。</explain>
      <paraID> 9DD4DD6</paraID>
      <start>46</start>
      <end>55</end>
      <status>unmodified</status>
      <modifiedWord/>
      <trackRevisions>false</trackRevisions>
    </reviewItem>
    <reviewItem>
      <errorID>73673b28-b844-4700-b30e-99a2f286fd13</errorID>
      <errorWord>[2024]67号</errorWord>
      <group>L1_Knowledge</group>
      <groupName>知识性问题</groupName>
      <ability>L2_Knowledge</ability>
      <abilityName>其他知识</abilityName>
      <candidateList>
        <item>〔2024〕67号</item>
      </candidateList>
      <explain>发文字号格式错误。</explain>
      <paraID> 1D13C41</paraID>
      <start>29</start>
      <end>38</end>
      <status>unmodified</status>
      <modifiedWord/>
      <trackRevisions>false</trackRevisions>
    </reviewItem>
    <reviewItem>
      <errorID>f917e6b1-3fb5-44cf-989f-25c1cc901802</errorID>
      <errorWord>[2016]33号</errorWord>
      <group>L1_Knowledge</group>
      <groupName>知识性问题</groupName>
      <ability>L2_Knowledge</ability>
      <abilityName>其他知识</abilityName>
      <candidateList>
        <item>〔2016〕33号</item>
      </candidateList>
      <explain>发文字号格式错误。</explain>
      <paraID>7512FEA1</paraID>
      <start>38</start>
      <end>47</end>
      <status>unmodified</status>
      <modifiedWord/>
      <trackRevisions>false</trackRevisions>
    </reviewItem>
    <reviewItem>
      <errorID>62e4f91a-858a-4173-bfbf-4b58c46f3a41</errorID>
      <errorWord>[2020]492号</errorWord>
      <group>L1_Knowledge</group>
      <groupName>知识性问题</groupName>
      <ability>L2_Knowledge</ability>
      <abilityName>其他知识</abilityName>
      <candidateList>
        <item>〔2020〕492号</item>
      </candidateList>
      <explain>发文字号格式错误。</explain>
      <paraID>2F1C0E4F</paraID>
      <start>27</start>
      <end>37</end>
      <status>unmodified</status>
      <modifiedWord/>
      <trackRevisions>false</trackRevisions>
    </reviewItem>
    <reviewItem>
      <errorID>3e7f5048-44a2-45aa-9809-b9bd0e71c792</errorID>
      <errorWord>《</errorWord>
      <group>L1_Punc</group>
      <groupName>标点问题</groupName>
      <ability>L2_Punc</ability>
      <abilityName>标点符号检查</abilityName>
      <candidateList/>
      <explain/>
      <paraID>  DF7A58</paraID>
      <start>0</start>
      <end>1</end>
      <status>unmodified</status>
      <modifiedWord/>
      <trackRevisions>false</trackRevisions>
    </reviewItem>
    <reviewItem>
      <errorID>94abc12a-022b-474e-80cc-352bda9194c9</errorID>
      <errorWord>期</errorWord>
      <group>L1_Word</group>
      <groupName>字词问题</groupName>
      <ability>L2_Typo</ability>
      <abilityName>字词错误</abilityName>
      <candidateList>
        <item>期间</item>
      </candidateList>
      <explain>〈名〉某个时期里面：农忙～｜春节～｜抗战～。</explain>
      <paraID>2AC60AFA</paraID>
      <start>2</start>
      <end>3</end>
      <status>unmodified</status>
      <modifiedWord/>
      <trackRevisions>false</trackRevisions>
    </reviewItem>
    <reviewItem>
      <errorID>37881d1c-316e-4d0f-bea9-c0f8f72a0fc8</errorID>
      <errorWord>；/</errorWord>
      <group>L1_Punc</group>
      <groupName>标点问题</groupName>
      <ability>L2_Punc</ability>
      <abilityName>标点符号检查</abilityName>
      <candidateList>
        <item>；</item>
      </candidateList>
      <explain/>
      <paraID>27E6488F</paraID>
      <start>26</start>
      <end>28</end>
      <status>unmodified</status>
      <modifiedWord/>
      <trackRevisions>false</trackRevisions>
    </reviewItem>
    <reviewItem>
      <errorID>e8f1c05c-ac9d-4c79-b744-66fb2869357b</errorID>
      <errorWord>产生污染物</errorWord>
      <group>L1_Knowledge</group>
      <groupName>知识性问题</groupName>
      <ability>L2_Term</ability>
      <abilityName>专业术语</abilityName>
      <candidateList>
        <item>次生污染物</item>
      </candidateList>
      <explain/>
      <paraID> 3A12EFE</paraID>
      <start>5</start>
      <end>10</end>
      <status>unmodified</status>
      <modifiedWord/>
      <trackRevisions>false</trackRevisions>
    </reviewItem>
    <reviewItem>
      <errorID>dad3b6b5-c7fa-435a-b163-7609c3a028b7</errorID>
      <errorWord>期</errorWord>
      <group>L1_Word</group>
      <groupName>字词问题</groupName>
      <ability>L2_Typo</ability>
      <abilityName>字词错误</abilityName>
      <candidateList>
        <item>期间</item>
      </candidateList>
      <explain>〈名〉某个时期里面：农忙～｜春节～｜抗战～。</explain>
      <paraID> C236B4C</paraID>
      <start>2</start>
      <end>3</end>
      <status>unmodified</status>
      <modifiedWord/>
      <trackRevisions>false</trackRevisions>
    </reviewItem>
    <reviewItem>
      <errorID>500f969f-5fd1-471f-98a5-3da8b5193df3</errorID>
      <errorWord>[2019]11号</errorWord>
      <group>L1_Knowledge</group>
      <groupName>知识性问题</groupName>
      <ability>L2_Knowledge</ability>
      <abilityName>其他知识</abilityName>
      <candidateList>
        <item>〔2019〕11号</item>
      </candidateList>
      <explain>发文字号格式错误。</explain>
      <paraID>4FA382F2</paraID>
      <start>81</start>
      <end>90</end>
      <status>unmodified</status>
      <modifiedWord/>
      <trackRevisions>false</trackRevisions>
    </reviewItem>
    <reviewItem>
      <errorID>dd86b8ed-d2c8-429b-a3d5-f0dccf91fb41</errorID>
      <errorWord>III类</errorWord>
      <group>L1_Knowledge</group>
      <groupName>知识性问题</groupName>
      <ability>L2_Knowledge</ability>
      <abilityName>其他知识</abilityName>
      <candidateList>
        <item>Ⅲ类</item>
      </candidateList>
      <explain/>
      <paraID>54B03280</paraID>
      <start>64</start>
      <end>68</end>
      <status>unmodified</status>
      <modifiedWord/>
      <trackRevisions>false</trackRevisions>
    </reviewItem>
    <reviewItem>
      <errorID>1805cfd8-10fb-4047-b989-46cf1d77b351</errorID>
      <errorWord>III类</errorWord>
      <group>L1_Knowledge</group>
      <groupName>知识性问题</groupName>
      <ability>L2_Knowledge</ability>
      <abilityName>其他知识</abilityName>
      <candidateList>
        <item>Ⅲ类</item>
      </candidateList>
      <explain/>
      <paraID>55B1A4EB</paraID>
      <start>37</start>
      <end>41</end>
      <status>unmodified</status>
      <modifiedWord/>
      <trackRevisions>false</trackRevisions>
    </reviewItem>
    <reviewItem>
      <errorID>52fe351f-d2d0-44d6-aef9-66ed70f723b5</errorID>
      <errorWord>II类</errorWord>
      <group>L1_Knowledge</group>
      <groupName>知识性问题</groupName>
      <ability>L2_Knowledge</ability>
      <abilityName>其他知识</abilityName>
      <candidateList>
        <item>Ⅱ类</item>
      </candidateList>
      <explain/>
      <paraID>55B1A4EB</paraID>
      <start>76</start>
      <end>79</end>
      <status>unmodified</status>
      <modifiedWord/>
      <trackRevisions>false</trackRevisions>
    </reviewItem>
    <reviewItem>
      <errorID>a87525dd-e0aa-4b40-9bcf-70a38d11cce8</errorID>
      <errorWord>II类</errorWord>
      <group>L1_Knowledge</group>
      <groupName>知识性问题</groupName>
      <ability>L2_Knowledge</ability>
      <abilityName>其他知识</abilityName>
      <candidateList>
        <item>Ⅱ类</item>
      </candidateList>
      <explain/>
      <paraID>3C6B58BB</paraID>
      <start>6</start>
      <end>9</end>
      <status>unmodified</status>
      <modifiedWord/>
      <trackRevisions>false</trackRevisions>
    </reviewItem>
    <reviewItem>
      <errorID>f4f16263-b8f6-4bd2-b904-6942433baa1b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193AF997</paraID>
      <start>0</start>
      <end>2</end>
      <status>unmodified</status>
      <modifiedWord/>
      <trackRevisions>false</trackRevisions>
    </reviewItem>
    <reviewItem>
      <errorID>615781a4-da3d-48ae-9f38-9ebed8b0ce7d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53D1FB</paraID>
      <start>0</start>
      <end>2</end>
      <status>unmodified</status>
      <modifiedWord/>
      <trackRevisions>false</trackRevisions>
    </reviewItem>
    <reviewItem>
      <errorID>d3cf9db1-5aca-4307-af2d-f5e8952883f0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2C786DD0</paraID>
      <start>0</start>
      <end>2</end>
      <status>unmodified</status>
      <modifiedWord/>
      <trackRevisions>false</trackRevisions>
    </reviewItem>
    <reviewItem>
      <errorID>426b9db7-b356-43c4-b8c5-ec574ff3ea32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4CC4BB5F</paraID>
      <start>0</start>
      <end>2</end>
      <status>unmodified</status>
      <modifiedWord/>
      <trackRevisions>false</trackRevisions>
    </reviewItem>
    <reviewItem>
      <errorID>b67ae8c3-c3e5-4946-a0b4-d89f0215bc8d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D857F50</paraID>
      <start>0</start>
      <end>2</end>
      <status>unmodified</status>
      <modifiedWord/>
      <trackRevisions>false</trackRevisions>
    </reviewItem>
    <reviewItem>
      <errorID>681a1568-ec20-491a-a9bf-ddc0ea7df067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32F3199B</paraID>
      <start>0</start>
      <end>2</end>
      <status>unmodified</status>
      <modifiedWord/>
      <trackRevisions>false</trackRevisions>
    </reviewItem>
    <reviewItem>
      <errorID>c1f4a510-002c-4f48-97c7-df46ee79dc2c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367DE085</paraID>
      <start>0</start>
      <end>2</end>
      <status>unmodified</status>
      <modifiedWord/>
      <trackRevisions>false</trackRevisions>
    </reviewItem>
    <reviewItem>
      <errorID>25ac8b0f-e825-47be-b4fe-8918d84e87e8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3B7A06E8</paraID>
      <start>0</start>
      <end>2</end>
      <status>unmodified</status>
      <modifiedWord/>
      <trackRevisions>false</trackRevisions>
    </reviewItem>
    <reviewItem>
      <errorID>4bd03b09-da41-4103-a872-3eac3f046d06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722FDDE8</paraID>
      <start>0</start>
      <end>2</end>
      <status>unmodified</status>
      <modifiedWord/>
      <trackRevisions>false</trackRevisions>
    </reviewItem>
    <reviewItem>
      <errorID>48920e96-9874-46b0-aa8c-783aa50c5deb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6FB66D3A</paraID>
      <start>0</start>
      <end>2</end>
      <status>unmodified</status>
      <modifiedWord/>
      <trackRevisions>false</trackRevisions>
    </reviewItem>
    <reviewItem>
      <errorID>009104fe-a778-403a-825b-c130d7e52e1d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7CB0E6C6</paraID>
      <start>0</start>
      <end>2</end>
      <status>unmodified</status>
      <modifiedWord/>
      <trackRevisions>false</trackRevisions>
    </reviewItem>
    <reviewItem>
      <errorID>59c35617-46e6-43eb-a436-7a47e8ec0f91</errorID>
      <errorWord>，</errorWord>
      <group>L1_Format</group>
      <groupName>格式问题</groupName>
      <ability>L2_HalfPunc</ability>
      <abilityName>全半角检查</abilityName>
      <candidateList>
        <item>,</item>
      </candidateList>
      <explain>文本全半角错误。</explain>
      <paraID>255F36B0</paraID>
      <start>8</start>
      <end>9</end>
      <status>unmodified</status>
      <modifiedWord/>
      <trackRevisions>false</trackRevisions>
    </reviewItem>
    <reviewItem>
      <errorID>1cde946a-c770-4318-9aa2-065a6abf5c11</errorID>
      <errorWord>（</errorWord>
      <group>L1_Punc</group>
      <groupName>标点问题</groupName>
      <ability>L2_Punc</ability>
      <abilityName>标点符号检查</abilityName>
      <candidateList/>
      <explain>同一形式括号套用。</explain>
      <paraID>603B84FB</paraID>
      <start>30</start>
      <end>31</end>
      <status>unmodified</status>
      <modifiedWord/>
      <trackRevisions>false</trackRevisions>
    </reviewItem>
    <reviewItem>
      <errorID>1ed3cc81-de8a-4791-8612-467772e9efc7</errorID>
      <errorWord>）</errorWord>
      <group>L1_Punc</group>
      <groupName>标点问题</groupName>
      <ability>L2_Punc</ability>
      <abilityName>标点符号检查</abilityName>
      <candidateList/>
      <explain>同一形式括号套用。</explain>
      <paraID>603B84FB</paraID>
      <start>33</start>
      <end>34</end>
      <status>unmodified</status>
      <modifiedWord/>
      <trackRevisions>false</trackRevisions>
    </reviewItem>
    <reviewItem>
      <errorID>7a5efe90-1bda-4f1e-a651-57ae219addad</errorID>
      <errorWord>（</errorWord>
      <group>L1_Punc</group>
      <groupName>标点问题</groupName>
      <ability>L2_Punc</ability>
      <abilityName>标点符号检查</abilityName>
      <candidateList/>
      <explain>同一形式括号套用。</explain>
      <paraID>603B84FB</paraID>
      <start>35</start>
      <end>36</end>
      <status>unmodified</status>
      <modifiedWord/>
      <trackRevisions>false</trackRevisions>
    </reviewItem>
    <reviewItem>
      <errorID>5c9bfb3f-2dae-4e3f-bcc3-61f4f0f65cd0</errorID>
      <errorWord>）</errorWord>
      <group>L1_Punc</group>
      <groupName>标点问题</groupName>
      <ability>L2_Punc</ability>
      <abilityName>标点符号检查</abilityName>
      <candidateList/>
      <explain>同一形式括号套用。</explain>
      <paraID>603B84FB</paraID>
      <start>48</start>
      <end>49</end>
      <status>unmodified</status>
      <modifiedWord/>
      <trackRevisions>false</trackRevisions>
    </reviewItem>
    <reviewItem>
      <errorID>5f87815b-4948-47e8-aa78-c7746676d8f5</errorID>
      <errorWord>II类</errorWord>
      <group>L1_Knowledge</group>
      <groupName>知识性问题</groupName>
      <ability>L2_Knowledge</ability>
      <abilityName>其他知识</abilityName>
      <candidateList>
        <item>Ⅱ类</item>
      </candidateList>
      <explain/>
      <paraID>107D4D59</paraID>
      <start>93</start>
      <end>96</end>
      <status>unmodified</status>
      <modifiedWord/>
      <trackRevisions>false</trackRevisions>
    </reviewItem>
    <reviewItem>
      <errorID>1405576b-9315-4e83-8f1c-4554ef596343</errorID>
      <errorWord>大火房</errorWord>
      <group>L1_Word</group>
      <groupName>字词问题</groupName>
      <ability>L2_Typo</ability>
      <abilityName>字词错误</abilityName>
      <candidateList>
        <item>大伙房</item>
      </candidateList>
      <explain/>
      <paraID> C869BDF</paraID>
      <start>270</start>
      <end>273</end>
      <status>unmodified</status>
      <modifiedWord/>
      <trackRevisions>false</trackRevisions>
    </reviewItem>
    <reviewItem>
      <errorID>a5a5be05-6a65-45ce-8c0b-bcc84cd3f610</errorID>
      <errorWord>机井的</errorWord>
      <group>L1_Word</group>
      <groupName>字词问题</groupName>
      <ability>L2_Typo</ability>
      <abilityName>字词错误</abilityName>
      <candidateList>
        <item>机井</item>
      </candidateList>
      <explain/>
      <paraID> C869BDF</paraID>
      <start>374</start>
      <end>377</end>
      <status>unmodified</status>
      <modifiedWord/>
      <trackRevisions>false</trackRevisions>
    </reviewItem>
    <reviewItem>
      <errorID>db4cbb2d-ff73-4a54-85ba-278d94edc609</errorID>
      <errorWord>水</errorWord>
      <group>L1_Word</group>
      <groupName>字词问题</groupName>
      <ability>L2_Typo</ability>
      <abilityName>字词错误</abilityName>
      <candidateList>
        <item>水资</item>
      </candidateList>
      <explain/>
      <paraID>4A173B0B</paraID>
      <start>0</start>
      <end>1</end>
      <status>unmodified</status>
      <modifiedWord/>
      <trackRevisions>false</trackRevisions>
    </reviewItem>
    <reviewItem>
      <errorID>2478f6fa-4595-434c-a98e-1f91217a8bd2</errorID>
      <errorWord>；；</errorWord>
      <group>L1_Punc</group>
      <groupName>标点问题</groupName>
      <ability>L2_Punc</ability>
      <abilityName>标点符号检查</abilityName>
      <candidateList>
        <item>；</item>
      </candidateList>
      <explain/>
      <paraID>7F57898F</paraID>
      <start>64</start>
      <end>66</end>
      <status>unmodified</status>
      <modifiedWord/>
      <trackRevisions>false</trackRevisions>
    </reviewItem>
    <reviewItem>
      <errorID>aac8edb6-e0d3-478c-8034-146852a96cfe</errorID>
      <errorWord>II</errorWord>
      <group>L1_Knowledge</group>
      <groupName>知识性问题</groupName>
      <ability>L2_Knowledge</ability>
      <abilityName>其他知识</abilityName>
      <candidateList>
        <item>Ⅱ</item>
      </candidateList>
      <explain/>
      <paraID> C700114</paraID>
      <start>0</start>
      <end>2</end>
      <status>unmodified</status>
      <modifiedWord/>
      <trackRevisions>false</trackRevisions>
    </reviewItem>
    <reviewItem>
      <errorID>575848b8-eca1-42b0-a4c3-fe2ad4497350</errorID>
      <errorWord>II</errorWord>
      <group>L1_Knowledge</group>
      <groupName>知识性问题</groupName>
      <ability>L2_Knowledge</ability>
      <abilityName>其他知识</abilityName>
      <candidateList>
        <item>Ⅱ</item>
      </candidateList>
      <explain/>
      <paraID>372454AB</paraID>
      <start>0</start>
      <end>2</end>
      <status>unmodified</status>
      <modifiedWord/>
      <trackRevisions>false</trackRevisions>
    </reviewItem>
    <reviewItem>
      <errorID>11320ebc-4805-4639-b36b-9a2d653d7cf8</errorID>
      <errorWord>II</errorWord>
      <group>L1_Knowledge</group>
      <groupName>知识性问题</groupName>
      <ability>L2_Knowledge</ability>
      <abilityName>其他知识</abilityName>
      <candidateList>
        <item>Ⅱ</item>
      </candidateList>
      <explain/>
      <paraID>60DCAE46</paraID>
      <start>0</start>
      <end>2</end>
      <status>unmodified</status>
      <modifiedWord/>
      <trackRevisions>false</trackRevisions>
    </reviewItem>
    <reviewItem>
      <errorID>8a6f790f-2b35-4d1e-9440-722782453988</errorID>
      <errorWord>II</errorWord>
      <group>L1_Knowledge</group>
      <groupName>知识性问题</groupName>
      <ability>L2_Knowledge</ability>
      <abilityName>其他知识</abilityName>
      <candidateList>
        <item>Ⅱ</item>
      </candidateList>
      <explain/>
      <paraID>7C89503C</paraID>
      <start>0</start>
      <end>2</end>
      <status>unmodified</status>
      <modifiedWord/>
      <trackRevisions>false</trackRevisions>
    </reviewItem>
    <reviewItem>
      <errorID>c38fa880-8987-4795-90fb-eda57c4ec380</errorID>
      <errorWord>II</errorWord>
      <group>L1_Knowledge</group>
      <groupName>知识性问题</groupName>
      <ability>L2_Knowledge</ability>
      <abilityName>其他知识</abilityName>
      <candidateList>
        <item>Ⅱ</item>
      </candidateList>
      <explain/>
      <paraID>561926DF</paraID>
      <start>0</start>
      <end>2</end>
      <status>unmodified</status>
      <modifiedWord/>
      <trackRevisions>false</trackRevisions>
    </reviewItem>
    <reviewItem>
      <errorID>4684bf8b-da7f-46fa-883c-b9f09c98f462</errorID>
      <errorWord>条</errorWord>
      <group>L1_Knowledge</group>
      <groupName>知识性问题</groupName>
      <ability>L2_Knowledge</ability>
      <abilityName>其他知识</abilityName>
      <candidateList>
        <item>根</item>
      </candidateList>
      <explain/>
      <paraID> B4B0A8E</paraID>
      <start>101</start>
      <end>102</end>
      <status>unmodified</status>
      <modifiedWord/>
      <trackRevisions>false</trackRevisions>
    </reviewItem>
    <reviewItem>
      <errorID>e9ffd49d-634a-4ed3-83c9-d0d9e738831f</errorID>
      <errorWord>~</errorWord>
      <group>L1_Format</group>
      <groupName>格式问题</groupName>
      <ability>L2_HalfPunc</ability>
      <abilityName>全半角检查</abilityName>
      <candidateList>
        <item>～</item>
      </candidateList>
      <explain>文本全半角错误。</explain>
      <paraID>10F03BA8</paraID>
      <start>68</start>
      <end>69</end>
      <status>unmodified</status>
      <modifiedWord/>
      <trackRevisions>false</trackRevisions>
    </reviewItem>
    <reviewItem>
      <errorID>3262b5b9-6936-47d1-b6de-1442729b3942</errorID>
      <errorWord>土壤监测</errorWord>
      <group>L1_Word</group>
      <groupName>字词问题</groupName>
      <ability>L2_Typo</ability>
      <abilityName>字词错误</abilityName>
      <candidateList>
        <item>土壤检测</item>
      </candidateList>
      <explain/>
      <paraID>5D8F3BF4</paraID>
      <start>5</start>
      <end>9</end>
      <status>unmodified</status>
      <modifiedWord/>
      <trackRevisions>false</trackRevisions>
    </reviewItem>
    <reviewItem>
      <errorID>b42501f1-d3f8-4209-b4ad-d9fed3175d22</errorID>
      <errorWord>II类</errorWord>
      <group>L1_Knowledge</group>
      <groupName>知识性问题</groupName>
      <ability>L2_Knowledge</ability>
      <abilityName>其他知识</abilityName>
      <candidateList>
        <item>Ⅱ类</item>
      </candidateList>
      <explain/>
      <paraID>51DF4F83</paraID>
      <start>97</start>
      <end>100</end>
      <status>unmodified</status>
      <modifiedWord/>
      <trackRevisions>false</trackRevisions>
    </reviewItem>
    <reviewItem>
      <errorID>6176e959-c58b-40f3-bf20-a15e20a61848</errorID>
      <errorWord>影响型</errorWord>
      <group>L1_Word</group>
      <groupName>字词问题</groupName>
      <ability>L2_Typo</ability>
      <abilityName>字词错误</abilityName>
      <candidateList>
        <item>影响性</item>
      </candidateList>
      <explain/>
      <paraID>5030C4F3</paraID>
      <start>50</start>
      <end>53</end>
      <status>unmodified</status>
      <modifiedWord/>
      <trackRevisions>false</trackRevisions>
    </reviewItem>
    <reviewItem>
      <errorID>91955c1f-f224-4bb1-b66a-f863971394f7</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2E3B3EDA</paraID>
      <start>10</start>
      <end>14</end>
      <status>unmodified</status>
      <modifiedWord/>
      <trackRevisions>false</trackRevisions>
    </reviewItem>
    <reviewItem>
      <errorID>070bb042-e226-4a74-9110-116a818aa74a</errorID>
      <errorWord>（3）、</errorWord>
      <group>L1_Punc</group>
      <groupName>标点问题</groupName>
      <ability>L2_Punc</ability>
      <abilityName>标点符号检查</abilityName>
      <candidateList>
        <item>（3）</item>
      </candidateList>
      <explain>根据国标GB/T 15834-2011《标点符号用法》中的4.5.3.3节，带括号的汉字数字或阿拉伯数字表次序时，后面通常不加顿号。如“（一）指导思想”“（二）行动指南”。</explain>
      <paraID>2E3B3EDA</paraID>
      <start>14</start>
      <end>18</end>
      <status>unmodified</status>
      <modifiedWord/>
      <trackRevisions>false</trackRevisions>
    </reviewItem>
    <reviewItem>
      <errorID>7b0ec513-7b17-4a6b-b9ac-b293497a0829</errorID>
      <errorWord>（4）、</errorWord>
      <group>L1_Punc</group>
      <groupName>标点问题</groupName>
      <ability>L2_Punc</ability>
      <abilityName>标点符号检查</abilityName>
      <candidateList>
        <item>（4）</item>
      </candidateList>
      <explain>根据国标GB/T 15834-2011《标点符号用法》中的4.5.3.3节，带括号的汉字数字或阿拉伯数字表次序时，后面通常不加顿号。如“（一）指导思想”“（二）行动指南”。</explain>
      <paraID>2E3B3EDA</paraID>
      <start>18</start>
      <end>22</end>
      <status>unmodified</status>
      <modifiedWord/>
      <trackRevisions>false</trackRevisions>
    </reviewItem>
    <reviewItem>
      <errorID>aec70b89-19c5-4d1e-abcc-9b88bfd459ec</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2E3B3EDA</paraID>
      <start>22</start>
      <end>26</end>
      <status>unmodified</status>
      <modifiedWord/>
      <trackRevisions>false</trackRevisions>
    </reviewItem>
    <reviewItem>
      <errorID>a75cda22-e4ff-4f9e-934e-1247d703a4e4</errorID>
      <errorWord>存在</errorWord>
      <group>L1_Word</group>
      <groupName>字词问题</groupName>
      <ability>L2_Typo</ability>
      <abilityName>字词错误</abilityName>
      <candidateList>
        <item>存放</item>
      </candidateList>
      <explain/>
      <paraID>25A3C46D</paraID>
      <start>30</start>
      <end>32</end>
      <status>unmodified</status>
      <modifiedWord/>
      <trackRevisions>false</trackRevisions>
    </reviewItem>
    <reviewItem>
      <errorID>20228833-cf3f-43a2-bea4-01af1d71bbf3</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3A865EC5</paraID>
      <start>24</start>
      <end>28</end>
      <status>unmodified</status>
      <modifiedWord/>
      <trackRevisions>false</trackRevisions>
    </reviewItem>
    <reviewItem>
      <errorID>7b9e84cc-acc3-49de-806d-f2a0c9c4d05d</errorID>
      <errorWord>III类</errorWord>
      <group>L1_Knowledge</group>
      <groupName>知识性问题</groupName>
      <ability>L2_Knowledge</ability>
      <abilityName>其他知识</abilityName>
      <candidateList>
        <item>Ⅲ类</item>
      </candidateList>
      <explain/>
      <paraID>45B1294E</paraID>
      <start>25</start>
      <end>29</end>
      <status>unmodified</status>
      <modifiedWord/>
      <trackRevisions>false</trackRevisions>
    </reviewItem>
    <reviewItem>
      <errorID>979fe284-a312-4e5f-b248-5fadbf8c978d</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2F02AED9</paraID>
      <start>0</start>
      <end>2</end>
      <status>unmodified</status>
      <modifiedWord/>
      <trackRevisions>false</trackRevisions>
    </reviewItem>
    <reviewItem>
      <errorID>d2353895-95f4-47a2-9ab3-4800bb3292f8</errorID>
      <errorWord>[2018]2号</errorWord>
      <group>L1_Knowledge</group>
      <groupName>知识性问题</groupName>
      <ability>L2_Knowledge</ability>
      <abilityName>其他知识</abilityName>
      <candidateList>
        <item>〔2018〕2号</item>
      </candidateList>
      <explain>发文字号格式错误。</explain>
      <paraID>66DEAA5C</paraID>
      <start>3</start>
      <end>11</end>
      <status>unmodified</status>
      <modifiedWord/>
      <trackRevisions>false</trackRevisions>
    </reviewItem>
    <reviewItem>
      <errorID>732f323a-7b8c-43fe-905c-e6f4a699ab62</errorID>
      <errorWord>[2018]187号</errorWord>
      <group>L1_Knowledge</group>
      <groupName>知识性问题</groupName>
      <ability>L2_Knowledge</ability>
      <abilityName>其他知识</abilityName>
      <candidateList>
        <item>〔2018〕187号</item>
      </candidateList>
      <explain>发文字号格式错误。</explain>
      <paraID>5E89E683</paraID>
      <start>3</start>
      <end>13</end>
      <status>unmodified</status>
      <modifiedWord/>
      <trackRevisions>false</trackRevisions>
    </reviewItem>
    <reviewItem>
      <errorID>84ff01b4-135e-42ed-a30f-6057bf6f4c85</errorID>
      <errorWord>[2020]61号</errorWord>
      <group>L1_Knowledge</group>
      <groupName>知识性问题</groupName>
      <ability>L2_Knowledge</ability>
      <abilityName>其他知识</abilityName>
      <candidateList>
        <item>〔2020〕61号</item>
      </candidateList>
      <explain>发文字号格式错误。</explain>
      <paraID>2F28FF59</paraID>
      <start>3</start>
      <end>12</end>
      <status>unmodified</status>
      <modifiedWord/>
      <trackRevisions>false</trackRevisions>
    </reviewItem>
    <reviewItem>
      <errorID>a53c151b-94bf-4b82-b13d-05a0528a9370</errorID>
      <errorWord>~</errorWord>
      <group>L1_Format</group>
      <groupName>格式问题</groupName>
      <ability>L2_HalfPunc</ability>
      <abilityName>全半角检查</abilityName>
      <candidateList>
        <item>～</item>
      </candidateList>
      <explain>文本全半角错误。</explain>
      <paraID>376266FD</paraID>
      <start>101</start>
      <end>102</end>
      <status>unmodified</status>
      <modifiedWord/>
      <trackRevisions>false</trackRevisions>
    </reviewItem>
    <reviewItem>
      <errorID>8b3e2359-7582-4f70-b78c-6dcabd53948b</errorID>
      <errorWord>~</errorWord>
      <group>L1_Format</group>
      <groupName>格式问题</groupName>
      <ability>L2_HalfPunc</ability>
      <abilityName>全半角检查</abilityName>
      <candidateList>
        <item>～</item>
      </candidateList>
      <explain>文本全半角错误。</explain>
      <paraID>376266FD</paraID>
      <start>147</start>
      <end>148</end>
      <status>unmodified</status>
      <modifiedWord/>
      <trackRevisions>false</trackRevisions>
    </reviewItem>
    <reviewItem>
      <errorID>43088883-5033-43ba-91ab-a0426235b28a</errorID>
      <errorWord>期</errorWord>
      <group>L1_Word</group>
      <groupName>字词问题</groupName>
      <ability>L2_Typo</ability>
      <abilityName>字词错误</abilityName>
      <candidateList>
        <item>期间</item>
      </candidateList>
      <explain>〈名〉某个时期里面：农忙～｜春节～｜抗战～。</explain>
      <paraID> 113152C</paraID>
      <start>19</start>
      <end>20</end>
      <status>unmodified</status>
      <modifiedWord/>
      <trackRevisions>false</trackRevisions>
    </reviewItem>
    <reviewItem>
      <errorID>d63efe4a-daa0-443c-8614-5f2f5e2bdda5</errorID>
      <errorWord>III类</errorWord>
      <group>L1_Knowledge</group>
      <groupName>知识性问题</groupName>
      <ability>L2_Knowledge</ability>
      <abilityName>其他知识</abilityName>
      <candidateList>
        <item>Ⅲ类</item>
      </candidateList>
      <explain/>
      <paraID>5D2B1437</paraID>
      <start>58</start>
      <end>62</end>
      <status>unmodified</status>
      <modifiedWord/>
      <trackRevisions>false</trackRevisions>
    </reviewItem>
    <reviewItem>
      <errorID>cf91592e-08b8-40b0-a128-18d80b1c8249</errorID>
      <errorWord>II类</errorWord>
      <group>L1_Knowledge</group>
      <groupName>知识性问题</groupName>
      <ability>L2_Knowledge</ability>
      <abilityName>其他知识</abilityName>
      <candidateList>
        <item>Ⅱ类</item>
      </candidateList>
      <explain/>
      <paraID>5D2B1437</paraID>
      <start>97</start>
      <end>100</end>
      <status>unmodified</status>
      <modifiedWord/>
      <trackRevisions>false</trackRevisions>
    </reviewItem>
    <reviewItem>
      <errorID>40cb30e9-5b08-40ed-a99a-aa7bf476ae9d</errorID>
      <errorWord>检测</errorWord>
      <group>L1_Word</group>
      <groupName>字词问题</groupName>
      <ability>L2_Typo</ability>
      <abilityName>字词错误</abilityName>
      <candidateList>
        <item>监测</item>
      </candidateList>
      <explain>存在发音相同字词的误用。</explain>
      <paraID> 4E807E1</paraID>
      <start>78</start>
      <end>80</end>
      <status>unmodified</status>
      <modifiedWord/>
      <trackRevisions>false</trackRevisions>
    </reviewItem>
    <reviewItem>
      <errorID>d1efa637-154f-4cf1-90dc-10ce9edcf0b3</errorID>
      <errorWord>III类</errorWord>
      <group>L1_Knowledge</group>
      <groupName>知识性问题</groupName>
      <ability>L2_Knowledge</ability>
      <abilityName>其他知识</abilityName>
      <candidateList>
        <item>Ⅲ类</item>
      </candidateList>
      <explain/>
      <paraID>30FA1556</paraID>
      <start>57</start>
      <end>61</end>
      <status>unmodified</status>
      <modifiedWord/>
      <trackRevisions>false</trackRevisions>
    </reviewItem>
    <reviewItem>
      <errorID>8f838be6-6e1d-4a27-a24a-f9c901de84f4</errorID>
      <errorWord>II类</errorWord>
      <group>L1_Knowledge</group>
      <groupName>知识性问题</groupName>
      <ability>L2_Knowledge</ability>
      <abilityName>其他知识</abilityName>
      <candidateList>
        <item>Ⅱ类</item>
      </candidateList>
      <explain/>
      <paraID>30FA1556</paraID>
      <start>125</start>
      <end>128</end>
      <status>unmodified</status>
      <modifiedWord/>
      <trackRevisions>false</trackRevisions>
    </reviewItem>
    <reviewItem>
      <errorID>128a458f-615b-4f6d-9a13-67706ee79d48</errorID>
      <errorWord>为有效</errorWord>
      <group>L1_Word</group>
      <groupName>字词问题</groupName>
      <ability>L2_Typo</ability>
      <abilityName>字词错误</abilityName>
      <candidateList>
        <item>未有效</item>
      </candidateList>
      <explain/>
      <paraID>36F4420E</paraID>
      <start>187</start>
      <end>190</end>
      <status>unmodified</status>
      <modifiedWord/>
      <trackRevisions>false</trackRevisions>
    </reviewItem>
    <reviewItem>
      <errorID>a862b17f-3d00-4662-b37a-50641fd82272</errorID>
      <errorWord>预案为</errorWord>
      <group>L1_Word</group>
      <groupName>字词问题</groupName>
      <ability>L2_Typo</ability>
      <abilityName>字词错误</abilityName>
      <candidateList>
        <item>预案</item>
      </candidateList>
      <explain/>
      <paraID>36F4420E</paraID>
      <start>216</start>
      <end>219</end>
      <status>unmodified</status>
      <modifiedWord/>
      <trackRevisions>false</trackRevisions>
    </reviewItem>
    <reviewItem>
      <errorID>87fa701d-5e6a-4c1c-8ccb-440a72bea8c2</errorID>
      <errorWord>II类</errorWord>
      <group>L1_Knowledge</group>
      <groupName>知识性问题</groupName>
      <ability>L2_Knowledge</ability>
      <abilityName>其他知识</abilityName>
      <candidateList>
        <item>Ⅱ类</item>
      </candidateList>
      <explain/>
      <paraID>6D860C96</paraID>
      <start>167</start>
      <end>170</end>
      <status>unmodified</status>
      <modifiedWord/>
      <trackRevisions>false</trackRevisions>
    </reviewItem>
    <reviewItem>
      <errorID>e0d31cc0-54aa-45e0-aff1-fac59029cfd4</errorID>
      <errorWord>仍为</errorWord>
      <group>L1_Word</group>
      <groupName>字词问题</groupName>
      <ability>L2_Typo</ability>
      <abilityName>字词错误</abilityName>
      <candidateList>
        <item>仍</item>
      </candidateList>
      <explain>❶依照：一～其旧（完全照旧）。❷〈书〉频繁：频～。❸〈副〉仍然：～须努力｜病～不见好。</explain>
      <paraID>6D860C96</paraID>
      <start>238</start>
      <end>240</end>
      <status>unmodified</status>
      <modifiedWord/>
      <trackRevisions>false</trackRevisions>
    </reviewItem>
    <reviewItem>
      <errorID>e1d014df-32dc-4e2c-bf95-72edb96c8d03</errorID>
      <errorWord>土壤检测</errorWord>
      <group>L1_Word</group>
      <groupName>字词问题</groupName>
      <ability>L2_Typo</ability>
      <abilityName>字词错误</abilityName>
      <candidateList>
        <item>土壤监测</item>
      </candidateList>
      <explain/>
      <paraID>71543CE5</paraID>
      <start>9</start>
      <end>13</end>
      <status>unmodified</status>
      <modifiedWord/>
      <trackRevisions>false</trackRevisions>
    </reviewItem>
    <reviewItem>
      <errorID>d2ee269c-4cdf-48c4-bd32-b302c800bb3e</errorID>
      <errorWord>期</errorWord>
      <group>L1_Word</group>
      <groupName>字词问题</groupName>
      <ability>L2_Typo</ability>
      <abilityName>字词错误</abilityName>
      <candidateList>
        <item>期间</item>
      </candidateList>
      <explain>〈名〉某个时期里面：农忙～｜春节～｜抗战～。</explain>
      <paraID>1AE7D1FC</paraID>
      <start>2</start>
      <end>3</end>
      <status>unmodified</status>
      <modifiedWord/>
      <trackRevisions>false</trackRevisions>
    </reviewItem>
    <reviewItem>
      <errorID>744ca15e-2462-43af-83bf-0d3819c7efaa</errorID>
      <errorWord>期</errorWord>
      <group>L1_Word</group>
      <groupName>字词问题</groupName>
      <ability>L2_Typo</ability>
      <abilityName>字词错误</abilityName>
      <candidateList>
        <item>期间</item>
      </candidateList>
      <explain>〈名〉某个时期里面：农忙～｜春节～｜抗战～。</explain>
      <paraID>38CF4F3D</paraID>
      <start>2</start>
      <end>3</end>
      <status>unmodified</status>
      <modifiedWord/>
      <trackRevisions>false</trackRevisions>
    </reviewItem>
    <reviewItem>
      <errorID>b27840fe-45cd-43f1-a7af-36a8138a56c3</errorID>
      <errorWord>退役期</errorWord>
      <group>L1_Word</group>
      <groupName>字词问题</groupName>
      <ability>L2_Typo</ability>
      <abilityName>字词错误</abilityName>
      <candidateList>
        <item>退役</item>
      </candidateList>
      <explain/>
      <paraID>4646FBB8</paraID>
      <start>0</start>
      <end>3</end>
      <status>unmodified</status>
      <modifiedWord/>
      <trackRevisions>false</trackRevisions>
    </reviewItem>
    <reviewItem>
      <errorID>65852dd6-a008-43c2-a2c7-31bfb23e4726</errorID>
      <errorWord>路由</errorWord>
      <group>L1_Word</group>
      <groupName>字词问题</groupName>
      <ability>L2_Typo</ability>
      <abilityName>字词错误</abilityName>
      <candidateList>
        <item>路径</item>
      </candidateList>
      <explain>〈名〉❶道路（指如何到达目的地说）：～不熟｜迷失～。❷门路：经过多次试验，找到了成功的～。</explain>
      <paraID>4ED0B967</paraID>
      <start>57</start>
      <end>59</end>
      <status>unmodified</status>
      <modifiedWord/>
      <trackRevisions>false</trackRevisions>
    </reviewItem>
    <reviewItem>
      <errorID>3b4eb315-6161-482a-94fe-68eefca447c8</errorID>
      <errorWord>投资核算</errorWord>
      <group>L1_Knowledge</group>
      <groupName>知识性问题</groupName>
      <ability>L2_Term</ability>
      <abilityName>专业术语</abilityName>
      <candidateList>
        <item>投资估算</item>
      </candidateList>
      <explain/>
      <paraID>4ED0B967</paraID>
      <start>80</start>
      <end>84</end>
      <status>unmodified</status>
      <modifiedWord/>
      <trackRevisions>false</trackRevisions>
    </reviewItem>
    <reviewItem>
      <errorID>59eb9973-d37f-4d9a-99f9-9e978a1b4346</errorID>
      <errorWord>土带宽度</errorWord>
      <group>L1_Knowledge</group>
      <groupName>知识性问题</groupName>
      <ability>L2_Term</ability>
      <abilityName>专业术语</abilityName>
      <candidateList>
        <item>履带宽度</item>
      </candidateList>
      <explain/>
      <paraID>7BC2DBBD</paraID>
      <start>60</start>
      <end>64</end>
      <status>unmodified</status>
      <modifiedWord/>
      <trackRevisions>false</trackRevisions>
    </reviewItem>
    <reviewItem>
      <errorID>cc3ecbdf-0bf8-4385-b1e0-f0c1f2efa47e</errorID>
      <errorWord>（2021）18号</errorWord>
      <group>L1_Knowledge</group>
      <groupName>知识性问题</groupName>
      <ability>L2_Knowledge</ability>
      <abilityName>其他知识</abilityName>
      <candidateList>
        <item>〔2021〕18号</item>
      </candidateList>
      <explain>发文字号格式错误。</explain>
      <paraID>4E3B5435</paraID>
      <start>74</start>
      <end>83</end>
      <status>unmodified</status>
      <modifiedWord/>
      <trackRevisions>false</trackRevisions>
    </reviewItem>
    <reviewItem>
      <errorID>ee1b9bf6-ff19-4f5b-8efd-2d9162e5b24c</errorID>
      <errorWord>[2018]187号</errorWord>
      <group>L1_Knowledge</group>
      <groupName>知识性问题</groupName>
      <ability>L2_Knowledge</ability>
      <abilityName>其他知识</abilityName>
      <candidateList>
        <item>〔2018〕187号</item>
      </candidateList>
      <explain>发文字号格式错误。</explain>
      <paraID>7665FD4C</paraID>
      <start>3</start>
      <end>13</end>
      <status>unmodified</status>
      <modifiedWord/>
      <trackRevisions>false</trackRevisions>
    </reviewItem>
    <reviewItem>
      <errorID>3f917901-fee9-4388-a014-49a2e0271f37</errorID>
      <errorWord>[2011]171号</errorWord>
      <group>L1_Knowledge</group>
      <groupName>知识性问题</groupName>
      <ability>L2_Knowledge</ability>
      <abilityName>其他知识</abilityName>
      <candidateList>
        <item>〔2011〕171号</item>
      </candidateList>
      <explain>发文字号格式错误。</explain>
      <paraID>255D40C8</paraID>
      <start>0</start>
      <end>10</end>
      <status>unmodified</status>
      <modifiedWord/>
      <trackRevisions>false</trackRevisions>
    </reviewItem>
    <reviewItem>
      <errorID>3e63b323-161f-4cc1-bd2d-413de6005e3c</errorID>
      <errorWord>减震</errorWord>
      <group>L1_Word</group>
      <groupName>字词问题</groupName>
      <ability>L2_Typo</ability>
      <abilityName>字词错误</abilityName>
      <candidateList>
        <item>减振</item>
      </candidateList>
      <explain>存在发音相同字词的误用。</explain>
      <paraID> 8544D79</paraID>
      <start>58</start>
      <end>60</end>
      <status>unmodified</status>
      <modifiedWord/>
      <trackRevisions>false</trackRevisions>
    </reviewItem>
    <reviewItem>
      <errorID>8fe3c6df-dd9d-4c97-82dc-9d7436920514</errorID>
      <errorWord>:</errorWord>
      <group>L1_Format</group>
      <groupName>格式问题</groupName>
      <ability>L2_HalfPunc</ability>
      <abilityName>全半角检查</abilityName>
      <candidateList>
        <item>：</item>
      </candidateList>
      <explain>文本全半角错误。</explain>
      <paraID>26985B02</paraID>
      <start>72</start>
      <end>73</end>
      <status>unmodified</status>
      <modifiedWord/>
      <trackRevisions>false</trackRevisions>
    </reviewItem>
    <reviewItem>
      <errorID>65f05c91-bec6-4086-8df9-1d2321f1fd08</errorID>
      <errorWord>清水</errorWord>
      <group>L1_Word</group>
      <groupName>字词问题</groupName>
      <ability>L2_Typo</ability>
      <abilityName>字词错误</abilityName>
      <candidateList>
        <item>清洗</item>
      </candidateList>
      <explain/>
      <paraID>737477B2</paraID>
      <start>109</start>
      <end>111</end>
      <status>unmodified</status>
      <modifiedWord/>
      <trackRevisions>false</trackRevisions>
    </reviewItem>
    <reviewItem>
      <errorID>f3658e28-02e4-4b23-a961-e9b4c7dedad8</errorID>
      <errorWord>期</errorWord>
      <group>L1_Word</group>
      <groupName>字词问题</groupName>
      <ability>L2_Typo</ability>
      <abilityName>字词错误</abilityName>
      <candidateList>
        <item>期间</item>
      </candidateList>
      <explain>〈名〉某个时期里面：农忙～｜春节～｜抗战～。</explain>
      <paraID>4F3E4997</paraID>
      <start>2</start>
      <end>3</end>
      <status>unmodified</status>
      <modifiedWord/>
      <trackRevisions>false</trackRevisions>
    </reviewItem>
    <reviewItem>
      <errorID>f37c6169-da69-488d-97be-ada983f48ab2</errorID>
      <errorWord>通球</errorWord>
      <group>L1_Word</group>
      <groupName>字词问题</groupName>
      <ability>L2_Typo</ability>
      <abilityName>字词错误</abilityName>
      <candidateList>
        <item>通气</item>
      </candidateList>
      <explain/>
      <paraID>340C7E60</paraID>
      <start>30</start>
      <end>32</end>
      <status>unmodified</status>
      <modifiedWord/>
      <trackRevisions>false</trackRevisions>
    </reviewItem>
    <reviewItem>
      <errorID>0b9a3cc8-4218-4ad2-a8e0-f5297d4f4245</errorID>
      <errorWord>托滚</errorWord>
      <group>L1_Word</group>
      <groupName>字词问题</groupName>
      <ability>L2_Typo</ability>
      <abilityName>字词错误</abilityName>
      <candidateList>
        <item>托管</item>
      </candidateList>
      <explain/>
      <paraID>2F063713</paraID>
      <start>124</start>
      <end>126</end>
      <status>unmodified</status>
      <modifiedWord/>
      <trackRevisions>false</trackRevisions>
    </reviewItem>
    <reviewItem>
      <errorID>d4c580ab-cdd4-485b-9711-d943717ee8b9</errorID>
      <errorWord>大大</errorWord>
      <group>L1_Word</group>
      <groupName>字词问题</groupName>
      <ability>L2_Typo</ability>
      <abilityName>字词错误</abilityName>
      <candidateList>
        <item>极大</item>
      </candidateList>
      <explain>“大大～增强”搭配不当，建议修改为“极大～增强”。</explain>
      <paraID>46BCE8AB</paraID>
      <start>128</start>
      <end>130</end>
      <status>unmodified</status>
      <modifiedWord/>
      <trackRevisions>false</trackRevisions>
    </reviewItem>
    <reviewItem>
      <errorID>b4f02dd2-d164-45b0-b2fa-2d27cbf677a6</errorID>
      <errorWord>程</errorWord>
      <group>L1_Word</group>
      <groupName>字词问题</groupName>
      <ability>L2_Typo</ability>
      <abilityName>字词错误</abilityName>
      <candidateList>
        <item>程中</item>
      </candidateList>
      <explain/>
      <paraID>59B5B3D6</paraID>
      <start>47</start>
      <end>48</end>
      <status>unmodified</status>
      <modifiedWord/>
      <trackRevisions>false</trackRevisions>
    </reviewItem>
    <reviewItem>
      <errorID>a98f87fe-3a50-4d9e-8774-7115a5f392a1</errorID>
      <errorWord>~</errorWord>
      <group>L1_Format</group>
      <groupName>格式问题</groupName>
      <ability>L2_HalfPunc</ability>
      <abilityName>全半角检查</abilityName>
      <candidateList>
        <item>～</item>
      </candidateList>
      <explain>文本全半角错误。</explain>
      <paraID>7633D416</paraID>
      <start>36</start>
      <end>37</end>
      <status>unmodified</status>
      <modifiedWord/>
      <trackRevisions>false</trackRevisions>
    </reviewItem>
    <reviewItem>
      <errorID>d62c630e-3ae9-49fd-bbb4-4f20b5e70848</errorID>
      <errorWord>溶液</errorWord>
      <group>L1_Word</group>
      <groupName>字词问题</groupName>
      <ability>L2_Typo</ability>
      <abilityName>字词错误</abilityName>
      <candidateList>
        <item>熔液</item>
      </candidateList>
      <explain/>
      <paraID> 7B834EE</paraID>
      <start>80</start>
      <end>82</end>
      <status>unmodified</status>
      <modifiedWord/>
      <trackRevisions>false</trackRevisions>
    </reviewItem>
    <reviewItem>
      <errorID>da9f6b07-7b8e-4712-92fc-5659a758bb57</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1DF21099</paraID>
      <start>58</start>
      <end>61</end>
      <status>unmodified</status>
      <modifiedWord/>
      <trackRevisions>false</trackRevisions>
    </reviewItem>
    <reviewItem>
      <errorID>23860772-086a-4e1d-bc69-73ec633e979b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5885183A</paraID>
      <start>53</start>
      <end>54</end>
      <status>unmodified</status>
      <modifiedWord/>
      <trackRevisions>false</trackRevisions>
    </reviewItem>
    <reviewItem>
      <errorID>6ef3307a-db0f-4227-87de-017929369b3f</errorID>
      <errorWord>通讯发达</errorWord>
      <group>L1_Word</group>
      <groupName>字词问题</groupName>
      <ability>L2_Alias</ability>
      <abilityName>也作/曾用词</abilityName>
      <candidateList>
        <item>通信发达</item>
      </candidateList>
      <explain>词汇[通讯发达]为不规范表述或旧称，其规范书面表述为[通信发达]。</explain>
      <paraID>15925795</paraID>
      <start>67</start>
      <end>71</end>
      <status>unmodified</status>
      <modifiedWord/>
      <trackRevisions>false</trackRevisions>
    </reviewItem>
    <reviewItem>
      <errorID>b0329c20-0d60-4391-b53a-2351ea3f0ee7</errorID>
      <errorWord>"</errorWord>
      <group>L1_Format</group>
      <groupName>格式问题</groupName>
      <ability>L2_HalfPunc</ability>
      <abilityName>全半角检查</abilityName>
      <candidateList>
        <item>”</item>
      </candidateList>
      <explain>文本全半角错误。</explain>
      <paraID>15925795</paraID>
      <start>121</start>
      <end>122</end>
      <status>unmodified</status>
      <modifiedWord/>
      <trackRevisions>false</trackRevisions>
    </reviewItem>
    <reviewItem>
      <errorID>2362e073-fabd-4ca0-995a-87ad7e454a07</errorID>
      <errorWord>"</errorWord>
      <group>L1_Format</group>
      <groupName>格式问题</groupName>
      <ability>L2_HalfPunc</ability>
      <abilityName>全半角检查</abilityName>
      <candidateList>
        <item>”</item>
      </candidateList>
      <explain>文本全半角错误。</explain>
      <paraID>15925795</paraID>
      <start>149</start>
      <end>150</end>
      <status>unmodified</status>
      <modifiedWord/>
      <trackRevisions>false</trackRevisions>
    </reviewItem>
    <reviewItem>
      <errorID>5f378cc5-79a0-47e7-9381-c5d3e1fbb17f</errorID>
      <errorWord>海拔高度</errorWord>
      <group>L1_Word</group>
      <groupName>字词问题</groupName>
      <ability>L2_Typo</ability>
      <abilityName>字词错误</abilityName>
      <candidateList>
        <item>海拔</item>
      </candidateList>
      <explain>〈名〉从平均海平面起算的高度。</explain>
      <paraID>37221F7A</paraID>
      <start>120</start>
      <end>124</end>
      <status>unmodified</status>
      <modifiedWord/>
      <trackRevisions>false</trackRevisions>
    </reviewItem>
    <reviewItem>
      <errorID>ba9c1912-429e-4672-8844-e9b0e7042b4b</errorID>
      <errorWord>没有受</errorWord>
      <group>L1_Word</group>
      <groupName>字词问题</groupName>
      <ability>L2_Typo</ability>
      <abilityName>字词错误</abilityName>
      <candidateList>
        <item>没有</item>
      </candidateList>
      <explain>〈副〉❶表示“已然”的否定：他还～回来｜天还～黑呢。❷表示“曾经”的否定：老张上个星期～回来过｜银行昨天～开门。</explain>
      <paraID>415970E2</paraID>
      <start>11</start>
      <end>14</end>
      <status>unmodified</status>
      <modifiedWord/>
      <trackRevisions>false</trackRevisions>
    </reviewItem>
    <reviewItem>
      <errorID>7c006bca-ba61-40d3-ac8c-400dc812fb44</errorID>
      <errorWord>~</errorWord>
      <group>L1_Format</group>
      <groupName>格式问题</groupName>
      <ability>L2_HalfPunc</ability>
      <abilityName>全半角检查</abilityName>
      <candidateList>
        <item>～</item>
      </candidateList>
      <explain>文本全半角错误。</explain>
      <paraID>7C0EAEC5</paraID>
      <start>77</start>
      <end>78</end>
      <status>unmodified</status>
      <modifiedWord/>
      <trackRevisions>false</trackRevisions>
    </reviewItem>
    <reviewItem>
      <errorID>b21a7cc2-e419-422a-bcd9-98e665e2ebad</errorID>
      <errorWord>（&gt;</errorWord>
      <group>L1_Punc</group>
      <groupName>标点问题</groupName>
      <ability>L2_Punc</ability>
      <abilityName>标点符号检查</abilityName>
      <candidateList>
        <item>（</item>
      </candidateList>
      <explain/>
      <paraID> 8D9802E</paraID>
      <start>16</start>
      <end>18</end>
      <status>unmodified</status>
      <modifiedWord/>
      <trackRevisions>false</trackRevisions>
    </reviewItem>
    <reviewItem>
      <errorID>39d321cc-39ff-43a1-aea3-068070479041</errorID>
      <errorWord>黏土</errorWord>
      <group>L1_Word</group>
      <groupName>字词问题</groupName>
      <ability>L2_Typo</ability>
      <abilityName>字词错误</abilityName>
      <candidateList>
        <item>粘土</item>
      </candidateList>
      <explain/>
      <paraID> 8D9802E</paraID>
      <start>57</start>
      <end>59</end>
      <status>unmodified</status>
      <modifiedWord/>
      <trackRevisions>false</trackRevisions>
    </reviewItem>
    <reviewItem>
      <errorID>73717347-c5fa-4e57-999a-626ef30c30ba</errorID>
      <errorWord>（&gt;</errorWord>
      <group>L1_Punc</group>
      <groupName>标点问题</groupName>
      <ability>L2_Punc</ability>
      <abilityName>标点符号检查</abilityName>
      <candidateList>
        <item>（</item>
      </candidateList>
      <explain/>
      <paraID> 8D9802E</paraID>
      <start>89</start>
      <end>91</end>
      <status>unmodified</status>
      <modifiedWord/>
      <trackRevisions>false</trackRevisions>
    </reviewItem>
    <reviewItem>
      <errorID>d99c5186-8107-4ddf-91e9-557721e4b643</errorID>
      <errorWord>根据水位监测结果表明</errorWord>
      <group>L1_Word</group>
      <groupName>字词问题</groupName>
      <ability>L2_Typo</ability>
      <abilityName>字词错误</abilityName>
      <candidateList>
        <item>根据水位监测</item>
      </candidateList>
      <explain/>
      <paraID>1454BB07</paraID>
      <start>45</start>
      <end>55</end>
      <status>unmodified</status>
      <modifiedWord/>
      <trackRevisions>false</trackRevisions>
    </reviewItem>
    <reviewItem>
      <errorID>314c4f08-a443-469a-9050-04884ac8fbf9</errorID>
      <errorWord>粘重</errorWord>
      <group>L1_Word</group>
      <groupName>字词问题</groupName>
      <ability>L2_Alias</ability>
      <abilityName>也作/曾用词</abilityName>
      <candidateList>
        <item>黏重</item>
      </candidateList>
      <explain>词汇[粘重]为不规范表述或旧称，其规范书面表述为[黏重]。</explain>
      <paraID>4E161670</paraID>
      <start>46</start>
      <end>48</end>
      <status>unmodified</status>
      <modifiedWord/>
      <trackRevisions>false</trackRevisions>
    </reviewItem>
    <reviewItem>
      <errorID>8f90d9ab-ee71-4da1-89fc-cfab85703408</errorID>
      <errorWord>祗</errorWord>
      <group>L1_Word</group>
      <groupName>字词问题</groupName>
      <ability>L2_Typo</ability>
      <abilityName>字词错误</abilityName>
      <candidateList>
        <item>只</item>
      </candidateList>
      <explain>存在发音相同字词的误用。</explain>
      <paraID>4E161670</paraID>
      <start>54</start>
      <end>55</end>
      <status>unmodified</status>
      <modifiedWord/>
      <trackRevisions>false</trackRevisions>
    </reviewItem>
    <reviewItem>
      <errorID>496e1e82-7232-499e-ab28-e862824776da</errorID>
      <errorWord>中、低产</errorWord>
      <group>L1_Punc</group>
      <groupName>标点问题</groupName>
      <ability>L2_Punc</ability>
      <abilityName>标点符号检查</abilityName>
      <candidateList>
        <item>中低产</item>
      </candidateList>
      <explain/>
      <paraID> 307C0D7</paraID>
      <start>83</start>
      <end>87</end>
      <status>unmodified</status>
      <modifiedWord/>
      <trackRevisions>false</trackRevisions>
    </reviewItem>
    <reviewItem>
      <errorID>c204578d-4ae3-4bda-9b94-8318daa9a857</errorID>
      <errorWord>、以及</errorWord>
      <group>L1_Punc</group>
      <groupName>标点问题</groupName>
      <ability>L2_Punc</ability>
      <abilityName>标点符号检查</abilityName>
      <candidateList>
        <item>，以及</item>
      </candidateList>
      <explain>连接词前后不宜使用顿号，建议使用逗号。</explain>
      <paraID>1FA79E42</paraID>
      <start>151</start>
      <end>154</end>
      <status>unmodified</status>
      <modifiedWord/>
      <trackRevisions>false</trackRevisions>
    </reviewItem>
    <reviewItem>
      <errorID>49c0ac0d-26f1-419c-8e72-90d284419318</errorID>
      <errorWord>来自于</errorWord>
      <group>L1_Word</group>
      <groupName>字词问题</groupName>
      <ability>L2_Typo</ability>
      <abilityName>字词错误</abilityName>
      <candidateList>
        <item>来自</item>
      </candidateList>
      <explain/>
      <paraID>4C75C857</paraID>
      <start>39</start>
      <end>42</end>
      <status>unmodified</status>
      <modifiedWord/>
      <trackRevisions>false</trackRevisions>
    </reviewItem>
    <reviewItem>
      <errorID>5ea6d0aa-2a20-4dbd-8515-a6cf0260eec6</errorID>
      <errorWord>地下水水位监测</errorWord>
      <group>L1_Knowledge</group>
      <groupName>知识性问题</groupName>
      <ability>L2_Term</ability>
      <abilityName>专业术语</abilityName>
      <candidateList>
        <item>地下水水质监测</item>
      </candidateList>
      <explain/>
      <paraID>135D79E9</paraID>
      <start>6</start>
      <end>13</end>
      <status>unmodified</status>
      <modifiedWord/>
      <trackRevisions>false</trackRevisions>
    </reviewItem>
    <reviewItem>
      <errorID>f8a52988-126b-494b-9060-b42bbfd6a069</errorID>
      <errorWord>，</errorWord>
      <group>L1_Format</group>
      <groupName>格式问题</groupName>
      <ability>L2_HalfPunc</ability>
      <abilityName>全半角检查</abilityName>
      <candidateList>
        <item>,</item>
      </candidateList>
      <explain>文本全半角错误。</explain>
      <paraID>3F809F03</paraID>
      <start>10</start>
      <end>11</end>
      <status>unmodified</status>
      <modifiedWord/>
      <trackRevisions>false</trackRevisions>
    </reviewItem>
    <reviewItem>
      <errorID>0cf1c847-b015-4a52-a378-c2aab871363a</errorID>
      <errorWord>，</errorWord>
      <group>L1_Format</group>
      <groupName>格式问题</groupName>
      <ability>L2_HalfPunc</ability>
      <abilityName>全半角检查</abilityName>
      <candidateList>
        <item>,</item>
      </candidateList>
      <explain>文本全半角错误。</explain>
      <paraID>14DC7B50</paraID>
      <start>10</start>
      <end>11</end>
      <status>unmodified</status>
      <modifiedWord/>
      <trackRevisions>false</trackRevisions>
    </reviewItem>
    <reviewItem>
      <errorID>0a114605-2a9f-442d-b3a0-88060d7e6dd1</errorID>
      <errorWord>，</errorWord>
      <group>L1_Format</group>
      <groupName>格式问题</groupName>
      <ability>L2_HalfPunc</ability>
      <abilityName>全半角检查</abilityName>
      <candidateList>
        <item>,</item>
      </candidateList>
      <explain>文本全半角错误。</explain>
      <paraID>2A88BEA5</paraID>
      <start>10</start>
      <end>11</end>
      <status>unmodified</status>
      <modifiedWord/>
      <trackRevisions>false</trackRevisions>
    </reviewItem>
    <reviewItem>
      <errorID>c5ee1629-9a74-47b1-984b-1507536e33ad</errorID>
      <errorWord>，</errorWord>
      <group>L1_Format</group>
      <groupName>格式问题</groupName>
      <ability>L2_HalfPunc</ability>
      <abilityName>全半角检查</abilityName>
      <candidateList>
        <item>,</item>
      </candidateList>
      <explain>文本全半角错误。</explain>
      <paraID>377B6E6F</paraID>
      <start>10</start>
      <end>11</end>
      <status>unmodified</status>
      <modifiedWord/>
      <trackRevisions>false</trackRevisions>
    </reviewItem>
    <reviewItem>
      <errorID>0e6d9230-a211-47e2-87dd-172f789a9a2b</errorID>
      <errorWord>，</errorWord>
      <group>L1_Format</group>
      <groupName>格式问题</groupName>
      <ability>L2_HalfPunc</ability>
      <abilityName>全半角检查</abilityName>
      <candidateList>
        <item>,</item>
      </candidateList>
      <explain>文本全半角错误。</explain>
      <paraID>6F3F592D</paraID>
      <start>10</start>
      <end>11</end>
      <status>unmodified</status>
      <modifiedWord/>
      <trackRevisions>false</trackRevisions>
    </reviewItem>
    <reviewItem>
      <errorID>fd144409-ae25-4590-b261-23097e5abd45</errorID>
      <errorWord>，</errorWord>
      <group>L1_Format</group>
      <groupName>格式问题</groupName>
      <ability>L2_HalfPunc</ability>
      <abilityName>全半角检查</abilityName>
      <candidateList>
        <item>,</item>
      </candidateList>
      <explain>文本全半角错误。</explain>
      <paraID>5E36349C</paraID>
      <start>10</start>
      <end>11</end>
      <status>unmodified</status>
      <modifiedWord/>
      <trackRevisions>false</trackRevisions>
    </reviewItem>
    <reviewItem>
      <errorID>f5f7f36c-e7fe-4741-939e-50fe866ba247</errorID>
      <errorWord>，</errorWord>
      <group>L1_Format</group>
      <groupName>格式问题</groupName>
      <ability>L2_HalfPunc</ability>
      <abilityName>全半角检查</abilityName>
      <candidateList>
        <item>,</item>
      </candidateList>
      <explain>文本全半角错误。</explain>
      <paraID>1005FEB5</paraID>
      <start>10</start>
      <end>11</end>
      <status>unmodified</status>
      <modifiedWord/>
      <trackRevisions>false</trackRevisions>
    </reviewItem>
    <reviewItem>
      <errorID>09a4b1a2-851e-4098-8226-ec2f46b9ad75</errorID>
      <errorWord>，</errorWord>
      <group>L1_Format</group>
      <groupName>格式问题</groupName>
      <ability>L2_HalfPunc</ability>
      <abilityName>全半角检查</abilityName>
      <candidateList>
        <item>,</item>
      </candidateList>
      <explain>文本全半角错误。</explain>
      <paraID>75C21568</paraID>
      <start>10</start>
      <end>11</end>
      <status>unmodified</status>
      <modifiedWord/>
      <trackRevisions>false</trackRevisions>
    </reviewItem>
    <reviewItem>
      <errorID>1156c559-0efa-48d9-af46-c5f38ae6d9f1</errorID>
      <errorWord>，</errorWord>
      <group>L1_Format</group>
      <groupName>格式问题</groupName>
      <ability>L2_HalfPunc</ability>
      <abilityName>全半角检查</abilityName>
      <candidateList>
        <item>,</item>
      </candidateList>
      <explain>文本全半角错误。</explain>
      <paraID>6D4A3ACE</paraID>
      <start>10</start>
      <end>11</end>
      <status>unmodified</status>
      <modifiedWord/>
      <trackRevisions>false</trackRevisions>
    </reviewItem>
    <reviewItem>
      <errorID>06424d20-8965-42e4-b37a-4220e0cc8adc</errorID>
      <errorWord>，</errorWord>
      <group>L1_Format</group>
      <groupName>格式问题</groupName>
      <ability>L2_HalfPunc</ability>
      <abilityName>全半角检查</abilityName>
      <candidateList>
        <item>,</item>
      </candidateList>
      <explain>文本全半角错误。</explain>
      <paraID>59D874B5</paraID>
      <start>10</start>
      <end>11</end>
      <status>unmodified</status>
      <modifiedWord/>
      <trackRevisions>false</trackRevisions>
    </reviewItem>
    <reviewItem>
      <errorID>b87e05e8-d96a-4ec0-9dc3-bc86e02d332c</errorID>
      <errorWord>，</errorWord>
      <group>L1_Format</group>
      <groupName>格式问题</groupName>
      <ability>L2_HalfPunc</ability>
      <abilityName>全半角检查</abilityName>
      <candidateList>
        <item>,</item>
      </candidateList>
      <explain>文本全半角错误。</explain>
      <paraID> 1FFE191</paraID>
      <start>10</start>
      <end>11</end>
      <status>unmodified</status>
      <modifiedWord/>
      <trackRevisions>false</trackRevisions>
    </reviewItem>
    <reviewItem>
      <errorID>1af18865-02a4-4399-835c-7cc9169f7e4e</errorID>
      <errorWord>，</errorWord>
      <group>L1_Format</group>
      <groupName>格式问题</groupName>
      <ability>L2_HalfPunc</ability>
      <abilityName>全半角检查</abilityName>
      <candidateList>
        <item>,</item>
      </candidateList>
      <explain>文本全半角错误。</explain>
      <paraID>3827CBF4</paraID>
      <start>10</start>
      <end>11</end>
      <status>unmodified</status>
      <modifiedWord/>
      <trackRevisions>false</trackRevisions>
    </reviewItem>
    <reviewItem>
      <errorID>8ec17d09-1c84-4c16-a4d9-7609484df169</errorID>
      <errorWord>，</errorWord>
      <group>L1_Format</group>
      <groupName>格式问题</groupName>
      <ability>L2_HalfPunc</ability>
      <abilityName>全半角检查</abilityName>
      <candidateList>
        <item>,</item>
      </candidateList>
      <explain>文本全半角错误。</explain>
      <paraID> A1E20FB</paraID>
      <start>10</start>
      <end>11</end>
      <status>unmodified</status>
      <modifiedWord/>
      <trackRevisions>false</trackRevisions>
    </reviewItem>
    <reviewItem>
      <errorID>e1d029d2-a0fc-489f-9f15-f7e50d8c7d2c</errorID>
      <errorWord>，</errorWord>
      <group>L1_Format</group>
      <groupName>格式问题</groupName>
      <ability>L2_HalfPunc</ability>
      <abilityName>全半角检查</abilityName>
      <candidateList>
        <item>,</item>
      </candidateList>
      <explain>文本全半角错误。</explain>
      <paraID>6848DBDD</paraID>
      <start>10</start>
      <end>11</end>
      <status>unmodified</status>
      <modifiedWord/>
      <trackRevisions>false</trackRevisions>
    </reviewItem>
    <reviewItem>
      <errorID>93939912-6aab-4ffe-b1ac-94f960e705c3</errorID>
      <errorWord>，</errorWord>
      <group>L1_Format</group>
      <groupName>格式问题</groupName>
      <ability>L2_HalfPunc</ability>
      <abilityName>全半角检查</abilityName>
      <candidateList>
        <item>,</item>
      </candidateList>
      <explain>文本全半角错误。</explain>
      <paraID>47EB3154</paraID>
      <start>10</start>
      <end>11</end>
      <status>unmodified</status>
      <modifiedWord/>
      <trackRevisions>false</trackRevisions>
    </reviewItem>
    <reviewItem>
      <errorID>8fa31af6-35ac-44d3-a138-97ed3c532d5d</errorID>
      <errorWord>，</errorWord>
      <group>L1_Format</group>
      <groupName>格式问题</groupName>
      <ability>L2_HalfPunc</ability>
      <abilityName>全半角检查</abilityName>
      <candidateList>
        <item>,</item>
      </candidateList>
      <explain>文本全半角错误。</explain>
      <paraID>2FC75B47</paraID>
      <start>10</start>
      <end>11</end>
      <status>unmodified</status>
      <modifiedWord/>
      <trackRevisions>false</trackRevisions>
    </reviewItem>
    <reviewItem>
      <errorID>59e342e7-11ae-462f-a757-0e782a68f54c</errorID>
      <errorWord>，</errorWord>
      <group>L1_Format</group>
      <groupName>格式问题</groupName>
      <ability>L2_HalfPunc</ability>
      <abilityName>全半角检查</abilityName>
      <candidateList>
        <item>,</item>
      </candidateList>
      <explain>文本全半角错误。</explain>
      <paraID>47A2FF43</paraID>
      <start>10</start>
      <end>11</end>
      <status>unmodified</status>
      <modifiedWord/>
      <trackRevisions>false</trackRevisions>
    </reviewItem>
    <reviewItem>
      <errorID>43b252e5-31f3-42f0-84a5-89341602a802</errorID>
      <errorWord>，</errorWord>
      <group>L1_Format</group>
      <groupName>格式问题</groupName>
      <ability>L2_HalfPunc</ability>
      <abilityName>全半角检查</abilityName>
      <candidateList>
        <item>,</item>
      </candidateList>
      <explain>文本全半角错误。</explain>
      <paraID>47AD19B8</paraID>
      <start>10</start>
      <end>11</end>
      <status>unmodified</status>
      <modifiedWord/>
      <trackRevisions>false</trackRevisions>
    </reviewItem>
    <reviewItem>
      <errorID>a574f6d1-f4ab-473e-bc40-996c594e340a</errorID>
      <errorWord>，</errorWord>
      <group>L1_Format</group>
      <groupName>格式问题</groupName>
      <ability>L2_HalfPunc</ability>
      <abilityName>全半角检查</abilityName>
      <candidateList>
        <item>,</item>
      </candidateList>
      <explain>文本全半角错误。</explain>
      <paraID>2735C678</paraID>
      <start>10</start>
      <end>11</end>
      <status>unmodified</status>
      <modifiedWord/>
      <trackRevisions>false</trackRevisions>
    </reviewItem>
    <reviewItem>
      <errorID>1b1e2fc7-a1a9-44fe-a306-655514579a4d</errorID>
      <errorWord>，</errorWord>
      <group>L1_Format</group>
      <groupName>格式问题</groupName>
      <ability>L2_HalfPunc</ability>
      <abilityName>全半角检查</abilityName>
      <candidateList>
        <item>,</item>
      </candidateList>
      <explain>文本全半角错误。</explain>
      <paraID>48409497</paraID>
      <start>10</start>
      <end>11</end>
      <status>unmodified</status>
      <modifiedWord/>
      <trackRevisions>false</trackRevisions>
    </reviewItem>
    <reviewItem>
      <errorID>a90a1fd5-8d58-4dc0-9ac7-9e1121327d87</errorID>
      <errorWord>，</errorWord>
      <group>L1_Format</group>
      <groupName>格式问题</groupName>
      <ability>L2_HalfPunc</ability>
      <abilityName>全半角检查</abilityName>
      <candidateList>
        <item>,</item>
      </candidateList>
      <explain>文本全半角错误。</explain>
      <paraID>2DC70D2F</paraID>
      <start>10</start>
      <end>11</end>
      <status>unmodified</status>
      <modifiedWord/>
      <trackRevisions>false</trackRevisions>
    </reviewItem>
    <reviewItem>
      <errorID>fd7df187-03a2-4e36-9fbb-05409e6308ad</errorID>
      <errorWord>（</errorWord>
      <group>L1_Format</group>
      <groupName>格式问题</groupName>
      <ability>L2_HalfPunc</ability>
      <abilityName>全半角检查</abilityName>
      <candidateList>
        <item>(</item>
      </candidateList>
      <explain>文本全半角错误。</explain>
      <paraID>4DAF32A7</paraID>
      <start>2</start>
      <end>3</end>
      <status>unmodified</status>
      <modifiedWord/>
      <trackRevisions>false</trackRevisions>
    </reviewItem>
    <reviewItem>
      <errorID>13b9762a-4e52-4177-a3b2-6fd7262bd565</errorID>
      <errorWord>）</errorWord>
      <group>L1_Format</group>
      <groupName>格式问题</groupName>
      <ability>L2_HalfPunc</ability>
      <abilityName>全半角检查</abilityName>
      <candidateList>
        <item>)</item>
      </candidateList>
      <explain>文本全半角错误。</explain>
      <paraID>4DAF32A7</paraID>
      <start>7</start>
      <end>8</end>
      <status>unmodified</status>
      <modifiedWord/>
      <trackRevisions>false</trackRevisions>
    </reviewItem>
    <reviewItem>
      <errorID>6c1f09bc-9835-4879-bada-fb94e94d0964</errorID>
      <errorWord>（</errorWord>
      <group>L1_Format</group>
      <groupName>格式问题</groupName>
      <ability>L2_HalfPunc</ability>
      <abilityName>全半角检查</abilityName>
      <candidateList>
        <item>(</item>
      </candidateList>
      <explain>文本全半角错误。</explain>
      <paraID>7F7E4274</paraID>
      <start>3</start>
      <end>4</end>
      <status>unmodified</status>
      <modifiedWord/>
      <trackRevisions>false</trackRevisions>
    </reviewItem>
    <reviewItem>
      <errorID>104e5c01-7a80-4eaf-87e1-c5c565282300</errorID>
      <errorWord>）</errorWord>
      <group>L1_Format</group>
      <groupName>格式问题</groupName>
      <ability>L2_HalfPunc</ability>
      <abilityName>全半角检查</abilityName>
      <candidateList>
        <item>)</item>
      </candidateList>
      <explain>文本全半角错误。</explain>
      <paraID>7F7E4274</paraID>
      <start>8</start>
      <end>9</end>
      <status>unmodified</status>
      <modifiedWord/>
      <trackRevisions>false</trackRevisions>
    </reviewItem>
    <reviewItem>
      <errorID>311e964e-b37c-46b8-a1eb-e339d1847462</errorID>
      <errorWord>（</errorWord>
      <group>L1_Format</group>
      <groupName>格式问题</groupName>
      <ability>L2_HalfPunc</ability>
      <abilityName>全半角检查</abilityName>
      <candidateList>
        <item>(</item>
      </candidateList>
      <explain>文本全半角错误。</explain>
      <paraID>1585F76D</paraID>
      <start>4</start>
      <end>5</end>
      <status>unmodified</status>
      <modifiedWord/>
      <trackRevisions>false</trackRevisions>
    </reviewItem>
    <reviewItem>
      <errorID>2180f75c-0a8a-43e8-9626-77efa5a1c42b</errorID>
      <errorWord>）</errorWord>
      <group>L1_Format</group>
      <groupName>格式问题</groupName>
      <ability>L2_HalfPunc</ability>
      <abilityName>全半角检查</abilityName>
      <candidateList>
        <item>)</item>
      </candidateList>
      <explain>文本全半角错误。</explain>
      <paraID>1585F76D</paraID>
      <start>9</start>
      <end>10</end>
      <status>unmodified</status>
      <modifiedWord/>
      <trackRevisions>false</trackRevisions>
    </reviewItem>
    <reviewItem>
      <errorID>110b3917-8df1-49b7-be35-79f97b9a4ca3</errorID>
      <errorWord>（</errorWord>
      <group>L1_Format</group>
      <groupName>格式问题</groupName>
      <ability>L2_HalfPunc</ability>
      <abilityName>全半角检查</abilityName>
      <candidateList>
        <item>(</item>
      </candidateList>
      <explain>文本全半角错误。</explain>
      <paraID>1D7254DE</paraID>
      <start>4</start>
      <end>5</end>
      <status>unmodified</status>
      <modifiedWord/>
      <trackRevisions>false</trackRevisions>
    </reviewItem>
    <reviewItem>
      <errorID>a8b73b3e-e9a5-4ddc-92ae-08f223382162</errorID>
      <errorWord>）</errorWord>
      <group>L1_Format</group>
      <groupName>格式问题</groupName>
      <ability>L2_HalfPunc</ability>
      <abilityName>全半角检查</abilityName>
      <candidateList>
        <item>)</item>
      </candidateList>
      <explain>文本全半角错误。</explain>
      <paraID>1D7254DE</paraID>
      <start>9</start>
      <end>10</end>
      <status>unmodified</status>
      <modifiedWord/>
      <trackRevisions>false</trackRevisions>
    </reviewItem>
    <reviewItem>
      <errorID>ed362d54-8beb-4a9c-9a4e-83a97a416cc9</errorID>
      <errorWord>（</errorWord>
      <group>L1_Format</group>
      <groupName>格式问题</groupName>
      <ability>L2_HalfPunc</ability>
      <abilityName>全半角检查</abilityName>
      <candidateList>
        <item>(</item>
      </candidateList>
      <explain>文本全半角错误。</explain>
      <paraID>79335DDC</paraID>
      <start>5</start>
      <end>6</end>
      <status>unmodified</status>
      <modifiedWord/>
      <trackRevisions>false</trackRevisions>
    </reviewItem>
    <reviewItem>
      <errorID>dc1b1247-2240-44d4-be4c-e4aa874e6ea8</errorID>
      <errorWord>）</errorWord>
      <group>L1_Format</group>
      <groupName>格式问题</groupName>
      <ability>L2_HalfPunc</ability>
      <abilityName>全半角检查</abilityName>
      <candidateList>
        <item>)</item>
      </candidateList>
      <explain>文本全半角错误。</explain>
      <paraID>79335DDC</paraID>
      <start>10</start>
      <end>11</end>
      <status>unmodified</status>
      <modifiedWord/>
      <trackRevisions>false</trackRevisions>
    </reviewItem>
    <reviewItem>
      <errorID>28a078a1-e055-4a55-80c9-af798e96ac1d</errorID>
      <errorWord>（</errorWord>
      <group>L1_Format</group>
      <groupName>格式问题</groupName>
      <ability>L2_HalfPunc</ability>
      <abilityName>全半角检查</abilityName>
      <candidateList>
        <item>(</item>
      </candidateList>
      <explain>文本全半角错误。</explain>
      <paraID>451AC6AF</paraID>
      <start>5</start>
      <end>6</end>
      <status>unmodified</status>
      <modifiedWord/>
      <trackRevisions>false</trackRevisions>
    </reviewItem>
    <reviewItem>
      <errorID>b64732f1-802f-42cf-a157-bb8f96b69029</errorID>
      <errorWord>）</errorWord>
      <group>L1_Format</group>
      <groupName>格式问题</groupName>
      <ability>L2_HalfPunc</ability>
      <abilityName>全半角检查</abilityName>
      <candidateList>
        <item>)</item>
      </candidateList>
      <explain>文本全半角错误。</explain>
      <paraID>451AC6AF</paraID>
      <start>10</start>
      <end>11</end>
      <status>unmodified</status>
      <modifiedWord/>
      <trackRevisions>false</trackRevisions>
    </reviewItem>
    <reviewItem>
      <errorID>086763be-86a8-48d7-8497-2b74da7c0d9a</errorID>
      <errorWord>（</errorWord>
      <group>L1_Format</group>
      <groupName>格式问题</groupName>
      <ability>L2_HalfPunc</ability>
      <abilityName>全半角检查</abilityName>
      <candidateList>
        <item>(</item>
      </candidateList>
      <explain>文本全半角错误。</explain>
      <paraID>3E1877D4</paraID>
      <start>3</start>
      <end>4</end>
      <status>unmodified</status>
      <modifiedWord/>
      <trackRevisions>false</trackRevisions>
    </reviewItem>
    <reviewItem>
      <errorID>38a2e127-60f2-495e-a17c-65feef9ccac3</errorID>
      <errorWord>）</errorWord>
      <group>L1_Format</group>
      <groupName>格式问题</groupName>
      <ability>L2_HalfPunc</ability>
      <abilityName>全半角检查</abilityName>
      <candidateList>
        <item>)</item>
      </candidateList>
      <explain>文本全半角错误。</explain>
      <paraID>3E1877D4</paraID>
      <start>8</start>
      <end>9</end>
      <status>unmodified</status>
      <modifiedWord/>
      <trackRevisions>false</trackRevisions>
    </reviewItem>
    <reviewItem>
      <errorID>a5f5365f-0460-4e4b-821e-abd9ddd8b6dc</errorID>
      <errorWord>（</errorWord>
      <group>L1_Format</group>
      <groupName>格式问题</groupName>
      <ability>L2_HalfPunc</ability>
      <abilityName>全半角检查</abilityName>
      <candidateList>
        <item>(</item>
      </candidateList>
      <explain>文本全半角错误。</explain>
      <paraID>6F4569F5</paraID>
      <start>5</start>
      <end>6</end>
      <status>unmodified</status>
      <modifiedWord/>
      <trackRevisions>false</trackRevisions>
    </reviewItem>
    <reviewItem>
      <errorID>9d9b6921-6931-47be-a346-3f9e307a1e72</errorID>
      <errorWord>）</errorWord>
      <group>L1_Format</group>
      <groupName>格式问题</groupName>
      <ability>L2_HalfPunc</ability>
      <abilityName>全半角检查</abilityName>
      <candidateList>
        <item>)</item>
      </candidateList>
      <explain>文本全半角错误。</explain>
      <paraID>6F4569F5</paraID>
      <start>10</start>
      <end>11</end>
      <status>unmodified</status>
      <modifiedWord/>
      <trackRevisions>false</trackRevisions>
    </reviewItem>
    <reviewItem>
      <errorID>f404d616-5a07-41a7-b2b8-a00ec0f997d8</errorID>
      <errorWord>II类</errorWord>
      <group>L1_Knowledge</group>
      <groupName>知识性问题</groupName>
      <ability>L2_Knowledge</ability>
      <abilityName>其他知识</abilityName>
      <candidateList>
        <item>Ⅱ类</item>
      </candidateList>
      <explain/>
      <paraID>45CF99F8</paraID>
      <start>97</start>
      <end>100</end>
      <status>unmodified</status>
      <modifiedWord/>
      <trackRevisions>false</trackRevisions>
    </reviewItem>
    <reviewItem>
      <errorID>333699c2-04f1-4fca-9bb7-37b4dca31cc7</errorID>
      <errorWord>III类</errorWord>
      <group>L1_Knowledge</group>
      <groupName>知识性问题</groupName>
      <ability>L2_Knowledge</ability>
      <abilityName>其他知识</abilityName>
      <candidateList>
        <item>Ⅲ类</item>
      </candidateList>
      <explain/>
      <paraID>23A16913</paraID>
      <start>48</start>
      <end>52</end>
      <status>unmodified</status>
      <modifiedWord/>
      <trackRevisions>false</trackRevisions>
    </reviewItem>
    <reviewItem>
      <errorID>7e3ad8af-0e91-428f-8445-1dfa3d0a1bf8</errorID>
      <errorWord>II类</errorWord>
      <group>L1_Knowledge</group>
      <groupName>知识性问题</groupName>
      <ability>L2_Knowledge</ability>
      <abilityName>其他知识</abilityName>
      <candidateList>
        <item>Ⅱ类</item>
      </candidateList>
      <explain/>
      <paraID>23A16913</paraID>
      <start>87</start>
      <end>90</end>
      <status>unmodified</status>
      <modifiedWord/>
      <trackRevisions>false</trackRevisions>
    </reviewItem>
    <reviewItem>
      <errorID>aa68f0df-b094-4c23-ac15-f138e0bd8db9</errorID>
      <errorWord>－</errorWord>
      <group>L1_Format</group>
      <groupName>格式问题</groupName>
      <ability>L2_HalfPunc</ability>
      <abilityName>全半角检查</abilityName>
      <candidateList>
        <item>-</item>
      </candidateList>
      <explain>文本全半角错误。</explain>
      <paraID>69A44FB8</paraID>
      <start>4</start>
      <end>5</end>
      <status>unmodified</status>
      <modifiedWord/>
      <trackRevisions>false</trackRevisions>
    </reviewItem>
    <reviewItem>
      <errorID>82806618-1b25-4d41-b3de-daab75983921</errorID>
      <errorWord>－</errorWord>
      <group>L1_Format</group>
      <groupName>格式问题</groupName>
      <ability>L2_HalfPunc</ability>
      <abilityName>全半角检查</abilityName>
      <candidateList>
        <item>-</item>
      </candidateList>
      <explain>文本全半角错误。</explain>
      <paraID>47BA4103</paraID>
      <start>4</start>
      <end>5</end>
      <status>unmodified</status>
      <modifiedWord/>
      <trackRevisions>false</trackRevisions>
    </reviewItem>
    <reviewItem>
      <errorID>48070ba0-2b4d-4977-8503-9261cc276cd4</errorID>
      <errorWord>＋</errorWord>
      <group>L1_Format</group>
      <groupName>格式问题</groupName>
      <ability>L2_HalfPunc</ability>
      <abilityName>全半角检查</abilityName>
      <candidateList>
        <item>+</item>
      </candidateList>
      <explain>文本全半角错误。</explain>
      <paraID>2B93B90C</paraID>
      <start>3</start>
      <end>4</end>
      <status>unmodified</status>
      <modifiedWord/>
      <trackRevisions>false</trackRevisions>
    </reviewItem>
    <reviewItem>
      <errorID>4499c422-79f0-4698-aa81-4863ef6d69f6</errorID>
      <errorWord>＋</errorWord>
      <group>L1_Format</group>
      <groupName>格式问题</groupName>
      <ability>L2_HalfPunc</ability>
      <abilityName>全半角检查</abilityName>
      <candidateList>
        <item>+</item>
      </candidateList>
      <explain>文本全半角错误。</explain>
      <paraID>4E564D83</paraID>
      <start>3</start>
      <end>4</end>
      <status>unmodified</status>
      <modifiedWord/>
      <trackRevisions>false</trackRevisions>
    </reviewItem>
    <reviewItem>
      <errorID>e1c2a0a5-9edb-4d9a-8730-e210cb546b57</errorID>
      <errorWord>－</errorWord>
      <group>L1_Format</group>
      <groupName>格式问题</groupName>
      <ability>L2_HalfPunc</ability>
      <abilityName>全半角检查</abilityName>
      <candidateList>
        <item>-</item>
      </candidateList>
      <explain>文本全半角错误。</explain>
      <paraID>61EBE338</paraID>
      <start>2</start>
      <end>3</end>
      <status>unmodified</status>
      <modifiedWord/>
      <trackRevisions>false</trackRevisions>
    </reviewItem>
    <reviewItem>
      <errorID>42cbeed1-401f-46bb-8565-68a3761e653d</errorID>
      <errorWord>－</errorWord>
      <group>L1_Format</group>
      <groupName>格式问题</groupName>
      <ability>L2_HalfPunc</ability>
      <abilityName>全半角检查</abilityName>
      <candidateList>
        <item>-</item>
      </candidateList>
      <explain>文本全半角错误。</explain>
      <paraID>32B6DCE8</paraID>
      <start>4</start>
      <end>5</end>
      <status>unmodified</status>
      <modifiedWord/>
      <trackRevisions>false</trackRevisions>
    </reviewItem>
    <reviewItem>
      <errorID>63162f82-48b3-41bd-be4b-76e6e8dff861</errorID>
      <errorWord>＋</errorWord>
      <group>L1_Format</group>
      <groupName>格式问题</groupName>
      <ability>L2_HalfPunc</ability>
      <abilityName>全半角检查</abilityName>
      <candidateList>
        <item>+</item>
      </candidateList>
      <explain>文本全半角错误。</explain>
      <paraID>35256422</paraID>
      <start>1</start>
      <end>2</end>
      <status>unmodified</status>
      <modifiedWord/>
      <trackRevisions>false</trackRevisions>
    </reviewItem>
    <reviewItem>
      <errorID>10f09741-3830-4cf1-ae82-bb85bffa099f</errorID>
      <errorWord>＋</errorWord>
      <group>L1_Format</group>
      <groupName>格式问题</groupName>
      <ability>L2_HalfPunc</ability>
      <abilityName>全半角检查</abilityName>
      <candidateList>
        <item>+</item>
      </candidateList>
      <explain>文本全半角错误。</explain>
      <paraID>497D66B9</paraID>
      <start>2</start>
      <end>3</end>
      <status>unmodified</status>
      <modifiedWord/>
      <trackRevisions>false</trackRevisions>
    </reviewItem>
    <reviewItem>
      <errorID>20f6d712-4723-4b68-88dd-ff3c8e294bac</errorID>
      <errorWord>－</errorWord>
      <group>L1_Format</group>
      <groupName>格式问题</groupName>
      <ability>L2_HalfPunc</ability>
      <abilityName>全半角检查</abilityName>
      <candidateList>
        <item>-</item>
      </candidateList>
      <explain>文本全半角错误。</explain>
      <paraID>50955D42</paraID>
      <start>4</start>
      <end>5</end>
      <status>unmodified</status>
      <modifiedWord/>
      <trackRevisions>false</trackRevisions>
    </reviewItem>
    <reviewItem>
      <errorID>58dd6a8d-0340-428e-9749-fc14a2e80bd5</errorID>
      <errorWord>－</errorWord>
      <group>L1_Format</group>
      <groupName>格式问题</groupName>
      <ability>L2_HalfPunc</ability>
      <abilityName>全半角检查</abilityName>
      <candidateList>
        <item>-</item>
      </candidateList>
      <explain>文本全半角错误。</explain>
      <paraID>63F2019A</paraID>
      <start>4</start>
      <end>5</end>
      <status>unmodified</status>
      <modifiedWord/>
      <trackRevisions>false</trackRevisions>
    </reviewItem>
    <reviewItem>
      <errorID>e6d97740-c22e-4e7c-a2f5-ecb81ee25fa2</errorID>
      <errorWord>＋</errorWord>
      <group>L1_Format</group>
      <groupName>格式问题</groupName>
      <ability>L2_HalfPunc</ability>
      <abilityName>全半角检查</abilityName>
      <candidateList>
        <item>+</item>
      </candidateList>
      <explain>文本全半角错误。</explain>
      <paraID>478F6152</paraID>
      <start>3</start>
      <end>4</end>
      <status>unmodified</status>
      <modifiedWord/>
      <trackRevisions>false</trackRevisions>
    </reviewItem>
    <reviewItem>
      <errorID>4c26ff62-886b-4db8-a240-5b4484807296</errorID>
      <errorWord>＋</errorWord>
      <group>L1_Format</group>
      <groupName>格式问题</groupName>
      <ability>L2_HalfPunc</ability>
      <abilityName>全半角检查</abilityName>
      <candidateList>
        <item>+</item>
      </candidateList>
      <explain>文本全半角错误。</explain>
      <paraID>7CD2A994</paraID>
      <start>3</start>
      <end>4</end>
      <status>unmodified</status>
      <modifiedWord/>
      <trackRevisions>false</trackRevisions>
    </reviewItem>
    <reviewItem>
      <errorID>020bc8e7-a528-4107-b317-602a428cb8f8</errorID>
      <errorWord>－</errorWord>
      <group>L1_Format</group>
      <groupName>格式问题</groupName>
      <ability>L2_HalfPunc</ability>
      <abilityName>全半角检查</abilityName>
      <candidateList>
        <item>-</item>
      </candidateList>
      <explain>文本全半角错误。</explain>
      <paraID>34659C19</paraID>
      <start>2</start>
      <end>3</end>
      <status>unmodified</status>
      <modifiedWord/>
      <trackRevisions>false</trackRevisions>
    </reviewItem>
    <reviewItem>
      <errorID>bd6d2291-232f-4b5a-87b9-203d3e036753</errorID>
      <errorWord>－</errorWord>
      <group>L1_Format</group>
      <groupName>格式问题</groupName>
      <ability>L2_HalfPunc</ability>
      <abilityName>全半角检查</abilityName>
      <candidateList>
        <item>-</item>
      </candidateList>
      <explain>文本全半角错误。</explain>
      <paraID>177862F5</paraID>
      <start>4</start>
      <end>5</end>
      <status>unmodified</status>
      <modifiedWord/>
      <trackRevisions>false</trackRevisions>
    </reviewItem>
    <reviewItem>
      <errorID>e019ca68-9b0f-48a2-8ccb-254ccd3dac01</errorID>
      <errorWord>＋</errorWord>
      <group>L1_Format</group>
      <groupName>格式问题</groupName>
      <ability>L2_HalfPunc</ability>
      <abilityName>全半角检查</abilityName>
      <candidateList>
        <item>+</item>
      </candidateList>
      <explain>文本全半角错误。</explain>
      <paraID>31C94F95</paraID>
      <start>1</start>
      <end>2</end>
      <status>unmodified</status>
      <modifiedWord/>
      <trackRevisions>false</trackRevisions>
    </reviewItem>
    <reviewItem>
      <errorID>38135d8d-8a15-4495-a3ca-baa929ad992a</errorID>
      <errorWord>＋</errorWord>
      <group>L1_Format</group>
      <groupName>格式问题</groupName>
      <ability>L2_HalfPunc</ability>
      <abilityName>全半角检查</abilityName>
      <candidateList>
        <item>+</item>
      </candidateList>
      <explain>文本全半角错误。</explain>
      <paraID>10A5BF52</paraID>
      <start>2</start>
      <end>3</end>
      <status>unmodified</status>
      <modifiedWord/>
      <trackRevisions>false</trackRevisions>
    </reviewItem>
    <reviewItem>
      <errorID>5de90bef-7414-445c-8736-cbb72ad784a2</errorID>
      <errorWord>－</errorWord>
      <group>L1_Format</group>
      <groupName>格式问题</groupName>
      <ability>L2_HalfPunc</ability>
      <abilityName>全半角检查</abilityName>
      <candidateList>
        <item>-</item>
      </candidateList>
      <explain>文本全半角错误。</explain>
      <paraID>2FD2436B</paraID>
      <start>4</start>
      <end>5</end>
      <status>unmodified</status>
      <modifiedWord/>
      <trackRevisions>false</trackRevisions>
    </reviewItem>
    <reviewItem>
      <errorID>37a69b4f-7f96-4969-8f74-b9eb512eb248</errorID>
      <errorWord>－</errorWord>
      <group>L1_Format</group>
      <groupName>格式问题</groupName>
      <ability>L2_HalfPunc</ability>
      <abilityName>全半角检查</abilityName>
      <candidateList>
        <item>-</item>
      </candidateList>
      <explain>文本全半角错误。</explain>
      <paraID>6E78BE91</paraID>
      <start>4</start>
      <end>5</end>
      <status>unmodified</status>
      <modifiedWord/>
      <trackRevisions>false</trackRevisions>
    </reviewItem>
    <reviewItem>
      <errorID>ee4eb918-6a28-4c7a-8ecf-d571d559b912</errorID>
      <errorWord>＋</errorWord>
      <group>L1_Format</group>
      <groupName>格式问题</groupName>
      <ability>L2_HalfPunc</ability>
      <abilityName>全半角检查</abilityName>
      <candidateList>
        <item>+</item>
      </candidateList>
      <explain>文本全半角错误。</explain>
      <paraID>4069DDEC</paraID>
      <start>3</start>
      <end>4</end>
      <status>unmodified</status>
      <modifiedWord/>
      <trackRevisions>false</trackRevisions>
    </reviewItem>
    <reviewItem>
      <errorID>54229617-19d1-4129-9837-a91d187a42af</errorID>
      <errorWord>＋</errorWord>
      <group>L1_Format</group>
      <groupName>格式问题</groupName>
      <ability>L2_HalfPunc</ability>
      <abilityName>全半角检查</abilityName>
      <candidateList>
        <item>+</item>
      </candidateList>
      <explain>文本全半角错误。</explain>
      <paraID>5E35CF9A</paraID>
      <start>3</start>
      <end>4</end>
      <status>unmodified</status>
      <modifiedWord/>
      <trackRevisions>false</trackRevisions>
    </reviewItem>
    <reviewItem>
      <errorID>f8f318d2-c227-4039-84b8-368df264d427</errorID>
      <errorWord>－</errorWord>
      <group>L1_Format</group>
      <groupName>格式问题</groupName>
      <ability>L2_HalfPunc</ability>
      <abilityName>全半角检查</abilityName>
      <candidateList>
        <item>-</item>
      </candidateList>
      <explain>文本全半角错误。</explain>
      <paraID>47E5FC32</paraID>
      <start>2</start>
      <end>3</end>
      <status>unmodified</status>
      <modifiedWord/>
      <trackRevisions>false</trackRevisions>
    </reviewItem>
    <reviewItem>
      <errorID>53d264e1-57e6-41d0-b3f3-99738957fa79</errorID>
      <errorWord>－</errorWord>
      <group>L1_Format</group>
      <groupName>格式问题</groupName>
      <ability>L2_HalfPunc</ability>
      <abilityName>全半角检查</abilityName>
      <candidateList>
        <item>-</item>
      </candidateList>
      <explain>文本全半角错误。</explain>
      <paraID>10370453</paraID>
      <start>4</start>
      <end>5</end>
      <status>unmodified</status>
      <modifiedWord/>
      <trackRevisions>false</trackRevisions>
    </reviewItem>
    <reviewItem>
      <errorID>f64fac36-b6d0-4ec5-a48e-3d1b0e89ee29</errorID>
      <errorWord>＋</errorWord>
      <group>L1_Format</group>
      <groupName>格式问题</groupName>
      <ability>L2_HalfPunc</ability>
      <abilityName>全半角检查</abilityName>
      <candidateList>
        <item>+</item>
      </candidateList>
      <explain>文本全半角错误。</explain>
      <paraID>3CAA0F2B</paraID>
      <start>1</start>
      <end>2</end>
      <status>unmodified</status>
      <modifiedWord/>
      <trackRevisions>false</trackRevisions>
    </reviewItem>
    <reviewItem>
      <errorID>0532dbd9-1235-4b07-a1d1-8fe37fd457f3</errorID>
      <errorWord>＋</errorWord>
      <group>L1_Format</group>
      <groupName>格式问题</groupName>
      <ability>L2_HalfPunc</ability>
      <abilityName>全半角检查</abilityName>
      <candidateList>
        <item>+</item>
      </candidateList>
      <explain>文本全半角错误。</explain>
      <paraID>447A272D</paraID>
      <start>2</start>
      <end>3</end>
      <status>unmodified</status>
      <modifiedWord/>
      <trackRevisions>false</trackRevisions>
    </reviewItem>
    <reviewItem>
      <errorID>1b1c5add-a823-4963-8bf9-31d802831ef3</errorID>
      <errorWord>－</errorWord>
      <group>L1_Format</group>
      <groupName>格式问题</groupName>
      <ability>L2_HalfPunc</ability>
      <abilityName>全半角检查</abilityName>
      <candidateList>
        <item>-</item>
      </candidateList>
      <explain>文本全半角错误。</explain>
      <paraID>2D957C2C</paraID>
      <start>4</start>
      <end>5</end>
      <status>unmodified</status>
      <modifiedWord/>
      <trackRevisions>false</trackRevisions>
    </reviewItem>
    <reviewItem>
      <errorID>b81341fa-01b0-45b2-aa4e-6b75c435dc90</errorID>
      <errorWord>－</errorWord>
      <group>L1_Format</group>
      <groupName>格式问题</groupName>
      <ability>L2_HalfPunc</ability>
      <abilityName>全半角检查</abilityName>
      <candidateList>
        <item>-</item>
      </candidateList>
      <explain>文本全半角错误。</explain>
      <paraID>681923C8</paraID>
      <start>4</start>
      <end>5</end>
      <status>unmodified</status>
      <modifiedWord/>
      <trackRevisions>false</trackRevisions>
    </reviewItem>
    <reviewItem>
      <errorID>d5854329-2bcb-4d9c-a872-677e490b13e9</errorID>
      <errorWord>＋</errorWord>
      <group>L1_Format</group>
      <groupName>格式问题</groupName>
      <ability>L2_HalfPunc</ability>
      <abilityName>全半角检查</abilityName>
      <candidateList>
        <item>+</item>
      </candidateList>
      <explain>文本全半角错误。</explain>
      <paraID>7092FB5F</paraID>
      <start>3</start>
      <end>4</end>
      <status>unmodified</status>
      <modifiedWord/>
      <trackRevisions>false</trackRevisions>
    </reviewItem>
    <reviewItem>
      <errorID>89d898e7-8170-4b3b-b60d-33ea469cff87</errorID>
      <errorWord>＋</errorWord>
      <group>L1_Format</group>
      <groupName>格式问题</groupName>
      <ability>L2_HalfPunc</ability>
      <abilityName>全半角检查</abilityName>
      <candidateList>
        <item>+</item>
      </candidateList>
      <explain>文本全半角错误。</explain>
      <paraID> DD47C80</paraID>
      <start>3</start>
      <end>4</end>
      <status>unmodified</status>
      <modifiedWord/>
      <trackRevisions>false</trackRevisions>
    </reviewItem>
    <reviewItem>
      <errorID>bdee4b3b-f599-4c47-8a43-fb5fa5698109</errorID>
      <errorWord>－</errorWord>
      <group>L1_Format</group>
      <groupName>格式问题</groupName>
      <ability>L2_HalfPunc</ability>
      <abilityName>全半角检查</abilityName>
      <candidateList>
        <item>-</item>
      </candidateList>
      <explain>文本全半角错误。</explain>
      <paraID>252381BB</paraID>
      <start>2</start>
      <end>3</end>
      <status>unmodified</status>
      <modifiedWord/>
      <trackRevisions>false</trackRevisions>
    </reviewItem>
    <reviewItem>
      <errorID>6ac97610-3177-4ebe-abc9-5dc42b1a515b</errorID>
      <errorWord>－</errorWord>
      <group>L1_Format</group>
      <groupName>格式问题</groupName>
      <ability>L2_HalfPunc</ability>
      <abilityName>全半角检查</abilityName>
      <candidateList>
        <item>-</item>
      </candidateList>
      <explain>文本全半角错误。</explain>
      <paraID>2459A9A6</paraID>
      <start>4</start>
      <end>5</end>
      <status>unmodified</status>
      <modifiedWord/>
      <trackRevisions>false</trackRevisions>
    </reviewItem>
    <reviewItem>
      <errorID>c65bcd8f-e2f9-41e3-b1c3-7bf016914894</errorID>
      <errorWord>＋</errorWord>
      <group>L1_Format</group>
      <groupName>格式问题</groupName>
      <ability>L2_HalfPunc</ability>
      <abilityName>全半角检查</abilityName>
      <candidateList>
        <item>+</item>
      </candidateList>
      <explain>文本全半角错误。</explain>
      <paraID>53905499</paraID>
      <start>1</start>
      <end>2</end>
      <status>unmodified</status>
      <modifiedWord/>
      <trackRevisions>false</trackRevisions>
    </reviewItem>
    <reviewItem>
      <errorID>ac218cf0-3a69-4fb1-92e0-9919a403b719</errorID>
      <errorWord>＋</errorWord>
      <group>L1_Format</group>
      <groupName>格式问题</groupName>
      <ability>L2_HalfPunc</ability>
      <abilityName>全半角检查</abilityName>
      <candidateList>
        <item>+</item>
      </candidateList>
      <explain>文本全半角错误。</explain>
      <paraID>4463C4ED</paraID>
      <start>2</start>
      <end>3</end>
      <status>unmodified</status>
      <modifiedWord/>
      <trackRevisions>false</trackRevisions>
    </reviewItem>
    <reviewItem>
      <errorID>dce08181-af1f-4821-a5e2-4495dd2084a7</errorID>
      <errorWord>－</errorWord>
      <group>L1_Format</group>
      <groupName>格式问题</groupName>
      <ability>L2_HalfPunc</ability>
      <abilityName>全半角检查</abilityName>
      <candidateList>
        <item>-</item>
      </candidateList>
      <explain>文本全半角错误。</explain>
      <paraID> 3D07BA0</paraID>
      <start>4</start>
      <end>5</end>
      <status>unmodified</status>
      <modifiedWord/>
      <trackRevisions>false</trackRevisions>
    </reviewItem>
    <reviewItem>
      <errorID>fd808c75-ee6c-4c3d-9378-9aad823d3454</errorID>
      <errorWord>－</errorWord>
      <group>L1_Format</group>
      <groupName>格式问题</groupName>
      <ability>L2_HalfPunc</ability>
      <abilityName>全半角检查</abilityName>
      <candidateList>
        <item>-</item>
      </candidateList>
      <explain>文本全半角错误。</explain>
      <paraID>6B48C7E1</paraID>
      <start>4</start>
      <end>5</end>
      <status>unmodified</status>
      <modifiedWord/>
      <trackRevisions>false</trackRevisions>
    </reviewItem>
    <reviewItem>
      <errorID>60c02af5-f5a4-49f8-bc89-38e7af7b8936</errorID>
      <errorWord>＋</errorWord>
      <group>L1_Format</group>
      <groupName>格式问题</groupName>
      <ability>L2_HalfPunc</ability>
      <abilityName>全半角检查</abilityName>
      <candidateList>
        <item>+</item>
      </candidateList>
      <explain>文本全半角错误。</explain>
      <paraID>3788FDAB</paraID>
      <start>3</start>
      <end>4</end>
      <status>unmodified</status>
      <modifiedWord/>
      <trackRevisions>false</trackRevisions>
    </reviewItem>
    <reviewItem>
      <errorID>fcd20453-42c6-4857-b673-bd82a298e41c</errorID>
      <errorWord>＋</errorWord>
      <group>L1_Format</group>
      <groupName>格式问题</groupName>
      <ability>L2_HalfPunc</ability>
      <abilityName>全半角检查</abilityName>
      <candidateList>
        <item>+</item>
      </candidateList>
      <explain>文本全半角错误。</explain>
      <paraID>6119C944</paraID>
      <start>3</start>
      <end>4</end>
      <status>unmodified</status>
      <modifiedWord/>
      <trackRevisions>false</trackRevisions>
    </reviewItem>
    <reviewItem>
      <errorID>254eabf6-7a3b-4729-b103-19d77884999b</errorID>
      <errorWord>－</errorWord>
      <group>L1_Format</group>
      <groupName>格式问题</groupName>
      <ability>L2_HalfPunc</ability>
      <abilityName>全半角检查</abilityName>
      <candidateList>
        <item>-</item>
      </candidateList>
      <explain>文本全半角错误。</explain>
      <paraID>46D91A65</paraID>
      <start>2</start>
      <end>3</end>
      <status>unmodified</status>
      <modifiedWord/>
      <trackRevisions>false</trackRevisions>
    </reviewItem>
    <reviewItem>
      <errorID>6973febc-5d04-4c6f-abff-2502563e9ff5</errorID>
      <errorWord>－</errorWord>
      <group>L1_Format</group>
      <groupName>格式问题</groupName>
      <ability>L2_HalfPunc</ability>
      <abilityName>全半角检查</abilityName>
      <candidateList>
        <item>-</item>
      </candidateList>
      <explain>文本全半角错误。</explain>
      <paraID>27DB27B4</paraID>
      <start>4</start>
      <end>5</end>
      <status>unmodified</status>
      <modifiedWord/>
      <trackRevisions>false</trackRevisions>
    </reviewItem>
    <reviewItem>
      <errorID>fb7da434-ffa7-43f6-8fc6-5f7279964d86</errorID>
      <errorWord>＋</errorWord>
      <group>L1_Format</group>
      <groupName>格式问题</groupName>
      <ability>L2_HalfPunc</ability>
      <abilityName>全半角检查</abilityName>
      <candidateList>
        <item>+</item>
      </candidateList>
      <explain>文本全半角错误。</explain>
      <paraID>306451FA</paraID>
      <start>1</start>
      <end>2</end>
      <status>unmodified</status>
      <modifiedWord/>
      <trackRevisions>false</trackRevisions>
    </reviewItem>
    <reviewItem>
      <errorID>8eeec17c-268c-47c8-a42d-f5c538f59534</errorID>
      <errorWord>＋</errorWord>
      <group>L1_Format</group>
      <groupName>格式问题</groupName>
      <ability>L2_HalfPunc</ability>
      <abilityName>全半角检查</abilityName>
      <candidateList>
        <item>+</item>
      </candidateList>
      <explain>文本全半角错误。</explain>
      <paraID>4112172A</paraID>
      <start>2</start>
      <end>3</end>
      <status>unmodified</status>
      <modifiedWord/>
      <trackRevisions>false</trackRevisions>
    </reviewItem>
    <reviewItem>
      <errorID>785244b2-ca58-4a67-a99d-033b8cebfe80</errorID>
      <errorWord>－</errorWord>
      <group>L1_Format</group>
      <groupName>格式问题</groupName>
      <ability>L2_HalfPunc</ability>
      <abilityName>全半角检查</abilityName>
      <candidateList>
        <item>-</item>
      </candidateList>
      <explain>文本全半角错误。</explain>
      <paraID>5806E200</paraID>
      <start>4</start>
      <end>5</end>
      <status>unmodified</status>
      <modifiedWord/>
      <trackRevisions>false</trackRevisions>
    </reviewItem>
    <reviewItem>
      <errorID>fea32f69-e7c8-4fa0-a502-5c5c0de55c3b</errorID>
      <errorWord>－</errorWord>
      <group>L1_Format</group>
      <groupName>格式问题</groupName>
      <ability>L2_HalfPunc</ability>
      <abilityName>全半角检查</abilityName>
      <candidateList>
        <item>-</item>
      </candidateList>
      <explain>文本全半角错误。</explain>
      <paraID>16046CA2</paraID>
      <start>4</start>
      <end>5</end>
      <status>unmodified</status>
      <modifiedWord/>
      <trackRevisions>false</trackRevisions>
    </reviewItem>
    <reviewItem>
      <errorID>0e9a400e-c077-441e-9967-c58919017c18</errorID>
      <errorWord>＋</errorWord>
      <group>L1_Format</group>
      <groupName>格式问题</groupName>
      <ability>L2_HalfPunc</ability>
      <abilityName>全半角检查</abilityName>
      <candidateList>
        <item>+</item>
      </candidateList>
      <explain>文本全半角错误。</explain>
      <paraID> 8EA1935</paraID>
      <start>3</start>
      <end>4</end>
      <status>unmodified</status>
      <modifiedWord/>
      <trackRevisions>false</trackRevisions>
    </reviewItem>
    <reviewItem>
      <errorID>106c8c3c-3127-4a6a-bd8a-642edee014f6</errorID>
      <errorWord>＋</errorWord>
      <group>L1_Format</group>
      <groupName>格式问题</groupName>
      <ability>L2_HalfPunc</ability>
      <abilityName>全半角检查</abilityName>
      <candidateList>
        <item>+</item>
      </candidateList>
      <explain>文本全半角错误。</explain>
      <paraID>417234E0</paraID>
      <start>3</start>
      <end>4</end>
      <status>unmodified</status>
      <modifiedWord/>
      <trackRevisions>false</trackRevisions>
    </reviewItem>
    <reviewItem>
      <errorID>fa84918f-9376-4946-b38b-55102671e343</errorID>
      <errorWord>－</errorWord>
      <group>L1_Format</group>
      <groupName>格式问题</groupName>
      <ability>L2_HalfPunc</ability>
      <abilityName>全半角检查</abilityName>
      <candidateList>
        <item>-</item>
      </candidateList>
      <explain>文本全半角错误。</explain>
      <paraID>239BDB05</paraID>
      <start>2</start>
      <end>3</end>
      <status>unmodified</status>
      <modifiedWord/>
      <trackRevisions>false</trackRevisions>
    </reviewItem>
    <reviewItem>
      <errorID>7f0eb67d-a5a3-47d2-988c-dfb6c5d8f3b7</errorID>
      <errorWord>－</errorWord>
      <group>L1_Format</group>
      <groupName>格式问题</groupName>
      <ability>L2_HalfPunc</ability>
      <abilityName>全半角检查</abilityName>
      <candidateList>
        <item>-</item>
      </candidateList>
      <explain>文本全半角错误。</explain>
      <paraID>7239F6F5</paraID>
      <start>4</start>
      <end>5</end>
      <status>unmodified</status>
      <modifiedWord/>
      <trackRevisions>false</trackRevisions>
    </reviewItem>
    <reviewItem>
      <errorID>32933776-8c8c-4d73-99c7-6756e088e131</errorID>
      <errorWord>＋</errorWord>
      <group>L1_Format</group>
      <groupName>格式问题</groupName>
      <ability>L2_HalfPunc</ability>
      <abilityName>全半角检查</abilityName>
      <candidateList>
        <item>+</item>
      </candidateList>
      <explain>文本全半角错误。</explain>
      <paraID>6352A73F</paraID>
      <start>1</start>
      <end>2</end>
      <status>unmodified</status>
      <modifiedWord/>
      <trackRevisions>false</trackRevisions>
    </reviewItem>
    <reviewItem>
      <errorID>76eb0ba5-dfa7-44ce-a4ad-1ea9465c9f92</errorID>
      <errorWord>＋</errorWord>
      <group>L1_Format</group>
      <groupName>格式问题</groupName>
      <ability>L2_HalfPunc</ability>
      <abilityName>全半角检查</abilityName>
      <candidateList>
        <item>+</item>
      </candidateList>
      <explain>文本全半角错误。</explain>
      <paraID>497A6893</paraID>
      <start>2</start>
      <end>3</end>
      <status>unmodified</status>
      <modifiedWord/>
      <trackRevisions>false</trackRevisions>
    </reviewItem>
    <reviewItem>
      <errorID>5b702a96-affa-4f2d-ad42-e293a8a131b9</errorID>
      <errorWord>－</errorWord>
      <group>L1_Format</group>
      <groupName>格式问题</groupName>
      <ability>L2_HalfPunc</ability>
      <abilityName>全半角检查</abilityName>
      <candidateList>
        <item>-</item>
      </candidateList>
      <explain>文本全半角错误。</explain>
      <paraID>16E2EAAB</paraID>
      <start>4</start>
      <end>5</end>
      <status>unmodified</status>
      <modifiedWord/>
      <trackRevisions>false</trackRevisions>
    </reviewItem>
    <reviewItem>
      <errorID>d04dff9f-b42d-4c86-80d7-ff4f0bf2c5d3</errorID>
      <errorWord>－</errorWord>
      <group>L1_Format</group>
      <groupName>格式问题</groupName>
      <ability>L2_HalfPunc</ability>
      <abilityName>全半角检查</abilityName>
      <candidateList>
        <item>-</item>
      </candidateList>
      <explain>文本全半角错误。</explain>
      <paraID> C13BEA0</paraID>
      <start>4</start>
      <end>5</end>
      <status>unmodified</status>
      <modifiedWord/>
      <trackRevisions>false</trackRevisions>
    </reviewItem>
    <reviewItem>
      <errorID>69353b11-418d-47e4-8a07-690a8a0aabf4</errorID>
      <errorWord>＋</errorWord>
      <group>L1_Format</group>
      <groupName>格式问题</groupName>
      <ability>L2_HalfPunc</ability>
      <abilityName>全半角检查</abilityName>
      <candidateList>
        <item>+</item>
      </candidateList>
      <explain>文本全半角错误。</explain>
      <paraID>2C5A5C97</paraID>
      <start>3</start>
      <end>4</end>
      <status>unmodified</status>
      <modifiedWord/>
      <trackRevisions>false</trackRevisions>
    </reviewItem>
    <reviewItem>
      <errorID>6339e2fb-81a0-4a7d-a2eb-6df3c46703b8</errorID>
      <errorWord>＋</errorWord>
      <group>L1_Format</group>
      <groupName>格式问题</groupName>
      <ability>L2_HalfPunc</ability>
      <abilityName>全半角检查</abilityName>
      <candidateList>
        <item>+</item>
      </candidateList>
      <explain>文本全半角错误。</explain>
      <paraID>64458060</paraID>
      <start>3</start>
      <end>4</end>
      <status>unmodified</status>
      <modifiedWord/>
      <trackRevisions>false</trackRevisions>
    </reviewItem>
    <reviewItem>
      <errorID>717cd6ca-82e1-4367-a7e8-2a4fb6b57d74</errorID>
      <errorWord>－</errorWord>
      <group>L1_Format</group>
      <groupName>格式问题</groupName>
      <ability>L2_HalfPunc</ability>
      <abilityName>全半角检查</abilityName>
      <candidateList>
        <item>-</item>
      </candidateList>
      <explain>文本全半角错误。</explain>
      <paraID>36336FA9</paraID>
      <start>2</start>
      <end>3</end>
      <status>unmodified</status>
      <modifiedWord/>
      <trackRevisions>false</trackRevisions>
    </reviewItem>
    <reviewItem>
      <errorID>32db46a5-7c67-45a8-b692-7d7eadeceeeb</errorID>
      <errorWord>－</errorWord>
      <group>L1_Format</group>
      <groupName>格式问题</groupName>
      <ability>L2_HalfPunc</ability>
      <abilityName>全半角检查</abilityName>
      <candidateList>
        <item>-</item>
      </candidateList>
      <explain>文本全半角错误。</explain>
      <paraID>2D2B2FD9</paraID>
      <start>4</start>
      <end>5</end>
      <status>unmodified</status>
      <modifiedWord/>
      <trackRevisions>false</trackRevisions>
    </reviewItem>
    <reviewItem>
      <errorID>9d375f16-b166-4a4e-b069-6e603a235f8c</errorID>
      <errorWord>＋</errorWord>
      <group>L1_Format</group>
      <groupName>格式问题</groupName>
      <ability>L2_HalfPunc</ability>
      <abilityName>全半角检查</abilityName>
      <candidateList>
        <item>+</item>
      </candidateList>
      <explain>文本全半角错误。</explain>
      <paraID>6C7303DB</paraID>
      <start>1</start>
      <end>2</end>
      <status>unmodified</status>
      <modifiedWord/>
      <trackRevisions>false</trackRevisions>
    </reviewItem>
    <reviewItem>
      <errorID>62159b4a-1b8d-41f8-8b9b-2537605f3104</errorID>
      <errorWord>＋</errorWord>
      <group>L1_Format</group>
      <groupName>格式问题</groupName>
      <ability>L2_HalfPunc</ability>
      <abilityName>全半角检查</abilityName>
      <candidateList>
        <item>+</item>
      </candidateList>
      <explain>文本全半角错误。</explain>
      <paraID> 7C2C6C1</paraID>
      <start>2</start>
      <end>3</end>
      <status>unmodified</status>
      <modifiedWord/>
      <trackRevisions>false</trackRevisions>
    </reviewItem>
    <reviewItem>
      <errorID>a4f4c872-d60e-4472-80c6-96f2cd7c68cf</errorID>
      <errorWord>（</errorWord>
      <group>L1_Format</group>
      <groupName>格式问题</groupName>
      <ability>L2_HalfPunc</ability>
      <abilityName>全半角检查</abilityName>
      <candidateList>
        <item>(</item>
      </candidateList>
      <explain>文本全半角错误。</explain>
      <paraID>1C694494</paraID>
      <start>0</start>
      <end>1</end>
      <status>unmodified</status>
      <modifiedWord/>
      <trackRevisions>false</trackRevisions>
    </reviewItem>
    <reviewItem>
      <errorID>cc242879-79a4-477f-b3a4-3bca7b89bf87</errorID>
      <errorWord>）</errorWord>
      <group>L1_Format</group>
      <groupName>格式问题</groupName>
      <ability>L2_HalfPunc</ability>
      <abilityName>全半角检查</abilityName>
      <candidateList>
        <item>)</item>
      </candidateList>
      <explain>文本全半角错误。</explain>
      <paraID>1C694494</paraID>
      <start>21</start>
      <end>22</end>
      <status>unmodified</status>
      <modifiedWord/>
      <trackRevisions>false</trackRevisions>
    </reviewItem>
    <reviewItem>
      <errorID>f262558c-4777-4ddb-a6df-7a2b96b3c1c1</errorID>
      <errorWord>（</errorWord>
      <group>L1_Format</group>
      <groupName>格式问题</groupName>
      <ability>L2_HalfPunc</ability>
      <abilityName>全半角检查</abilityName>
      <candidateList>
        <item>(</item>
      </candidateList>
      <explain>文本全半角错误。</explain>
      <paraID>743BAD98</paraID>
      <start>0</start>
      <end>1</end>
      <status>unmodified</status>
      <modifiedWord/>
      <trackRevisions>false</trackRevisions>
    </reviewItem>
    <reviewItem>
      <errorID>497347a9-bdf9-41e5-83c4-8a21fc9f5fab</errorID>
      <errorWord>）</errorWord>
      <group>L1_Format</group>
      <groupName>格式问题</groupName>
      <ability>L2_HalfPunc</ability>
      <abilityName>全半角检查</abilityName>
      <candidateList>
        <item>)</item>
      </candidateList>
      <explain>文本全半角错误。</explain>
      <paraID>743BAD98</paraID>
      <start>21</start>
      <end>22</end>
      <status>unmodified</status>
      <modifiedWord/>
      <trackRevisions>false</trackRevisions>
    </reviewItem>
    <reviewItem>
      <errorID>8107cf23-9e23-4d74-9d64-41127edcaaba</errorID>
      <errorWord>（</errorWord>
      <group>L1_Format</group>
      <groupName>格式问题</groupName>
      <ability>L2_HalfPunc</ability>
      <abilityName>全半角检查</abilityName>
      <candidateList>
        <item>(</item>
      </candidateList>
      <explain>文本全半角错误。</explain>
      <paraID>7FC67FEE</paraID>
      <start>0</start>
      <end>1</end>
      <status>unmodified</status>
      <modifiedWord/>
      <trackRevisions>false</trackRevisions>
    </reviewItem>
    <reviewItem>
      <errorID>c1abf7c9-0498-4b89-aed3-b92b8f44e2d5</errorID>
      <errorWord>）</errorWord>
      <group>L1_Format</group>
      <groupName>格式问题</groupName>
      <ability>L2_HalfPunc</ability>
      <abilityName>全半角检查</abilityName>
      <candidateList>
        <item>)</item>
      </candidateList>
      <explain>文本全半角错误。</explain>
      <paraID>7FC67FEE</paraID>
      <start>21</start>
      <end>22</end>
      <status>unmodified</status>
      <modifiedWord/>
      <trackRevisions>false</trackRevisions>
    </reviewItem>
    <reviewItem>
      <errorID>30152e82-f5eb-448e-a284-9c59a6ec5acf</errorID>
      <errorWord>（</errorWord>
      <group>L1_Format</group>
      <groupName>格式问题</groupName>
      <ability>L2_HalfPunc</ability>
      <abilityName>全半角检查</abilityName>
      <candidateList>
        <item>(</item>
      </candidateList>
      <explain>文本全半角错误。</explain>
      <paraID>75B0E3DD</paraID>
      <start>0</start>
      <end>1</end>
      <status>unmodified</status>
      <modifiedWord/>
      <trackRevisions>false</trackRevisions>
    </reviewItem>
    <reviewItem>
      <errorID>6b27b4ec-7128-4591-82f6-ebd53e77bba6</errorID>
      <errorWord>）</errorWord>
      <group>L1_Format</group>
      <groupName>格式问题</groupName>
      <ability>L2_HalfPunc</ability>
      <abilityName>全半角检查</abilityName>
      <candidateList>
        <item>)</item>
      </candidateList>
      <explain>文本全半角错误。</explain>
      <paraID>75B0E3DD</paraID>
      <start>21</start>
      <end>22</end>
      <status>unmodified</status>
      <modifiedWord/>
      <trackRevisions>false</trackRevisions>
    </reviewItem>
    <reviewItem>
      <errorID>7364fa96-68ea-4acc-acf9-94fa4036b7a8</errorID>
      <errorWord>，</errorWord>
      <group>L1_Format</group>
      <groupName>格式问题</groupName>
      <ability>L2_HalfPunc</ability>
      <abilityName>全半角检查</abilityName>
      <candidateList>
        <item>,</item>
      </candidateList>
      <explain>文本全半角错误。</explain>
      <paraID>4C2F926F</paraID>
      <start>10</start>
      <end>11</end>
      <status>unmodified</status>
      <modifiedWord/>
      <trackRevisions>false</trackRevisions>
    </reviewItem>
    <reviewItem>
      <errorID>69019e34-190e-474e-a144-bca9c8d521b7</errorID>
      <errorWord>，</errorWord>
      <group>L1_Format</group>
      <groupName>格式问题</groupName>
      <ability>L2_HalfPunc</ability>
      <abilityName>全半角检查</abilityName>
      <candidateList>
        <item>,</item>
      </candidateList>
      <explain>文本全半角错误。</explain>
      <paraID>1B48F2EE</paraID>
      <start>10</start>
      <end>11</end>
      <status>unmodified</status>
      <modifiedWord/>
      <trackRevisions>false</trackRevisions>
    </reviewItem>
    <reviewItem>
      <errorID>e9052558-c2d6-4cb8-9d4c-fbdee27132ae</errorID>
      <errorWord>，</errorWord>
      <group>L1_Format</group>
      <groupName>格式问题</groupName>
      <ability>L2_HalfPunc</ability>
      <abilityName>全半角检查</abilityName>
      <candidateList>
        <item>,</item>
      </candidateList>
      <explain>文本全半角错误。</explain>
      <paraID>738727D4</paraID>
      <start>10</start>
      <end>11</end>
      <status>unmodified</status>
      <modifiedWord/>
      <trackRevisions>false</trackRevisions>
    </reviewItem>
    <reviewItem>
      <errorID>d01bc185-de98-47b2-8635-69cd54038ff5</errorID>
      <errorWord>，</errorWord>
      <group>L1_Format</group>
      <groupName>格式问题</groupName>
      <ability>L2_HalfPunc</ability>
      <abilityName>全半角检查</abilityName>
      <candidateList>
        <item>,</item>
      </candidateList>
      <explain>文本全半角错误。</explain>
      <paraID>64EC0611</paraID>
      <start>10</start>
      <end>11</end>
      <status>unmodified</status>
      <modifiedWord/>
      <trackRevisions>false</trackRevisions>
    </reviewItem>
    <reviewItem>
      <errorID>b949ea1a-3aed-432b-990a-13a227743623</errorID>
      <errorWord>，</errorWord>
      <group>L1_Format</group>
      <groupName>格式问题</groupName>
      <ability>L2_HalfPunc</ability>
      <abilityName>全半角检查</abilityName>
      <candidateList>
        <item>,</item>
      </candidateList>
      <explain>文本全半角错误。</explain>
      <paraID>31E668EB</paraID>
      <start>10</start>
      <end>11</end>
      <status>unmodified</status>
      <modifiedWord/>
      <trackRevisions>false</trackRevisions>
    </reviewItem>
    <reviewItem>
      <errorID>ed7f2e83-af10-42f0-8484-d5f0b131717a</errorID>
      <errorWord>＜</errorWord>
      <group>L1_Format</group>
      <groupName>格式问题</groupName>
      <ability>L2_HalfPunc</ability>
      <abilityName>全半角检查</abilityName>
      <candidateList>
        <item>&lt;</item>
      </candidateList>
      <explain>文本全半角错误。</explain>
      <paraID>63C42D69</paraID>
      <start>0</start>
      <end>1</end>
      <status>unmodified</status>
      <modifiedWord/>
      <trackRevisions>false</trackRevisions>
    </reviewItem>
    <reviewItem>
      <errorID>7b69095d-6515-4ceb-af25-2feda2cd55a8</errorID>
      <errorWord>＜</errorWord>
      <group>L1_Format</group>
      <groupName>格式问题</groupName>
      <ability>L2_HalfPunc</ability>
      <abilityName>全半角检查</abilityName>
      <candidateList>
        <item>&lt;</item>
      </candidateList>
      <explain>文本全半角错误。</explain>
      <paraID>28AE7284</paraID>
      <start>0</start>
      <end>1</end>
      <status>unmodified</status>
      <modifiedWord/>
      <trackRevisions>false</trackRevisions>
    </reviewItem>
    <reviewItem>
      <errorID>1ef124eb-0660-45dc-a5c5-f0c822de3944</errorID>
      <errorWord>＜</errorWord>
      <group>L1_Format</group>
      <groupName>格式问题</groupName>
      <ability>L2_HalfPunc</ability>
      <abilityName>全半角检查</abilityName>
      <candidateList>
        <item>&lt;</item>
      </candidateList>
      <explain>文本全半角错误。</explain>
      <paraID>26A9277C</paraID>
      <start>0</start>
      <end>1</end>
      <status>unmodified</status>
      <modifiedWord/>
      <trackRevisions>false</trackRevisions>
    </reviewItem>
    <reviewItem>
      <errorID>3350f64f-c643-4572-a011-519ddb5a78e9</errorID>
      <errorWord>，</errorWord>
      <group>L1_Format</group>
      <groupName>格式问题</groupName>
      <ability>L2_HalfPunc</ability>
      <abilityName>全半角检查</abilityName>
      <candidateList>
        <item>,</item>
      </candidateList>
      <explain>文本全半角错误。</explain>
      <paraID>40017EF3</paraID>
      <start>10</start>
      <end>11</end>
      <status>unmodified</status>
      <modifiedWord/>
      <trackRevisions>false</trackRevisions>
    </reviewItem>
    <reviewItem>
      <errorID>7540fd32-4d1c-412a-a9b7-0a0d9f26a42c</errorID>
      <errorWord>，</errorWord>
      <group>L1_Format</group>
      <groupName>格式问题</groupName>
      <ability>L2_HalfPunc</ability>
      <abilityName>全半角检查</abilityName>
      <candidateList>
        <item>,</item>
      </candidateList>
      <explain>文本全半角错误。</explain>
      <paraID>4BAFF5B7</paraID>
      <start>10</start>
      <end>11</end>
      <status>unmodified</status>
      <modifiedWord/>
      <trackRevisions>false</trackRevisions>
    </reviewItem>
    <reviewItem>
      <errorID>4de05859-064e-46af-a3f9-3dc5ee71c574</errorID>
      <errorWord>，</errorWord>
      <group>L1_Format</group>
      <groupName>格式问题</groupName>
      <ability>L2_HalfPunc</ability>
      <abilityName>全半角检查</abilityName>
      <candidateList>
        <item>,</item>
      </candidateList>
      <explain>文本全半角错误。</explain>
      <paraID> DC36364</paraID>
      <start>10</start>
      <end>11</end>
      <status>unmodified</status>
      <modifiedWord/>
      <trackRevisions>false</trackRevisions>
    </reviewItem>
    <reviewItem>
      <errorID>c2ae4173-9ea1-4237-b1ab-b641f6308858</errorID>
      <errorWord>，</errorWord>
      <group>L1_Format</group>
      <groupName>格式问题</groupName>
      <ability>L2_HalfPunc</ability>
      <abilityName>全半角检查</abilityName>
      <candidateList>
        <item>,</item>
      </candidateList>
      <explain>文本全半角错误。</explain>
      <paraID>6634936F</paraID>
      <start>10</start>
      <end>11</end>
      <status>unmodified</status>
      <modifiedWord/>
      <trackRevisions>false</trackRevisions>
    </reviewItem>
    <reviewItem>
      <errorID>bd777697-0b6f-46f6-992b-ecaab68cb5fd</errorID>
      <errorWord>，</errorWord>
      <group>L1_Format</group>
      <groupName>格式问题</groupName>
      <ability>L2_HalfPunc</ability>
      <abilityName>全半角检查</abilityName>
      <candidateList>
        <item>,</item>
      </candidateList>
      <explain>文本全半角错误。</explain>
      <paraID> 6714CAF</paraID>
      <start>10</start>
      <end>11</end>
      <status>unmodified</status>
      <modifiedWord/>
      <trackRevisions>false</trackRevisions>
    </reviewItem>
    <reviewItem>
      <errorID>3164c719-2595-4d02-a620-a72d7ba7b60c</errorID>
      <errorWord>，</errorWord>
      <group>L1_Format</group>
      <groupName>格式问题</groupName>
      <ability>L2_HalfPunc</ability>
      <abilityName>全半角检查</abilityName>
      <candidateList>
        <item>,</item>
      </candidateList>
      <explain>文本全半角错误。</explain>
      <paraID>5A937C77</paraID>
      <start>10</start>
      <end>11</end>
      <status>unmodified</status>
      <modifiedWord/>
      <trackRevisions>false</trackRevisions>
    </reviewItem>
    <reviewItem>
      <errorID>ea1b9807-8441-4f2d-a5f6-71a9109bf5c1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2090345F</paraID>
      <start>0</start>
      <end>2</end>
      <status>unmodified</status>
      <modifiedWord/>
      <trackRevisions>false</trackRevisions>
    </reviewItem>
    <reviewItem>
      <errorID>d012e4a0-28a0-4a7f-91c2-d2d06e5aa46b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2F63DA6D</paraID>
      <start>0</start>
      <end>2</end>
      <status>unmodified</status>
      <modifiedWord/>
      <trackRevisions>false</trackRevisions>
    </reviewItem>
    <reviewItem>
      <errorID>b5fd19c6-1cbc-4888-8670-25a3c0aa3713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45A2BF4C</paraID>
      <start>0</start>
      <end>2</end>
      <status>unmodified</status>
      <modifiedWord/>
      <trackRevisions>false</trackRevisions>
    </reviewItem>
    <reviewItem>
      <errorID>1fed038b-4639-41c3-9fc0-303b90a9f136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645544F3</paraID>
      <start>0</start>
      <end>2</end>
      <status>unmodified</status>
      <modifiedWord/>
      <trackRevisions>false</trackRevisions>
    </reviewItem>
    <reviewItem>
      <errorID>0e0abd55-d1e6-45f0-9b0b-5ce4cc04bc34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112F333D</paraID>
      <start>0</start>
      <end>2</end>
      <status>unmodified</status>
      <modifiedWord/>
      <trackRevisions>false</trackRevisions>
    </reviewItem>
    <reviewItem>
      <errorID>54f899ed-e95c-4340-9699-2db7ab8da416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174E46A5</paraID>
      <start>0</start>
      <end>2</end>
      <status>unmodified</status>
      <modifiedWord/>
      <trackRevisions>false</trackRevisions>
    </reviewItem>
    <reviewItem>
      <errorID>50dae877-f8b7-4fdb-ba24-b15b741c4e9f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1F47A629</paraID>
      <start>0</start>
      <end>2</end>
      <status>unmodified</status>
      <modifiedWord/>
      <trackRevisions>false</trackRevisions>
    </reviewItem>
    <reviewItem>
      <errorID>e65d5295-d79a-469b-9656-de8936101a60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476E28B7</paraID>
      <start>0</start>
      <end>2</end>
      <status>unmodified</status>
      <modifiedWord/>
      <trackRevisions>false</trackRevisions>
    </reviewItem>
    <reviewItem>
      <errorID>a747cd4f-3a6d-4d65-a524-703c7b22c1a6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696750C0</paraID>
      <start>0</start>
      <end>2</end>
      <status>unmodified</status>
      <modifiedWord/>
      <trackRevisions>false</trackRevisions>
    </reviewItem>
    <reviewItem>
      <errorID>177aa779-8afd-4056-ac76-ba20a7033b54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1160CCCA</paraID>
      <start>0</start>
      <end>2</end>
      <status>unmodified</status>
      <modifiedWord/>
      <trackRevisions>false</trackRevisions>
    </reviewItem>
    <reviewItem>
      <errorID>cdd8e306-0cfe-417c-8cd9-0f083cf0d1f6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262B20C2</paraID>
      <start>0</start>
      <end>2</end>
      <status>unmodified</status>
      <modifiedWord/>
      <trackRevisions>false</trackRevisions>
    </reviewItem>
    <reviewItem>
      <errorID>a2ec30b3-f9a1-4b31-8a28-1ff5c9b7afca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4EE102F2</paraID>
      <start>0</start>
      <end>2</end>
      <status>unmodified</status>
      <modifiedWord/>
      <trackRevisions>false</trackRevisions>
    </reviewItem>
    <reviewItem>
      <errorID>9ff0286b-fcb6-400a-9e11-bf3cc6740f48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3E7C007D</paraID>
      <start>0</start>
      <end>2</end>
      <status>unmodified</status>
      <modifiedWord/>
      <trackRevisions>false</trackRevisions>
    </reviewItem>
    <reviewItem>
      <errorID>5cfdbabc-e8a6-41b8-b021-6d4aa576af28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6EE21BE9</paraID>
      <start>0</start>
      <end>2</end>
      <status>unmodified</status>
      <modifiedWord/>
      <trackRevisions>false</trackRevisions>
    </reviewItem>
    <reviewItem>
      <errorID>2769088e-d48a-42b2-b0e0-47e11d216ba3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2707C642</paraID>
      <start>0</start>
      <end>2</end>
      <status>unmodified</status>
      <modifiedWord/>
      <trackRevisions>false</trackRevisions>
    </reviewItem>
    <reviewItem>
      <errorID>d9696006-148a-40ff-ab2c-e704d59ab071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3DE9C7C</paraID>
      <start>0</start>
      <end>2</end>
      <status>unmodified</status>
      <modifiedWord/>
      <trackRevisions>false</trackRevisions>
    </reviewItem>
    <reviewItem>
      <errorID>c01d4ddf-55c1-459b-a7ee-d1dbeae76bb6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72A1B573</paraID>
      <start>0</start>
      <end>2</end>
      <status>unmodified</status>
      <modifiedWord/>
      <trackRevisions>false</trackRevisions>
    </reviewItem>
    <reviewItem>
      <errorID>6c66d1bb-5a8b-4578-94b6-48091dff56b5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1EE49AD6</paraID>
      <start>0</start>
      <end>2</end>
      <status>unmodified</status>
      <modifiedWord/>
      <trackRevisions>false</trackRevisions>
    </reviewItem>
    <reviewItem>
      <errorID>30215a37-d06c-4b1b-b3c4-d8b4c9552bda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89D1FB1</paraID>
      <start>0</start>
      <end>2</end>
      <status>unmodified</status>
      <modifiedWord/>
      <trackRevisions>false</trackRevisions>
    </reviewItem>
    <reviewItem>
      <errorID>9b7a471d-93b8-40e4-bc18-c1cb134a627d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B965DD9</paraID>
      <start>0</start>
      <end>2</end>
      <status>unmodified</status>
      <modifiedWord/>
      <trackRevisions>false</trackRevisions>
    </reviewItem>
    <reviewItem>
      <errorID>12214505-3d82-4315-b60a-e987087a0668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3F31071C</paraID>
      <start>0</start>
      <end>2</end>
      <status>unmodified</status>
      <modifiedWord/>
      <trackRevisions>false</trackRevisions>
    </reviewItem>
    <reviewItem>
      <errorID>0f110f87-514c-467c-a343-d94384870bdf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67D79FB4</paraID>
      <start>0</start>
      <end>2</end>
      <status>unmodified</status>
      <modifiedWord/>
      <trackRevisions>false</trackRevisions>
    </reviewItem>
    <reviewItem>
      <errorID>30993683-340c-4174-9a34-3b17869a2c9d</errorID>
      <errorWord>）中</errorWord>
      <group>L1_Word</group>
      <groupName>字词问题</groupName>
      <ability>L2_Typo</ability>
      <abilityName>字词错误</abilityName>
      <candidateList>
        <item>）</item>
      </candidateList>
      <explain/>
      <paraID>3447E605</paraID>
      <start>209</start>
      <end>211</end>
      <status>unmodified</status>
      <modifiedWord/>
      <trackRevisions>false</trackRevisions>
    </reviewItem>
    <reviewItem>
      <errorID>af902813-a8a3-4b87-8b54-34698d0196d3</errorID>
      <errorWord>紧靠</errorWord>
      <group>L1_Word</group>
      <groupName>字词问题</groupName>
      <ability>L2_Typo</ability>
      <abilityName>字词错误</abilityName>
      <candidateList>
        <item>仅靠</item>
      </candidateList>
      <explain/>
      <paraID>5128A230</paraID>
      <start>34</start>
      <end>36</end>
      <status>unmodified</status>
      <modifiedWord/>
      <trackRevisions>false</trackRevisions>
    </reviewItem>
    <reviewItem>
      <errorID>7f998947-be24-4bac-8e3d-973980ee2f99</errorID>
      <errorWord>中、低产</errorWord>
      <group>L1_Punc</group>
      <groupName>标点问题</groupName>
      <ability>L2_Punc</ability>
      <abilityName>标点符号检查</abilityName>
      <candidateList>
        <item>中低产</item>
      </candidateList>
      <explain/>
      <paraID> 6EF466A</paraID>
      <start>76</start>
      <end>80</end>
      <status>unmodified</status>
      <modifiedWord/>
      <trackRevisions>false</trackRevisions>
    </reviewItem>
    <reviewItem>
      <errorID>cdedc623-690f-4a3a-bd2b-86d8d410c2fe</errorID>
      <errorWord>、</errorWord>
      <group>L1_Punc</group>
      <groupName>标点问题</groupName>
      <ability>L2_Punc</ability>
      <abilityName>标点符号检查</abilityName>
      <candidateList>
        <item>.</item>
      </candidateList>
      <explain/>
      <paraID>42AFB04E</paraID>
      <start>1</start>
      <end>2</end>
      <status>unmodified</status>
      <modifiedWord/>
      <trackRevisions>false</trackRevisions>
    </reviewItem>
    <reviewItem>
      <errorID>1178618f-252d-4eca-ab9a-4e40d4cc8737</errorID>
      <errorWord>40%-80%</errorWord>
      <group>L1_Knowledge</group>
      <groupName>知识性问题</groupName>
      <ability>L2_Knowledge</ability>
      <abilityName>其他知识</abilityName>
      <candidateList>
        <item>40%—80%</item>
      </candidateList>
      <explain>1. “40%-80%”中的单位“%”仅出现在后一个数字上，容易引起歧义；根据《现代汉语标点符号数字用法规范手册》，数字表示范围两边需要使用统一的格式。2. 根据标点国标 4.13 中的规则，数字、时间或地域连接符应使用（视觉上更长的）“—”或“～”。</explain>
      <paraID>5D6B504D</paraID>
      <start>664</start>
      <end>671</end>
      <status>unmodified</status>
      <modifiedWord/>
      <trackRevisions>false</trackRevisions>
    </reviewItem>
    <reviewItem>
      <errorID>70037e70-41de-48fe-9717-5170e4308b52</errorID>
      <errorWord>极度</errorWord>
      <group>L1_Word</group>
      <groupName>字词问题</groupName>
      <ability>L2_Typo</ability>
      <abilityName>字词错误</abilityName>
      <candidateList>
        <item>急需</item>
      </candidateList>
      <explain/>
      <paraID>5D6B504D</paraID>
      <start>1188</start>
      <end>1190</end>
      <status>unmodified</status>
      <modifiedWord/>
      <trackRevisions>false</trackRevisions>
    </reviewItem>
    <reviewItem>
      <errorID>794198c2-55e2-4d91-a4dc-8dd0615524e2</errorID>
      <errorWord>、</errorWord>
      <group>L1_Punc</group>
      <groupName>标点问题</groupName>
      <ability>L2_Punc</ability>
      <abilityName>标点符号检查</abilityName>
      <candidateList>
        <item>.</item>
      </candidateList>
      <explain/>
      <paraID>4E871144</paraID>
      <start>1</start>
      <end>2</end>
      <status>unmodified</status>
      <modifiedWord/>
      <trackRevisions>false</trackRevisions>
    </reviewItem>
    <reviewItem>
      <errorID>c59783dc-cf00-4749-b48a-c070bfa72914</errorID>
      <errorWord>、</errorWord>
      <group>L1_Punc</group>
      <groupName>标点问题</groupName>
      <ability>L2_Punc</ability>
      <abilityName>标点符号检查</abilityName>
      <candidateList>
        <item>.</item>
      </candidateList>
      <explain/>
      <paraID>528B2472</paraID>
      <start>1</start>
      <end>2</end>
      <status>unmodified</status>
      <modifiedWord/>
      <trackRevisions>false</trackRevisions>
    </reviewItem>
    <reviewItem>
      <errorID>e0031035-23cc-4647-acc1-8c85926d9ce8</errorID>
      <errorWord>中、低产</errorWord>
      <group>L1_Punc</group>
      <groupName>标点问题</groupName>
      <ability>L2_Punc</ability>
      <abilityName>标点符号检查</abilityName>
      <candidateList>
        <item>中低产</item>
      </candidateList>
      <explain/>
      <paraID>3652CC65</paraID>
      <start>61</start>
      <end>65</end>
      <status>unmodified</status>
      <modifiedWord/>
      <trackRevisions>false</trackRevisions>
    </reviewItem>
    <reviewItem>
      <errorID>28c4409c-66b6-4901-abab-f365759bfa78</errorID>
      <errorWord>主要以玉米为主</errorWord>
      <group>L1_Word</group>
      <groupName>字词问题</groupName>
      <ability>L2_Typo</ability>
      <abilityName>字词错误</abilityName>
      <candidateList>
        <item>以玉米为主</item>
      </candidateList>
      <explain/>
      <paraID>3652CC65</paraID>
      <start>72</start>
      <end>79</end>
      <status>unmodified</status>
      <modifiedWord/>
      <trackRevisions>false</trackRevisions>
    </reviewItem>
    <reviewItem>
      <errorID>ee542360-b988-472c-b4e5-a51a34a38aab</errorID>
      <errorWord>法制化</errorWord>
      <group>L1_Word</group>
      <groupName>字词问题</groupName>
      <ability>L2_Typo</ability>
      <abilityName>字词错误</abilityName>
      <candidateList>
        <item>法治化</item>
      </candidateList>
      <explain/>
      <paraID>7C006363</paraID>
      <start>320</start>
      <end>323</end>
      <status>modified</status>
      <modifiedWord>法治化</modifiedWord>
      <trackRevisions>false</trackRevisions>
    </reviewItem>
    <reviewItem>
      <errorID>5e7db698-2658-4630-9228-29a141922f07</errorID>
      <errorWord>《</errorWord>
      <group>L1_Punc</group>
      <groupName>标点问题</groupName>
      <ability>L2_Punc</ability>
      <abilityName>标点符号检查</abilityName>
      <candidateList/>
      <explain>同一形式括号套用。</explain>
      <paraID>7BE8488B</paraID>
      <start>28</start>
      <end>29</end>
      <status>unmodified</status>
      <modifiedWord/>
      <trackRevisions>false</trackRevisions>
    </reviewItem>
    <reviewItem>
      <errorID>407dad3c-c993-4563-be23-ed14a7af02df</errorID>
      <errorWord>》</errorWord>
      <group>L1_Punc</group>
      <groupName>标点问题</groupName>
      <ability>L2_Punc</ability>
      <abilityName>标点符号检查</abilityName>
      <candidateList/>
      <explain>同一形式括号套用。</explain>
      <paraID>7BE8488B</paraID>
      <start>43</start>
      <end>44</end>
      <status>unmodified</status>
      <modifiedWord/>
      <trackRevisions>false</trackRevisions>
    </reviewItem>
    <reviewItem>
      <errorID>22fcb9f3-fccf-4183-82a7-ea55414d2098</errorID>
      <errorWord>，</errorWord>
      <group>L1_Word</group>
      <groupName>字词问题</groupName>
      <ability>L2_Typo</ability>
      <abilityName>字词错误</abilityName>
      <candidateList>
        <item>，应</item>
      </candidateList>
      <explain/>
      <paraID>7BE8488B</paraID>
      <start>70</start>
      <end>71</end>
      <status>unmodified</status>
      <modifiedWord/>
      <trackRevisions>false</trackRevisions>
    </reviewItem>
    <reviewItem>
      <errorID>99ecbc24-0918-4f1b-8387-01a804d21505</errorID>
      <errorWord>主要土壤类型以草甸土为主</errorWord>
      <group>L1_Word</group>
      <groupName>字词问题</groupName>
      <ability>L2_Typo</ability>
      <abilityName>字词错误</abilityName>
      <candidateList>
        <item>土壤类型以草甸土为主</item>
      </candidateList>
      <explain/>
      <paraID>1245C097</paraID>
      <start>71</start>
      <end>83</end>
      <status>unmodified</status>
      <modifiedWord/>
      <trackRevisions>false</trackRevisions>
    </reviewItem>
    <reviewItem>
      <errorID>7c795831-4137-4b42-ab28-edf98667da95</errorID>
      <errorWord>:</errorWord>
      <group>L1_Format</group>
      <groupName>格式问题</groupName>
      <ability>L2_HalfPunc</ability>
      <abilityName>全半角检查</abilityName>
      <candidateList>
        <item>：</item>
      </candidateList>
      <explain>文本全半角错误。</explain>
      <paraID>3D6D7472</paraID>
      <start>241</start>
      <end>242</end>
      <status>unmodified</status>
      <modifiedWord/>
      <trackRevisions>false</trackRevisions>
    </reviewItem>
    <reviewItem>
      <errorID>21d8861d-79bd-44c7-a6fd-1d47b9d282a5</errorID>
      <errorWord>程</errorWord>
      <group>L1_Word</group>
      <groupName>字词问题</groupName>
      <ability>L2_Typo</ability>
      <abilityName>字词错误</abilityName>
      <candidateList>
        <item>程中</item>
      </candidateList>
      <explain/>
      <paraID>4E2253DA</paraID>
      <start>52</start>
      <end>53</end>
      <status>unmodified</status>
      <modifiedWord/>
      <trackRevisions>false</trackRevisions>
    </reviewItem>
    <reviewItem>
      <errorID>2f59766c-1f7c-4542-9251-0a122442121d</errorID>
      <errorWord>程</errorWord>
      <group>L1_Word</group>
      <groupName>字词问题</groupName>
      <ability>L2_Typo</ability>
      <abilityName>字词错误</abilityName>
      <candidateList>
        <item>程中</item>
      </candidateList>
      <explain/>
      <paraID>5BDBFFFB</paraID>
      <start>4</start>
      <end>5</end>
      <status>unmodified</status>
      <modifiedWord/>
      <trackRevisions>false</trackRevisions>
    </reviewItem>
    <reviewItem>
      <errorID>79dea6a4-c546-45fe-9fb8-c54ecc6ad5d0</errorID>
      <errorWord>溶液</errorWord>
      <group>L1_Word</group>
      <groupName>字词问题</groupName>
      <ability>L2_Typo</ability>
      <abilityName>字词错误</abilityName>
      <candidateList>
        <item>熔液</item>
      </candidateList>
      <explain/>
      <paraID> 83633AB</paraID>
      <start>32</start>
      <end>34</end>
      <status>unmodified</status>
      <modifiedWord/>
      <trackRevisions>false</trackRevisions>
    </reviewItem>
    <reviewItem>
      <errorID>b557f0b5-dba9-48f1-85de-33c2ef5fcbe4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5DCE2A72</paraID>
      <start>95</start>
      <end>96</end>
      <status>unmodified</status>
      <modifiedWord/>
      <trackRevisions>false</trackRevisions>
    </reviewItem>
    <reviewItem>
      <errorID>2d8129b3-0ae6-40c7-b877-1f1bcc9dbb02</errorID>
      <errorWord>运宋</errorWord>
      <group>L1_Word</group>
      <groupName>字词问题</groupName>
      <ability>L2_Typo</ability>
      <abilityName>字词错误</abilityName>
      <candidateList>
        <item>运送</item>
      </candidateList>
      <explain>存在发音相同字词的误用。</explain>
      <paraID> 672F49B</paraID>
      <start>29</start>
      <end>31</end>
      <status>unmodified</status>
      <modifiedWord/>
      <trackRevisions>false</trackRevisions>
    </reviewItem>
    <reviewItem>
      <errorID>fae5749c-2bef-4b78-a160-4b12479fb3d5</errorID>
      <errorWord>，使</errorWord>
      <group>L1_Word</group>
      <groupName>字词问题</groupName>
      <ability>L2_Typo</ability>
      <abilityName>字词错误</abilityName>
      <candidateList>
        <item>，</item>
      </candidateList>
      <explain/>
      <paraID> E90B35C</paraID>
      <start>92</start>
      <end>94</end>
      <status>unmodified</status>
      <modifiedWord/>
      <trackRevisions>false</trackRevisions>
    </reviewItem>
    <reviewItem>
      <errorID>63693ced-a128-421e-b249-67bb4969c0ae</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6C60441D</paraID>
      <start>0</start>
      <end>2</end>
      <status>unmodified</status>
      <modifiedWord/>
      <trackRevisions>false</trackRevisions>
    </reviewItem>
    <reviewItem>
      <errorID>0563d4fa-a9ad-445c-93c4-c79c97dfddc5</errorID>
      <errorWord>情景</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52A3727C</paraID>
      <start>7</start>
      <end>9</end>
      <status>unmodified</status>
      <modifiedWord/>
      <trackRevisions>false</trackRevisions>
    </reviewItem>
    <reviewItem>
      <errorID>ab3a800d-8ed6-4d43-930d-5ced57cb8c41</errorID>
      <errorWord>~</errorWord>
      <group>L1_Format</group>
      <groupName>格式问题</groupName>
      <ability>L2_HalfPunc</ability>
      <abilityName>全半角检查</abilityName>
      <candidateList>
        <item>～</item>
      </candidateList>
      <explain>文本全半角错误。</explain>
      <paraID>52A3727C</paraID>
      <start>82</start>
      <end>83</end>
      <status>unmodified</status>
      <modifiedWord/>
      <trackRevisions>false</trackRevisions>
    </reviewItem>
    <reviewItem>
      <errorID>4d9670e9-6d77-4622-8a27-6017d98a03e7</errorID>
      <errorWord>II类</errorWord>
      <group>L1_Knowledge</group>
      <groupName>知识性问题</groupName>
      <ability>L2_Knowledge</ability>
      <abilityName>其他知识</abilityName>
      <candidateList>
        <item>Ⅱ类</item>
      </candidateList>
      <explain/>
      <paraID>1230A33F</paraID>
      <start>136</start>
      <end>139</end>
      <status>unmodified</status>
      <modifiedWord/>
      <trackRevisions>false</trackRevisions>
    </reviewItem>
    <reviewItem>
      <errorID>937ee5e9-7bc6-4d03-ad51-e3f94cb371a4</errorID>
      <errorWord>II类</errorWord>
      <group>L1_Knowledge</group>
      <groupName>知识性问题</groupName>
      <ability>L2_Knowledge</ability>
      <abilityName>其他知识</abilityName>
      <candidateList>
        <item>Ⅱ类</item>
      </candidateList>
      <explain/>
      <paraID>5608C0E9</paraID>
      <start>114</start>
      <end>117</end>
      <status>unmodified</status>
      <modifiedWord/>
      <trackRevisions>false</trackRevisions>
    </reviewItem>
    <reviewItem>
      <errorID>dba96c77-5dab-4746-a98d-59d8b07d72fb</errorID>
      <errorWord>II类</errorWord>
      <group>L1_Knowledge</group>
      <groupName>知识性问题</groupName>
      <ability>L2_Knowledge</ability>
      <abilityName>其他知识</abilityName>
      <candidateList>
        <item>Ⅱ类</item>
      </candidateList>
      <explain/>
      <paraID>5C567371</paraID>
      <start>116</start>
      <end>119</end>
      <status>unmodified</status>
      <modifiedWord/>
      <trackRevisions>false</trackRevisions>
    </reviewItem>
    <reviewItem>
      <errorID>2b4e6872-f55f-420f-ad19-9575bfd85bba</errorID>
      <errorWord>泄漏预测</errorWord>
      <group>L1_Knowledge</group>
      <groupName>知识性问题</groupName>
      <ability>L2_Term</ability>
      <abilityName>专业术语</abilityName>
      <candidateList>
        <item>泄漏检测</item>
      </candidateList>
      <explain/>
      <paraID>3F2AF88B</paraID>
      <start>238</start>
      <end>242</end>
      <status>unmodified</status>
      <modifiedWord/>
      <trackRevisions>false</trackRevisions>
    </reviewItem>
    <reviewItem>
      <errorID>97522399-f7e7-462b-b90c-d2f14923a154</errorID>
      <errorWord>x，</errorWord>
      <group>L1_Format</group>
      <groupName>格式问题</groupName>
      <ability>L2_Ordinal</ability>
      <abilityName>序号格式</abilityName>
      <candidateList>
        <item>x.</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64D1B7E0</paraID>
      <start>0</start>
      <end>2</end>
      <status>unmodified</status>
      <modifiedWord/>
      <trackRevisions>false</trackRevisions>
    </reviewItem>
    <reviewItem>
      <errorID>9a7b664c-eeed-416d-b562-14194ca4201a</errorID>
      <errorWord>~</errorWord>
      <group>L1_Format</group>
      <groupName>格式问题</groupName>
      <ability>L2_HalfPunc</ability>
      <abilityName>全半角检查</abilityName>
      <candidateList>
        <item>～</item>
      </candidateList>
      <explain>文本全半角错误。</explain>
      <paraID>4854B112</paraID>
      <start>49</start>
      <end>50</end>
      <status>unmodified</status>
      <modifiedWord/>
      <trackRevisions>false</trackRevisions>
    </reviewItem>
    <reviewItem>
      <errorID>fff2e690-0de7-4174-91ce-4233c9c00d19</errorID>
      <errorWord>II类</errorWord>
      <group>L1_Knowledge</group>
      <groupName>知识性问题</groupName>
      <ability>L2_Knowledge</ability>
      <abilityName>其他知识</abilityName>
      <candidateList>
        <item>Ⅱ类</item>
      </candidateList>
      <explain/>
      <paraID>297D36AC</paraID>
      <start>107</start>
      <end>110</end>
      <status>unmodified</status>
      <modifiedWord/>
      <trackRevisions>false</trackRevisions>
    </reviewItem>
    <reviewItem>
      <errorID>9e804647-fe28-4236-906e-455b1fb42fa2</errorID>
      <errorWord>II类</errorWord>
      <group>L1_Knowledge</group>
      <groupName>知识性问题</groupName>
      <ability>L2_Knowledge</ability>
      <abilityName>其他知识</abilityName>
      <candidateList>
        <item>Ⅱ类</item>
      </candidateList>
      <explain/>
      <paraID>  CDCAE8</paraID>
      <start>78</start>
      <end>81</end>
      <status>unmodified</status>
      <modifiedWord/>
      <trackRevisions>false</trackRevisions>
    </reviewItem>
    <reviewItem>
      <errorID>7b7120a1-41fa-47cc-8a43-15f0c3313eae</errorID>
      <errorWord>II类</errorWord>
      <group>L1_Knowledge</group>
      <groupName>知识性问题</groupName>
      <ability>L2_Knowledge</ability>
      <abilityName>其他知识</abilityName>
      <candidateList>
        <item>Ⅱ类</item>
      </candidateList>
      <explain/>
      <paraID>5CB5FE2E</paraID>
      <start>90</start>
      <end>93</end>
      <status>unmodified</status>
      <modifiedWord/>
      <trackRevisions>false</trackRevisions>
    </reviewItem>
    <reviewItem>
      <errorID>46b08456-3dbd-42e6-b647-94bc93222716</errorID>
      <errorWord>管道在</errorWord>
      <group>L1_Word</group>
      <groupName>字词问题</groupName>
      <ability>L2_Typo</ability>
      <abilityName>字词错误</abilityName>
      <candidateList>
        <item>管道</item>
      </candidateList>
      <explain/>
      <paraID>72689881</paraID>
      <start>84</start>
      <end>87</end>
      <status>unmodified</status>
      <modifiedWord/>
      <trackRevisions>false</trackRevisions>
    </reviewItem>
    <reviewItem>
      <errorID>af528165-dabb-46fa-a843-b3b43c7f2fb6</errorID>
      <errorWord>期</errorWord>
      <group>L1_Word</group>
      <groupName>字词问题</groupName>
      <ability>L2_Typo</ability>
      <abilityName>字词错误</abilityName>
      <candidateList>
        <item>期间</item>
      </candidateList>
      <explain>〈名〉某个时期里面：农忙～｜春节～｜抗战～。</explain>
      <paraID>5DDB8739</paraID>
      <start>2</start>
      <end>3</end>
      <status>unmodified</status>
      <modifiedWord/>
      <trackRevisions>false</trackRevisions>
    </reviewItem>
    <reviewItem>
      <errorID>5f5c3a8a-05c8-472c-a1f7-e8e02f2d8928</errorID>
      <errorWord>，使</errorWord>
      <group>L1_Word</group>
      <groupName>字词问题</groupName>
      <ability>L2_Typo</ability>
      <abilityName>字词错误</abilityName>
      <candidateList>
        <item>，</item>
      </candidateList>
      <explain/>
      <paraID>721C64C3</paraID>
      <start>7</start>
      <end>9</end>
      <status>unmodified</status>
      <modifiedWord/>
      <trackRevisions>false</trackRevisions>
    </reviewItem>
    <reviewItem>
      <errorID>e921fd6c-a3e1-4ee5-8753-28ca9089d794</errorID>
      <errorWord>（</errorWord>
      <group>L1_Punc</group>
      <groupName>标点问题</groupName>
      <ability>L2_Punc</ability>
      <abilityName>标点符号检查</abilityName>
      <candidateList/>
      <explain>同一形式括号套用。</explain>
      <paraID>456F33EB</paraID>
      <start>140</start>
      <end>141</end>
      <status>unmodified</status>
      <modifiedWord/>
      <trackRevisions>false</trackRevisions>
    </reviewItem>
    <reviewItem>
      <errorID>954212cc-c6aa-45f0-bbb3-f3d7b47b5257</errorID>
      <errorWord>）</errorWord>
      <group>L1_Punc</group>
      <groupName>标点问题</groupName>
      <ability>L2_Punc</ability>
      <abilityName>标点符号检查</abilityName>
      <candidateList/>
      <explain>同一形式括号套用。</explain>
      <paraID>456F33EB</paraID>
      <start>142</start>
      <end>143</end>
      <status>unmodified</status>
      <modifiedWord/>
      <trackRevisions>false</trackRevisions>
    </reviewItem>
    <reviewItem>
      <errorID>5e3f52d8-8b8e-453c-ab58-c371689005b7</errorID>
      <errorWord>护</errorWord>
      <group>L1_Word</group>
      <groupName>字词问题</groupName>
      <ability>L2_Typo</ability>
      <abilityName>字词错误</abilityName>
      <candidateList>
        <item>护和</item>
      </candidateList>
      <explain/>
      <paraID>3B8F2EB1</paraID>
      <start>34</start>
      <end>35</end>
      <status>unmodified</status>
      <modifiedWord/>
      <trackRevisions>false</trackRevisions>
    </reviewItem>
    <reviewItem>
      <errorID>932a083a-2e9b-4ea2-b21e-de9801454256</errorID>
      <errorWord>挖出</errorWord>
      <group>L1_Word</group>
      <groupName>字词问题</groupName>
      <ability>L2_Typo</ability>
      <abilityName>字词错误</abilityName>
      <candidateList>
        <item>挖除</item>
      </candidateList>
      <explain/>
      <paraID>71B335C6</paraID>
      <start>52</start>
      <end>54</end>
      <status>unmodified</status>
      <modifiedWord/>
      <trackRevisions>false</trackRevisions>
    </reviewItem>
    <reviewItem>
      <errorID>71feaf1d-101e-420a-8e89-a9877dfe77ae</errorID>
      <errorWord>产生</errorWord>
      <group>L1_Word</group>
      <groupName>字词问题</groupName>
      <ability>L2_Typo</ability>
      <abilityName>字词错误</abilityName>
      <candidateList>
        <item>带来</item>
      </candidateList>
      <explain>“构型～产生”搭配不当，建议修改为“构型～带来”。</explain>
      <paraID>30DC891D</paraID>
      <start>70</start>
      <end>72</end>
      <status>unmodified</status>
      <modifiedWord/>
      <trackRevisions>false</trackRevisions>
    </reviewItem>
    <reviewItem>
      <errorID>1fe38f1c-3445-4f37-a69e-d477185731ec</errorID>
      <errorWord>见</errorWord>
      <group>L1_Word</group>
      <groupName>字词问题</groupName>
      <ability>L2_Typo</ability>
      <abilityName>字词错误</abilityName>
      <candidateList>
        <item>见下</item>
      </candidateList>
      <explain/>
      <paraID>1C701D0A</paraID>
      <start>117</start>
      <end>118</end>
      <status>unmodified</status>
      <modifiedWord/>
      <trackRevisions>false</trackRevisions>
    </reviewItem>
    <reviewItem>
      <errorID>8bf6fe7c-da93-4da7-bdce-a4ec67362ca2</errorID>
      <errorWord>（</errorWord>
      <group>L1_Punc</group>
      <groupName>标点问题</groupName>
      <ability>L2_Punc</ability>
      <abilityName>标点符号检查</abilityName>
      <candidateList/>
      <explain/>
      <paraID>219FD903</paraID>
      <start>18</start>
      <end>19</end>
      <status>unmodified</status>
      <modifiedWord/>
      <trackRevisions>false</trackRevisions>
    </reviewItem>
    <reviewItem>
      <errorID>14862dde-0ef4-41a4-8383-4b130c68484a</errorID>
      <errorWord>基本已</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47A8F13A</paraID>
      <start>43</start>
      <end>46</end>
      <status>unmodified</status>
      <modifiedWord/>
      <trackRevisions>false</trackRevisions>
    </reviewItem>
    <reviewItem>
      <errorID>2cfb59da-646e-43c9-a480-959981970877</errorID>
      <errorWord>束</errorWord>
      <group>L1_Word</group>
      <groupName>字词问题</groupName>
      <ability>L2_Typo</ability>
      <abilityName>字词错误</abilityName>
      <candidateList>
        <item>束后</item>
      </candidateList>
      <explain/>
      <paraID>31C50894</paraID>
      <start>139</start>
      <end>140</end>
      <status>unmodified</status>
      <modifiedWord/>
      <trackRevisions>false</trackRevisions>
    </reviewItem>
    <reviewItem>
      <errorID>e8a364e0-cfe0-4de0-b75c-eb646738c010</errorID>
      <errorWord>质量监测</errorWord>
      <group>L1_Word</group>
      <groupName>字词问题</groupName>
      <ability>L2_Typo</ability>
      <abilityName>字词错误</abilityName>
      <candidateList>
        <item>质量检测</item>
      </candidateList>
      <explain/>
      <paraID>4708C8E9</paraID>
      <start>15</start>
      <end>19</end>
      <status>unmodified</status>
      <modifiedWord/>
      <trackRevisions>false</trackRevisions>
    </reviewItem>
    <reviewItem>
      <errorID>22c74a87-ff2d-4bfe-a781-2ec551aa60c6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35F1B291</paraID>
      <start>231</start>
      <end>232</end>
      <status>unmodified</status>
      <modifiedWord/>
      <trackRevisions>false</trackRevisions>
    </reviewItem>
    <reviewItem>
      <errorID>595e793a-4259-42e7-94a1-f70fea3468ea</errorID>
      <errorWord>~</errorWord>
      <group>L1_Format</group>
      <groupName>格式问题</groupName>
      <ability>L2_HalfPunc</ability>
      <abilityName>全半角检查</abilityName>
      <candidateList>
        <item>～</item>
      </candidateList>
      <explain>文本全半角错误。</explain>
      <paraID>47BFC49E</paraID>
      <start>199</start>
      <end>200</end>
      <status>unmodified</status>
      <modifiedWord/>
      <trackRevisions>false</trackRevisions>
    </reviewItem>
    <reviewItem>
      <errorID>e9659361-8954-4f3c-8e36-edc7008c4967</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37927DDD</paraID>
      <start>33</start>
      <end>40</end>
      <status>unmodified</status>
      <modifiedWord/>
      <trackRevisions>false</trackRevisions>
    </reviewItem>
    <reviewItem>
      <errorID>fc75a2f5-9d6b-425b-bad7-be4e29abb424</errorID>
      <errorWord>一、二年</errorWord>
      <group>L1_Punc</group>
      <groupName>标点问题</groupName>
      <ability>L2_Punc</ability>
      <abilityName>标点符号检查</abilityName>
      <candidateList>
        <item>一二年</item>
      </candidateList>
      <explain/>
      <paraID>1C78AFCA</paraID>
      <start>16</start>
      <end>20</end>
      <status>unmodified</status>
      <modifiedWord/>
      <trackRevisions>false</trackRevisions>
    </reviewItem>
    <reviewItem>
      <errorID>0e28d902-12a3-4920-9ba8-3ae9f25d156a</errorID>
      <errorWord>（</errorWord>
      <group>L1_Punc</group>
      <groupName>标点问题</groupName>
      <ability>L2_Punc</ability>
      <abilityName>标点符号检查</abilityName>
      <candidateList/>
      <explain/>
      <paraID>3FD08E5E</paraID>
      <start>2</start>
      <end>3</end>
      <status>unmodified</status>
      <modifiedWord/>
      <trackRevisions>false</trackRevisions>
    </reviewItem>
    <reviewItem>
      <errorID>8805e971-9440-4e68-a378-73ecc3917a58</errorID>
      <errorWord>实实</errorWord>
      <group>L1_Word</group>
      <groupName>字词问题</groupName>
      <ability>L2_Typo</ability>
      <abilityName>字词错误</abilityName>
      <candidateList>
        <item>实</item>
      </candidateList>
      <explain/>
      <paraID>2EB79F46</paraID>
      <start>5</start>
      <end>7</end>
      <status>unmodified</status>
      <modifiedWord/>
      <trackRevisions>false</trackRevisions>
    </reviewItem>
    <reviewItem>
      <errorID>8ac99ce9-3f74-4f06-a3dd-576b84aee401</errorID>
      <errorWord>多借</errorWord>
      <group>L1_Word</group>
      <groupName>字词问题</groupName>
      <ability>L2_Typo</ability>
      <abilityName>字词错误</abilityName>
      <candidateList>
        <item>多截</item>
      </candidateList>
      <explain/>
      <paraID>59834A0C</paraID>
      <start>72</start>
      <end>74</end>
      <status>unmodified</status>
      <modifiedWord/>
      <trackRevisions>false</trackRevisions>
    </reviewItem>
    <reviewItem>
      <errorID>08c447da-ab0c-4d6d-a7bc-9435d33bc33a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25F116D9</paraID>
      <start>23</start>
      <end>24</end>
      <status>unmodified</status>
      <modifiedWord/>
      <trackRevisions>false</trackRevisions>
    </reviewItem>
    <reviewItem>
      <errorID>3a48a0ac-3df4-4b78-9293-e64a53cc1b1b</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6209986A</paraID>
      <start>49</start>
      <end>50</end>
      <status>unmodified</status>
      <modifiedWord/>
      <trackRevisions>false</trackRevisions>
    </reviewItem>
    <reviewItem>
      <errorID>1bfa4d9e-40e5-4148-8833-31f823371bae</errorID>
      <errorWord>[2019]1号</errorWord>
      <group>L1_Knowledge</group>
      <groupName>知识性问题</groupName>
      <ability>L2_Knowledge</ability>
      <abilityName>其他知识</abilityName>
      <candidateList>
        <item>〔2019〕1号</item>
      </candidateList>
      <explain>发文字号格式错误。</explain>
      <paraID>6FFE8172</paraID>
      <start>40</start>
      <end>48</end>
      <status>unmodified</status>
      <modifiedWord/>
      <trackRevisions>false</trackRevisions>
    </reviewItem>
    <reviewItem>
      <errorID>8ab8840d-fa8a-4d9f-95fb-8b4efcfcc9c8</errorID>
      <errorWord>：</errorWord>
      <group>L1_Format</group>
      <groupName>格式问题</groupName>
      <ability>L2_HalfPunc</ability>
      <abilityName>全半角检查</abilityName>
      <candidateList>
        <item>:</item>
      </candidateList>
      <explain>文本全半角错误。</explain>
      <paraID>75415D96</paraID>
      <start>4</start>
      <end>5</end>
      <status>unmodified</status>
      <modifiedWord/>
      <trackRevisions>false</trackRevisions>
    </reviewItem>
    <reviewItem>
      <errorID>7377f845-143e-4b28-8652-9bd3d3c09600</errorID>
      <errorWord>属甲</errorWord>
      <group>L1_Word</group>
      <groupName>字词问题</groupName>
      <ability>L2_Typo</ability>
      <abilityName>字词错误</abilityName>
      <candidateList>
        <item>属于</item>
      </candidateList>
      <explain/>
      <paraID>7A276891</paraID>
      <start>54</start>
      <end>56</end>
      <status>unmodified</status>
      <modifiedWord/>
      <trackRevisions>false</trackRevisions>
    </reviewItem>
    <reviewItem>
      <errorID>5cba6695-1ba3-43db-bf34-f1287079d184</errorID>
      <errorWord>7-8年</errorWord>
      <group>L1_Word</group>
      <groupName>字词问题</groupName>
      <ability>L2_Typo</ability>
      <abilityName>字词错误</abilityName>
      <candidateList>
        <item>7～8年</item>
      </candidateList>
      <explain/>
      <paraID>5011613F</paraID>
      <start>17</start>
      <end>21</end>
      <status>unmodified</status>
      <modifiedWord/>
      <trackRevisions>false</trackRevisions>
    </reviewItem>
    <reviewItem>
      <errorID>d328806b-2c7d-49a3-bb00-a6df50997858</errorID>
      <errorWord>，</errorWord>
      <group>L1_Word</group>
      <groupName>字词问题</groupName>
      <ability>L2_Typo</ability>
      <abilityName>字词错误</abilityName>
      <candidateList>
        <item>，从</item>
      </candidateList>
      <explain/>
      <paraID>5011613F</paraID>
      <start>39</start>
      <end>40</end>
      <status>unmodified</status>
      <modifiedWord/>
      <trackRevisions>false</trackRevisions>
    </reviewItem>
    <reviewItem>
      <errorID>27868948-4570-4ba8-a842-fecbda0ba4e0</errorID>
      <errorWord>侵蚀</errorWord>
      <group>L1_Word</group>
      <groupName>字词问题</groupName>
      <ability>L2_Typo</ability>
      <abilityName>字词错误</abilityName>
      <candidateList>
        <item>浸蚀</item>
      </candidateList>
      <explain/>
      <paraID>25AC0A1F</paraID>
      <start>27</start>
      <end>29</end>
      <status>unmodified</status>
      <modifiedWord/>
      <trackRevisions>false</trackRevisions>
    </reviewItem>
    <reviewItem>
      <errorID>3d2fb684-60a4-4595-b9ab-f681ff2c2596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42539202</paraID>
      <start>47</start>
      <end>48</end>
      <status>unmodified</status>
      <modifiedWord/>
      <trackRevisions>false</trackRevisions>
    </reviewItem>
    <reviewItem>
      <errorID>648a4d33-118c-4af0-a71b-8df21209197f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26F09DC5</paraID>
      <start>88</start>
      <end>89</end>
      <status>unmodified</status>
      <modifiedWord/>
      <trackRevisions>false</trackRevisions>
    </reviewItem>
    <reviewItem>
      <errorID>313b14c2-1007-46aa-8100-01f93436bfe1</errorID>
      <errorWord>可</errorWord>
      <group>L1_Word</group>
      <groupName>字词问题</groupName>
      <ability>L2_Typo</ability>
      <abilityName>字词错误</abilityName>
      <candidateList>
        <item>可能</item>
      </candidateList>
      <explain/>
      <paraID>5032E63B</paraID>
      <start>166</start>
      <end>167</end>
      <status>unmodified</status>
      <modifiedWord/>
      <trackRevisions>false</trackRevisions>
    </reviewItem>
    <reviewItem>
      <errorID>920852ca-87f6-4dee-a9a2-cbd6e54bf9a3</errorID>
      <errorWord>粘附</errorWord>
      <group>L1_Word</group>
      <groupName>字词问题</groupName>
      <ability>L2_Alias</ability>
      <abilityName>也作/曾用词</abilityName>
      <candidateList>
        <item>黏附</item>
      </candidateList>
      <explain>词汇[粘附]为不规范表述或旧称，其规范书面表述为[黏附]。</explain>
      <paraID>5032E63B</paraID>
      <start>229</start>
      <end>231</end>
      <status>unmodified</status>
      <modifiedWord/>
      <trackRevisions>false</trackRevisions>
    </reviewItem>
    <reviewItem>
      <errorID>a909de07-bdf8-454a-b67e-5497af245f53</errorID>
      <errorWord>《</errorWord>
      <group>L1_Punc</group>
      <groupName>标点问题</groupName>
      <ability>L2_Punc</ability>
      <abilityName>标点符号检查</abilityName>
      <candidateList/>
      <explain/>
      <paraID>6A888C27</paraID>
      <start>9</start>
      <end>10</end>
      <status>unmodified</status>
      <modifiedWord/>
      <trackRevisions>false</trackRevisions>
    </reviewItem>
    <reviewItem>
      <errorID>02a769eb-72c0-49e7-b46a-9c57d99b113e</errorID>
      <errorWord>内容表</errorWord>
      <group>L1_Word</group>
      <groupName>字词问题</groupName>
      <ability>L2_Typo</ability>
      <abilityName>字词错误</abilityName>
      <candidateList>
        <item>内容</item>
      </candidateList>
      <explain>〈名〉事物内部所含的实质或存在的情况：这次谈话的～牵涉的面很广｜这个刊物～丰富。</explain>
      <paraID>11E5BAE3</paraID>
      <start>223</start>
      <end>226</end>
      <status>unmodified</status>
      <modifiedWord/>
      <trackRevisions>false</trackRevisions>
    </reviewItem>
    <reviewItem>
      <errorID>dacda11e-5f30-45f9-8033-556e67f7d0ed</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69639C06</paraID>
      <start>0</start>
      <end>2</end>
      <status>unmodified</status>
      <modifiedWord/>
      <trackRevisions>false</trackRevisions>
    </reviewItem>
    <reviewItem>
      <errorID>185c8c90-7ae2-4003-a712-f7876522e3f3</errorID>
      <errorWord>程</errorWord>
      <group>L1_Word</group>
      <groupName>字词问题</groupName>
      <ability>L2_Typo</ability>
      <abilityName>字词错误</abilityName>
      <candidateList>
        <item>程中</item>
      </candidateList>
      <explain/>
      <paraID>5230CD1F</paraID>
      <start>66</start>
      <end>67</end>
      <status>unmodified</status>
      <modifiedWord/>
      <trackRevisions>false</trackRevisions>
    </reviewItem>
    <reviewItem>
      <errorID>39b1edc3-91d1-46dc-bf3c-ab18c618f1b3</errorID>
      <errorWord>野外作业区</errorWord>
      <group>L1_Word</group>
      <groupName>字词问题</groupName>
      <ability>L2_Typo</ability>
      <abilityName>字词错误</abilityName>
      <candidateList>
        <item>野外作业</item>
      </candidateList>
      <explain/>
      <paraID>33BDA239</paraID>
      <start>57</start>
      <end>62</end>
      <status>unmodified</status>
      <modifiedWord/>
      <trackRevisions>false</trackRevisions>
    </reviewItem>
    <reviewItem>
      <errorID>8c206d7e-ae86-4843-b290-13941cf6c1d7</errorID>
      <errorWord>/、</errorWord>
      <group>L1_Punc</group>
      <groupName>标点问题</groupName>
      <ability>L2_Punc</ability>
      <abilityName>标点符号检查</abilityName>
      <candidateList>
        <item>/</item>
      </candidateList>
      <explain/>
      <paraID>37362A74</paraID>
      <start>141</start>
      <end>143</end>
      <status>unmodified</status>
      <modifiedWord/>
      <trackRevisions>false</trackRevisions>
    </reviewItem>
    <reviewItem>
      <errorID>2223cd19-d951-4f0d-813e-52695e410a53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48867FB6</paraID>
      <start>40</start>
      <end>41</end>
      <status>unmodified</status>
      <modifiedWord/>
      <trackRevisions>false</trackRevisions>
    </reviewItem>
    <reviewItem>
      <errorID>eaca8f3c-7f1d-4d70-a041-7fe35beebdca</errorID>
      <errorWord>程</errorWord>
      <group>L1_Word</group>
      <groupName>字词问题</groupName>
      <ability>L2_Typo</ability>
      <abilityName>字词错误</abilityName>
      <candidateList>
        <item>程中</item>
      </candidateList>
      <explain/>
      <paraID>26ABCEF3</paraID>
      <start>12</start>
      <end>13</end>
      <status>unmodified</status>
      <modifiedWord/>
      <trackRevisions>false</trackRevisions>
    </reviewItem>
    <reviewItem>
      <errorID>aae949bc-ed42-4a5d-8ee0-0ca8e1cdc1c4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596C3206</paraID>
      <start>60</start>
      <end>61</end>
      <status>unmodified</status>
      <modifiedWord/>
      <trackRevisions>false</trackRevisions>
    </reviewItem>
    <reviewItem>
      <errorID>95e2e39f-16e4-4cba-b609-9e178af6ec88</errorID>
      <errorWord>重点污染防渗区</errorWord>
      <group>L1_Knowledge</group>
      <groupName>知识性问题</groupName>
      <ability>L2_Term</ability>
      <abilityName>专业术语</abilityName>
      <candidateList>
        <item>重点污染防治区</item>
      </candidateList>
      <explain/>
      <paraID> 7002058</paraID>
      <start>55</start>
      <end>62</end>
      <status>unmodified</status>
      <modifiedWord/>
      <trackRevisions>false</trackRevisions>
    </reviewItem>
    <reviewItem>
      <errorID>4023b99e-cecb-4e98-bcb9-3f6f4050a269</errorID>
      <errorWord>，</errorWord>
      <group>L1_Format</group>
      <groupName>格式问题</groupName>
      <ability>L2_HalfPunc</ability>
      <abilityName>全半角检查</abilityName>
      <candidateList>
        <item>,</item>
      </candidateList>
      <explain>文本全半角错误。</explain>
      <paraID>43052691</paraID>
      <start>11</start>
      <end>12</end>
      <status>unmodified</status>
      <modifiedWord/>
      <trackRevisions>false</trackRevisions>
    </reviewItem>
    <reviewItem>
      <errorID>f6ff407e-4a82-480f-b859-592421d5427c</errorID>
      <errorWord>，</errorWord>
      <group>L1_Format</group>
      <groupName>格式问题</groupName>
      <ability>L2_HalfPunc</ability>
      <abilityName>全半角检查</abilityName>
      <candidateList>
        <item>,</item>
      </candidateList>
      <explain>文本全半角错误。</explain>
      <paraID>2B20CF07</paraID>
      <start>11</start>
      <end>12</end>
      <status>unmodified</status>
      <modifiedWord/>
      <trackRevisions>false</trackRevisions>
    </reviewItem>
    <reviewItem>
      <errorID>26cc0c00-701d-4728-b739-2e273e757bd4</errorID>
      <errorWord>，</errorWord>
      <group>L1_Format</group>
      <groupName>格式问题</groupName>
      <ability>L2_HalfPunc</ability>
      <abilityName>全半角检查</abilityName>
      <candidateList>
        <item>,</item>
      </candidateList>
      <explain>文本全半角错误。</explain>
      <paraID>7F7FE0C4</paraID>
      <start>11</start>
      <end>12</end>
      <status>unmodified</status>
      <modifiedWord/>
      <trackRevisions>false</trackRevisions>
    </reviewItem>
    <reviewItem>
      <errorID>df2c7da5-4715-4d6e-8124-63e1836e3d11</errorID>
      <errorWord>，</errorWord>
      <group>L1_Format</group>
      <groupName>格式问题</groupName>
      <ability>L2_HalfPunc</ability>
      <abilityName>全半角检查</abilityName>
      <candidateList>
        <item>,</item>
      </candidateList>
      <explain>文本全半角错误。</explain>
      <paraID>42A62CD1</paraID>
      <start>11</start>
      <end>12</end>
      <status>unmodified</status>
      <modifiedWord/>
      <trackRevisions>false</trackRevisions>
    </reviewItem>
    <reviewItem>
      <errorID>f4b4a13f-6285-46af-b0f2-dc21d8e66685</errorID>
      <errorWord>期</errorWord>
      <group>L1_Word</group>
      <groupName>字词问题</groupName>
      <ability>L2_Typo</ability>
      <abilityName>字词错误</abilityName>
      <candidateList>
        <item>期间</item>
      </candidateList>
      <explain>〈名〉某个时期里面：农忙～｜春节～｜抗战～。</explain>
      <paraID>395B81BE</paraID>
      <start>2</start>
      <end>3</end>
      <status>unmodified</status>
      <modifiedWord/>
      <trackRevisions>false</trackRevisions>
    </reviewItem>
    <reviewItem>
      <errorID>6d105395-7345-45ca-ae94-6965a0706875</errorID>
      <errorWord>，使</errorWord>
      <group>L1_Word</group>
      <groupName>字词问题</groupName>
      <ability>L2_Typo</ability>
      <abilityName>字词错误</abilityName>
      <candidateList>
        <item>，</item>
      </candidateList>
      <explain/>
      <paraID>1F45CC35</paraID>
      <start>7</start>
      <end>9</end>
      <status>unmodified</status>
      <modifiedWord/>
      <trackRevisions>false</trackRevisions>
    </reviewItem>
    <reviewItem>
      <errorID>bd67637a-b7e2-47d6-96fa-5609df78e497</errorID>
      <errorWord>（</errorWord>
      <group>L1_Punc</group>
      <groupName>标点问题</groupName>
      <ability>L2_Punc</ability>
      <abilityName>标点符号检查</abilityName>
      <candidateList/>
      <explain>同一形式括号套用。</explain>
      <paraID>6513389E</paraID>
      <start>140</start>
      <end>141</end>
      <status>unmodified</status>
      <modifiedWord/>
      <trackRevisions>false</trackRevisions>
    </reviewItem>
    <reviewItem>
      <errorID>60ffe000-d07a-4674-ad51-4f9022788f1f</errorID>
      <errorWord>）</errorWord>
      <group>L1_Punc</group>
      <groupName>标点问题</groupName>
      <ability>L2_Punc</ability>
      <abilityName>标点符号检查</abilityName>
      <candidateList/>
      <explain>同一形式括号套用。</explain>
      <paraID>6513389E</paraID>
      <start>142</start>
      <end>143</end>
      <status>unmodified</status>
      <modifiedWord/>
      <trackRevisions>false</trackRevisions>
    </reviewItem>
    <reviewItem>
      <errorID>aa1dd248-6b3b-43ea-afe0-c64caaca2986</errorID>
      <errorWord>期</errorWord>
      <group>L1_Word</group>
      <groupName>字词问题</groupName>
      <ability>L2_Typo</ability>
      <abilityName>字词错误</abilityName>
      <candidateList>
        <item>期间</item>
      </candidateList>
      <explain>〈名〉某个时期里面：农忙～｜春节～｜抗战～。</explain>
      <paraID> E577F68</paraID>
      <start>5</start>
      <end>6</end>
      <status>unmodified</status>
      <modifiedWord/>
      <trackRevisions>false</trackRevisions>
    </reviewItem>
    <reviewItem>
      <errorID>23a93bf0-5300-4b41-be53-a5847f4b9110</errorID>
      <errorWord>提高</errorWord>
      <group>L1_Word</group>
      <groupName>字词问题</groupName>
      <ability>L2_Typo</ability>
      <abilityName>字词错误</abilityName>
      <candidateList>
        <item>增强</item>
      </candidateList>
      <explain>“提高～意识”搭配不当，建议修改为“增强～意识”。</explain>
      <paraID>73074872</paraID>
      <start>18</start>
      <end>20</end>
      <status>unmodified</status>
      <modifiedWord/>
      <trackRevisions>false</trackRevisions>
    </reviewItem>
    <reviewItem>
      <errorID>b7a64dbf-7e04-464f-8ac9-1fb558e736a8</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16F586DC</paraID>
      <start>71</start>
      <end>73</end>
      <status>unmodified</status>
      <modifiedWord/>
      <trackRevisions>false</trackRevisions>
    </reviewItem>
    <reviewItem>
      <errorID>71d66da7-eb7c-4094-8b36-093824938429</errorID>
      <errorWord>颗</errorWord>
      <group>L1_Knowledge</group>
      <groupName>知识性问题</groupName>
      <ability>L2_Knowledge</ability>
      <abilityName>其他知识</abilityName>
      <candidateList>
        <item>株</item>
      </candidateList>
      <explain/>
      <paraID>13ACC0C3</paraID>
      <start>37</start>
      <end>38</end>
      <status>unmodified</status>
      <modifiedWord/>
      <trackRevisions>false</trackRevisions>
    </reviewItem>
    <reviewItem>
      <errorID>14a028cd-dc25-45f7-b211-5ff24304b25f</errorID>
      <errorWord>国家林业局</errorWord>
      <group>L1_Knowledge</group>
      <groupName>知识性问题</groupName>
      <ability>L2_Organization</ability>
      <abilityName>机构检查</abilityName>
      <candidateList>
        <item>国家林业和草原局</item>
      </candidateList>
      <explain>2018年3月，中共中央印发了《深化党和国家机构改革方案》，将国家林业局的职责，整合到新组建的国家林业和草原局。</explain>
      <paraID>219D243C</paraID>
      <start>21</start>
      <end>26</end>
      <status>unmodified</status>
      <modifiedWord/>
      <trackRevisions>false</trackRevisions>
    </reviewItem>
    <reviewItem>
      <errorID>83a48a90-22f4-49fb-825f-fffb477c6689</errorID>
      <errorWord>国家林业局</errorWord>
      <group>L1_Knowledge</group>
      <groupName>知识性问题</groupName>
      <ability>L2_Organization</ability>
      <abilityName>机构检查</abilityName>
      <candidateList>
        <item>国家林业和草原局</item>
      </candidateList>
      <explain>2018年3月，中共中央印发了《深化党和国家机构改革方案》，将国家林业局的职责，整合到新组建的国家林业和草原局。</explain>
      <paraID>219D243C</paraID>
      <start>34</start>
      <end>39</end>
      <status>unmodified</status>
      <modifiedWord/>
      <trackRevisions>false</trackRevisions>
    </reviewItem>
    <reviewItem>
      <errorID>ce071c0e-7c14-4e4b-a40b-3ecfc2b5fb5c</errorID>
      <errorWord>期</errorWord>
      <group>L1_Word</group>
      <groupName>字词问题</groupName>
      <ability>L2_Typo</ability>
      <abilityName>字词错误</abilityName>
      <candidateList>
        <item>期间</item>
      </candidateList>
      <explain>〈名〉某个时期里面：农忙～｜春节～｜抗战～。</explain>
      <paraID>78BE9C2C</paraID>
      <start>4</start>
      <end>5</end>
      <status>unmodified</status>
      <modifiedWord/>
      <trackRevisions>false</trackRevisions>
    </reviewItem>
    <reviewItem>
      <errorID>53fe35ef-469e-4363-b696-c730d13ed20a</errorID>
      <errorWord>提高</errorWord>
      <group>L1_Word</group>
      <groupName>字词问题</groupName>
      <ability>L2_Typo</ability>
      <abilityName>字词错误</abilityName>
      <candidateList>
        <item>增强</item>
      </candidateList>
      <explain>“提高～意识”搭配不当，建议修改为“增强～意识”。</explain>
      <paraID>1250CD9E</paraID>
      <start>20</start>
      <end>22</end>
      <status>unmodified</status>
      <modifiedWord/>
      <trackRevisions>false</trackRevisions>
    </reviewItem>
    <reviewItem>
      <errorID>0b387a2a-37b9-4d82-bde0-a3da2e75f971</errorID>
      <errorWord>提高</errorWord>
      <group>L1_Word</group>
      <groupName>字词问题</groupName>
      <ability>L2_Typo</ability>
      <abilityName>字词错误</abilityName>
      <candidateList>
        <item>增强</item>
      </candidateList>
      <explain>“提高～意识”搭配不当，建议修改为“增强～意识”。</explain>
      <paraID>725AD8FD</paraID>
      <start>0</start>
      <end>2</end>
      <status>unmodified</status>
      <modifiedWord/>
      <trackRevisions>false</trackRevisions>
    </reviewItem>
    <reviewItem>
      <errorID>bcb332c3-56c8-4770-a534-0e5350a671be</errorID>
      <errorWord>油水管道</errorWord>
      <group>L1_Knowledge</group>
      <groupName>知识性问题</groupName>
      <ability>L2_Term</ability>
      <abilityName>专业术语</abilityName>
      <candidateList>
        <item>雨水管道</item>
      </candidateList>
      <explain/>
      <paraID>2B272428</paraID>
      <start>3</start>
      <end>7</end>
      <status>unmodified</status>
      <modifiedWord/>
      <trackRevisions>false</trackRevisions>
    </reviewItem>
    <reviewItem>
      <errorID>a01eda20-daf0-472c-b367-42fe5c193fa7</errorID>
      <errorWord>，</errorWord>
      <group>L1_Format</group>
      <groupName>格式问题</groupName>
      <ability>L2_HalfPunc</ability>
      <abilityName>全半角检查</abilityName>
      <candidateList>
        <item>,</item>
      </candidateList>
      <explain>文本全半角错误。</explain>
      <paraID>1A892214</paraID>
      <start>10</start>
      <end>11</end>
      <status>unmodified</status>
      <modifiedWord/>
      <trackRevisions>false</trackRevisions>
    </reviewItem>
    <reviewItem>
      <errorID>c04719a0-81ee-48d7-8c5b-99c9d8df28cc</errorID>
      <errorWord>，</errorWord>
      <group>L1_Format</group>
      <groupName>格式问题</groupName>
      <ability>L2_HalfPunc</ability>
      <abilityName>全半角检查</abilityName>
      <candidateList>
        <item>,</item>
      </candidateList>
      <explain>文本全半角错误。</explain>
      <paraID>6C8BB8EF</paraID>
      <start>10</start>
      <end>11</end>
      <status>unmodified</status>
      <modifiedWord/>
      <trackRevisions>false</trackRevisions>
    </reviewItem>
    <reviewItem>
      <errorID>29496376-259f-430d-a0e2-2ef92e22980e</errorID>
      <errorWord>，</errorWord>
      <group>L1_Format</group>
      <groupName>格式问题</groupName>
      <ability>L2_HalfPunc</ability>
      <abilityName>全半角检查</abilityName>
      <candidateList>
        <item>,</item>
      </candidateList>
      <explain>文本全半角错误。</explain>
      <paraID>2956A032</paraID>
      <start>10</start>
      <end>11</end>
      <status>unmodified</status>
      <modifiedWord/>
      <trackRevisions>false</trackRevisions>
    </reviewItem>
    <reviewItem>
      <errorID>f3a9dd5a-8320-4545-8f51-02285b1a21d5</errorID>
      <errorWord>，</errorWord>
      <group>L1_Format</group>
      <groupName>格式问题</groupName>
      <ability>L2_HalfPunc</ability>
      <abilityName>全半角检查</abilityName>
      <candidateList>
        <item>,</item>
      </candidateList>
      <explain>文本全半角错误。</explain>
      <paraID>  1727E6</paraID>
      <start>10</start>
      <end>11</end>
      <status>unmodified</status>
      <modifiedWord/>
      <trackRevisions>false</trackRevisions>
    </reviewItem>
    <reviewItem>
      <errorID>90b81642-598d-4f3e-907f-dc9aa2d1acd7</errorID>
      <errorWord>通讯畅通</errorWord>
      <group>L1_Word</group>
      <groupName>字词问题</groupName>
      <ability>L2_Typo</ability>
      <abilityName>字词错误</abilityName>
      <candidateList>
        <item>通信畅通</item>
      </candidateList>
      <explain/>
      <paraID>6A6A01A2</paraID>
      <start>51</start>
      <end>55</end>
      <status>unmodified</status>
      <modifiedWord/>
      <trackRevisions>false</trackRevisions>
    </reviewItem>
    <reviewItem>
      <errorID>c812f202-05ae-43e7-8701-5131aae8d107</errorID>
      <errorWord>工作业</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62CC7D44</paraID>
      <start>21</start>
      <end>24</end>
      <status>unmodified</status>
      <modifiedWord/>
      <trackRevisions>false</trackRevisions>
    </reviewItem>
    <reviewItem>
      <errorID>2c5a1579-0673-4647-90e2-134ecb831e5f</errorID>
      <errorWord>随</errorWord>
      <group>L1_Word</group>
      <groupName>字词问题</groupName>
      <ability>L2_Typo</ability>
      <abilityName>字词错误</abilityName>
      <candidateList>
        <item>视</item>
      </candidateList>
      <explain>存在发音相近字词的误用。</explain>
      <paraID>62CC7D44</paraID>
      <start>48</start>
      <end>49</end>
      <status>unmodified</status>
      <modifiedWord/>
      <trackRevisions>false</trackRevisions>
    </reviewItem>
    <reviewItem>
      <errorID>f282de4e-91bb-406c-949d-2d9425c471e1</errorID>
      <errorWord>如是</errorWord>
      <group>L1_Word</group>
      <groupName>字词问题</groupName>
      <ability>L2_Typo</ability>
      <abilityName>字词错误</abilityName>
      <candidateList>
        <item>如</item>
      </candidateList>
      <explain/>
      <paraID>62CC7D44</paraID>
      <start>104</start>
      <end>106</end>
      <status>unmodified</status>
      <modifiedWord/>
      <trackRevisions>false</trackRevisions>
    </reviewItem>
    <reviewItem>
      <errorID>0dbc5fd9-083a-4850-9261-8143c844d9ee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5164F3EF</paraID>
      <start>89</start>
      <end>90</end>
      <status>unmodified</status>
      <modifiedWord/>
      <trackRevisions>false</trackRevisions>
    </reviewItem>
    <reviewItem>
      <errorID>eed4cae3-08e8-4a94-a832-28cf437385ed</errorID>
      <errorWord>时</errorWord>
      <group>L1_Word</group>
      <groupName>字词问题</groupName>
      <ability>L2_Typo</ability>
      <abilityName>字词错误</abilityName>
      <candidateList>
        <item>时向</item>
      </candidateList>
      <explain/>
      <paraID>63363193</paraID>
      <start>161</start>
      <end>162</end>
      <status>unmodified</status>
      <modifiedWord/>
      <trackRevisions>false</trackRevisions>
    </reviewItem>
    <reviewItem>
      <errorID>845766c9-76b4-4992-83fe-cf5c12f61c40</errorID>
      <errorWord>:</errorWord>
      <group>L1_Format</group>
      <groupName>格式问题</groupName>
      <ability>L2_HalfPunc</ability>
      <abilityName>全半角检查</abilityName>
      <candidateList>
        <item>：</item>
      </candidateList>
      <explain>文本全半角错误。</explain>
      <paraID>5DAF9C2B</paraID>
      <start>11</start>
      <end>12</end>
      <status>unmodified</status>
      <modifiedWord/>
      <trackRevisions>false</trackRevisions>
    </reviewItem>
    <reviewItem>
      <errorID>3adcd7a4-9caa-4d95-896b-3e02dae2cc6b</errorID>
      <errorWord>事故时</errorWord>
      <group>L1_Word</group>
      <groupName>字词问题</groupName>
      <ability>L2_Typo</ability>
      <abilityName>字词错误</abilityName>
      <candidateList>
        <item>事故</item>
      </candidateList>
      <explain/>
      <paraID>199D19DE</paraID>
      <start>6</start>
      <end>9</end>
      <status>unmodified</status>
      <modifiedWord/>
      <trackRevisions>false</trackRevisions>
    </reviewItem>
    <reviewItem>
      <errorID>654b85ba-7eca-40a5-8afa-e5a5fca470b7</errorID>
      <errorWord>市政府报告</errorWord>
      <group>L1_Political</group>
      <groupName>政治性问题</groupName>
      <ability>L2_Unpolitical</ability>
      <abilityName>政治敏感错误</abilityName>
      <candidateList>
        <item>市政府工作报告</item>
      </candidateList>
      <explain/>
      <paraID>7987AEE7</paraID>
      <start>136</start>
      <end>141</end>
      <status>unmodified</status>
      <modifiedWord/>
      <trackRevisions>false</trackRevisions>
    </reviewItem>
    <reviewItem>
      <errorID>7d36aa63-8031-46b2-b2c5-161cc897c3b7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2FBD5720</paraID>
      <start>37</start>
      <end>38</end>
      <status>unmodified</status>
      <modifiedWord/>
      <trackRevisions>false</trackRevisions>
    </reviewItem>
    <reviewItem>
      <errorID>da5bbb8e-8d31-4e00-b240-afff3cb9ed6b</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226532BB</paraID>
      <start>0</start>
      <end>2</end>
      <status>unmodified</status>
      <modifiedWord/>
      <trackRevisions>false</trackRevisions>
    </reviewItem>
    <reviewItem>
      <errorID>661e2e28-43fa-49bc-bd42-fb70abbd196c</errorID>
      <errorWord>响</errorWord>
      <group>L1_Word</group>
      <groupName>字词问题</groupName>
      <ability>L2_Typo</ability>
      <abilityName>字词错误</abilityName>
      <candidateList>
        <item>响和</item>
      </candidateList>
      <explain/>
      <paraID>226532BB</paraID>
      <start>5</start>
      <end>6</end>
      <status>unmodified</status>
      <modifiedWord/>
      <trackRevisions>false</trackRevisions>
    </reviewItem>
    <reviewItem>
      <errorID>2935bbc3-3b95-413f-a527-b502121ca2b9</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2F33090E</paraID>
      <start>54</start>
      <end>61</end>
      <status>unmodified</status>
      <modifiedWord/>
      <trackRevisions>false</trackRevisions>
    </reviewItem>
    <reviewItem>
      <errorID>be57859e-1cdf-47cd-93f6-71cc0381eed0</errorID>
      <errorWord>临时占</errorWord>
      <group>L1_Word</group>
      <groupName>字词问题</groupName>
      <ability>L2_Typo</ability>
      <abilityName>字词错误</abilityName>
      <candidateList>
        <item>临时场</item>
      </candidateList>
      <explain/>
      <paraID>413543CA</paraID>
      <start>35</start>
      <end>38</end>
      <status>unmodified</status>
      <modifiedWord/>
      <trackRevisions>false</trackRevisions>
    </reviewItem>
    <reviewItem>
      <errorID>c8551a5e-d084-457e-b60c-6d9cdf4e59c7</errorID>
      <errorWord>，</errorWord>
      <group>L1_Word</group>
      <groupName>字词问题</groupName>
      <ability>L2_Typo</ability>
      <abilityName>字词错误</abilityName>
      <candidateList>
        <item>，对</item>
      </candidateList>
      <explain/>
      <paraID>270E7051</paraID>
      <start>48</start>
      <end>49</end>
      <status>unmodified</status>
      <modifiedWord/>
      <trackRevisions>false</trackRevisions>
    </reviewItem>
    <reviewItem>
      <errorID>dd587046-6810-45fc-8d04-f27563e771d9</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270E7051</paraID>
      <start>119</start>
      <end>126</end>
      <status>unmodified</status>
      <modifiedWord/>
      <trackRevisions>false</trackRevisions>
    </reviewItem>
    <reviewItem>
      <errorID>4b81447b-bcb9-4e63-8c33-51e9ef5e4ecc</errorID>
      <errorWord>量</errorWord>
      <group>L1_Word</group>
      <groupName>字词问题</groupName>
      <ability>L2_Typo</ability>
      <abilityName>字词错误</abilityName>
      <candidateList>
        <item>量和</item>
      </candidateList>
      <explain/>
      <paraID>3E72A1A1</paraID>
      <start>80</start>
      <end>81</end>
      <status>unmodified</status>
      <modifiedWord/>
      <trackRevisions>false</trackRevisions>
    </reviewItem>
    <reviewItem>
      <errorID>c472cb53-0a02-49c2-8a29-aa116c9c9782</errorID>
      <errorWord>层</errorWord>
      <group>L1_Word</group>
      <groupName>字词问题</groupName>
      <ability>L2_Typo</ability>
      <abilityName>字词错误</abilityName>
      <candidateList>
        <item>层级</item>
      </candidateList>
      <explain/>
      <paraID>2752E010</paraID>
      <start>44</start>
      <end>45</end>
      <status>unmodified</status>
      <modifiedWord/>
      <trackRevisions>false</trackRevisions>
    </reviewItem>
    <reviewItem>
      <errorID>74c64b07-b4d7-42af-858e-1674fc6b5988</errorID>
      <errorWord>法律、法规</errorWord>
      <group>L1_Word</group>
      <groupName>字词问题</groupName>
      <ability>L2_Typo</ability>
      <abilityName>字词错误</abilityName>
      <candidateList>
        <item>法律法规</item>
      </candidateList>
      <explain/>
      <paraID>458DB348</paraID>
      <start>12</start>
      <end>17</end>
      <status>unmodified</status>
      <modifiedWord/>
      <trackRevisions>false</trackRevisions>
    </reviewItem>
    <reviewItem>
      <errorID>c767f47f-8967-4fa4-866c-3c666fdb3168</errorID>
      <errorWord>主要应</errorWord>
      <group>L1_Word</group>
      <groupName>字词问题</groupName>
      <ability>L2_Typo</ability>
      <abilityName>字词错误</abilityName>
      <candidateList>
        <item>主要</item>
      </candidateList>
      <explain>〈形〉属性词。有关事物中最重要的；起决定作用的：～原因｜～目的｜～人物。</explain>
      <paraID>186F0498</paraID>
      <start>54</start>
      <end>57</end>
      <status>unmodified</status>
      <modifiedWord/>
      <trackRevisions>false</trackRevisions>
    </reviewItem>
    <reviewItem>
      <errorID>c1f63c21-499f-4133-8ae1-43728572b974</errorID>
      <errorWord>产生的</errorWord>
      <group>L1_Word</group>
      <groupName>字词问题</groupName>
      <ability>L2_Typo</ability>
      <abilityName>字词错误</abilityName>
      <candidateList>
        <item>产生</item>
      </candidateList>
      <explain/>
      <paraID>30708B32</paraID>
      <start>33</start>
      <end>36</end>
      <status>unmodified</status>
      <modifiedWord/>
      <trackRevisions>false</trackRevisions>
    </reviewItem>
    <reviewItem>
      <errorID>e19bb1ef-aa69-49f9-8c03-0f7b57804cab</errorID>
      <errorWord>影响后</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30708B32</paraID>
      <start>36</start>
      <end>39</end>
      <status>unmodified</status>
      <modifiedWord/>
      <trackRevisions>false</trackRevisions>
    </reviewItem>
    <reviewItem>
      <errorID>c17ceacc-d59d-413d-8ef4-b5cd8108cdf8</errorID>
      <errorWord>处理上</errorWord>
      <group>L1_Word</group>
      <groupName>字词问题</groupName>
      <ability>L2_Typo</ability>
      <abilityName>字词错误</abilityName>
      <candidateList>
        <item>处理</item>
      </candidateList>
      <explain/>
      <paraID>15465F46</paraID>
      <start>104</start>
      <end>107</end>
      <status>unmodified</status>
      <modifiedWord/>
      <trackRevisions>false</trackRevisions>
    </reviewItem>
    <reviewItem>
      <errorID>91412902-c7b8-4e76-ab16-ad1cb7a440ff</errorID>
      <errorWord>回覆</errorWord>
      <group>L1_Word</group>
      <groupName>字词问题</groupName>
      <ability>L2_Fanti</ability>
      <abilityName>繁转简</abilityName>
      <candidateList>
        <item>回复</item>
      </candidateList>
      <explain/>
      <paraID>3175AD94</paraID>
      <start>104</start>
      <end>106</end>
      <status>unmodified</status>
      <modifiedWord/>
      <trackRevisions>false</trackRevisions>
    </reviewItem>
    <reviewItem>
      <errorID>a6e629b5-8f4e-43cd-8145-e6a306ff0d98</errorID>
      <errorWord>法律、法规</errorWord>
      <group>L1_Word</group>
      <groupName>字词问题</groupName>
      <ability>L2_Typo</ability>
      <abilityName>字词错误</abilityName>
      <candidateList>
        <item>法律法规</item>
      </candidateList>
      <explain/>
      <paraID>1B087DD0</paraID>
      <start>98</start>
      <end>103</end>
      <status>unmodified</status>
      <modifiedWord/>
      <trackRevisions>false</trackRevisions>
    </reviewItem>
    <reviewItem>
      <errorID>ca14d266-144c-40c8-8b09-553224411515</errorID>
      <errorWord>环境监测可</errorWord>
      <group>L1_Word</group>
      <groupName>字词问题</groupName>
      <ability>L2_Typo</ability>
      <abilityName>字词错误</abilityName>
      <candidateList>
        <item>环境监测</item>
      </candidateList>
      <explain/>
      <paraID>61132C5A</paraID>
      <start>4</start>
      <end>9</end>
      <status>unmodified</status>
      <modifiedWord/>
      <trackRevisions>false</trackRevisions>
    </reviewItem>
    <reviewItem>
      <errorID>68567ba5-732a-4070-a2bc-264c58081e5a</errorID>
      <errorWord>进行监测</errorWord>
      <group>L1_Word</group>
      <groupName>字词问题</groupName>
      <ability>L2_Typo</ability>
      <abilityName>字词错误</abilityName>
      <candidateList>
        <item>进行检测</item>
      </candidateList>
      <explain/>
      <paraID>61132C5A</paraID>
      <start>71</start>
      <end>75</end>
      <status>unmodified</status>
      <modifiedWord/>
      <trackRevisions>false</trackRevisions>
    </reviewItem>
    <reviewItem>
      <errorID>8d792ab3-c841-43ae-baa8-35e6297ca2a5</errorID>
      <errorWord>场</errorWord>
      <group>L1_Word</group>
      <groupName>字词问题</groupName>
      <ability>L2_Typo</ability>
      <abilityName>字词错误</abilityName>
      <candidateList>
        <item>厂</item>
      </candidateList>
      <explain>存在发音相同字词的误用。</explain>
      <paraID>1686B78D</paraID>
      <start>0</start>
      <end>1</end>
      <status>unmodified</status>
      <modifiedWord/>
      <trackRevisions>false</trackRevisions>
    </reviewItem>
    <reviewItem>
      <errorID>7322cf8f-64c6-44de-894d-8c637078abe3</errorID>
      <errorWord>场</errorWord>
      <group>L1_Word</group>
      <groupName>字词问题</groupName>
      <ability>L2_Typo</ability>
      <abilityName>字词错误</abilityName>
      <candidateList>
        <item>厂</item>
      </candidateList>
      <explain>存在发音相同字词的误用。</explain>
      <paraID>5D7D6D69</paraID>
      <start>0</start>
      <end>1</end>
      <status>unmodified</status>
      <modifiedWord/>
      <trackRevisions>false</trackRevisions>
    </reviewItem>
    <reviewItem>
      <errorID>7b73e4b8-6165-47db-be0e-608b76d11312</errorID>
      <errorWord>，</errorWord>
      <group>L1_Format</group>
      <groupName>格式问题</groupName>
      <ability>L2_HalfPunc</ability>
      <abilityName>全半角检查</abilityName>
      <candidateList>
        <item>,</item>
      </candidateList>
      <explain>文本全半角错误。</explain>
      <paraID>20ABDA70</paraID>
      <start>11</start>
      <end>12</end>
      <status>unmodified</status>
      <modifiedWord/>
      <trackRevisions>false</trackRevisions>
    </reviewItem>
    <reviewItem>
      <errorID>623718fe-4d18-456b-a3d9-775bda8ef38a</errorID>
      <errorWord>，</errorWord>
      <group>L1_Format</group>
      <groupName>格式问题</groupName>
      <ability>L2_HalfPunc</ability>
      <abilityName>全半角检查</abilityName>
      <candidateList>
        <item>,</item>
      </candidateList>
      <explain>文本全半角错误。</explain>
      <paraID>31E9F80A</paraID>
      <start>11</start>
      <end>12</end>
      <status>unmodified</status>
      <modifiedWord/>
      <trackRevisions>false</trackRevisions>
    </reviewItem>
    <reviewItem>
      <errorID>2023cfd4-d605-4601-a390-5bd457fd8192</errorID>
      <errorWord>，</errorWord>
      <group>L1_Format</group>
      <groupName>格式问题</groupName>
      <ability>L2_HalfPunc</ability>
      <abilityName>全半角检查</abilityName>
      <candidateList>
        <item>,</item>
      </candidateList>
      <explain>文本全半角错误。</explain>
      <paraID>2000D033</paraID>
      <start>11</start>
      <end>12</end>
      <status>unmodified</status>
      <modifiedWord/>
      <trackRevisions>false</trackRevisions>
    </reviewItem>
    <reviewItem>
      <errorID>18f25e9d-dc5b-46ff-848a-936ab7c6562f</errorID>
      <errorWord>，</errorWord>
      <group>L1_Format</group>
      <groupName>格式问题</groupName>
      <ability>L2_HalfPunc</ability>
      <abilityName>全半角检查</abilityName>
      <candidateList>
        <item>,</item>
      </candidateList>
      <explain>文本全半角错误。</explain>
      <paraID>587EADF8</paraID>
      <start>11</start>
      <end>12</end>
      <status>unmodified</status>
      <modifiedWord/>
      <trackRevisions>false</trackRevisions>
    </reviewItem>
    <reviewItem>
      <errorID>3c40ad88-023d-4660-a022-a9f3816ce262</errorID>
      <errorWord>（</errorWord>
      <group>L1_Format</group>
      <groupName>格式问题</groupName>
      <ability>L2_HalfPunc</ability>
      <abilityName>全半角检查</abilityName>
      <candidateList>
        <item>(</item>
      </candidateList>
      <explain>文本全半角错误。</explain>
      <paraID>72042A04</paraID>
      <start>7</start>
      <end>8</end>
      <status>unmodified</status>
      <modifiedWord/>
      <trackRevisions>false</trackRevisions>
    </reviewItem>
    <reviewItem>
      <errorID>ee7c4529-2f3d-41c4-bdb8-133edb111ff0</errorID>
      <errorWord>）</errorWord>
      <group>L1_Format</group>
      <groupName>格式问题</groupName>
      <ability>L2_HalfPunc</ability>
      <abilityName>全半角检查</abilityName>
      <candidateList>
        <item>)</item>
      </candidateList>
      <explain>文本全半角错误。</explain>
      <paraID>72042A04</paraID>
      <start>9</start>
      <end>10</end>
      <status>unmodified</status>
      <modifiedWord/>
      <trackRevisions>false</trackRevisions>
    </reviewItem>
    <reviewItem>
      <errorID>8ae44dd3-2f6d-4591-9903-154c4d119f51</errorID>
      <errorWord>（</errorWord>
      <group>L1_Format</group>
      <groupName>格式问题</groupName>
      <ability>L2_HalfPunc</ability>
      <abilityName>全半角检查</abilityName>
      <candidateList>
        <item>(</item>
      </candidateList>
      <explain>文本全半角错误。</explain>
      <paraID>6CF5780E</paraID>
      <start>7</start>
      <end>8</end>
      <status>unmodified</status>
      <modifiedWord/>
      <trackRevisions>false</trackRevisions>
    </reviewItem>
    <reviewItem>
      <errorID>b1c5dd81-2ee0-4262-857b-48407e063475</errorID>
      <errorWord>）</errorWord>
      <group>L1_Format</group>
      <groupName>格式问题</groupName>
      <ability>L2_HalfPunc</ability>
      <abilityName>全半角检查</abilityName>
      <candidateList>
        <item>)</item>
      </candidateList>
      <explain>文本全半角错误。</explain>
      <paraID>6CF5780E</paraID>
      <start>9</start>
      <end>10</end>
      <status>unmodified</status>
      <modifiedWord/>
      <trackRevisions>false</trackRevisions>
    </reviewItem>
    <reviewItem>
      <errorID>eebdaadb-b13e-425e-9e6b-1b98db3878ab</errorID>
      <errorWord>III类</errorWord>
      <group>L1_Knowledge</group>
      <groupName>知识性问题</groupName>
      <ability>L2_Knowledge</ability>
      <abilityName>其他知识</abilityName>
      <candidateList>
        <item>Ⅲ类</item>
      </candidateList>
      <explain/>
      <paraID>74C42C10</paraID>
      <start>32</start>
      <end>36</end>
      <status>unmodified</status>
      <modifiedWord/>
      <trackRevisions>false</trackRevisions>
    </reviewItem>
    <reviewItem>
      <errorID>eee4f2a4-1452-4e9a-8b91-f48d5b47c3dc</errorID>
      <errorWord>II类</errorWord>
      <group>L1_Knowledge</group>
      <groupName>知识性问题</groupName>
      <ability>L2_Knowledge</ability>
      <abilityName>其他知识</abilityName>
      <candidateList>
        <item>Ⅱ类</item>
      </candidateList>
      <explain/>
      <paraID>74C42C10</paraID>
      <start>71</start>
      <end>74</end>
      <status>unmodified</status>
      <modifiedWord/>
      <trackRevisions>false</trackRevisions>
    </reviewItem>
    <reviewItem>
      <errorID>9e78ad70-e96d-43aa-a3f1-85a2c777c6ff</errorID>
      <errorWord>法律、法规</errorWord>
      <group>L1_Word</group>
      <groupName>字词问题</groupName>
      <ability>L2_Typo</ability>
      <abilityName>字词错误</abilityName>
      <candidateList>
        <item>法律法规</item>
      </candidateList>
      <explain/>
      <paraID>29E6B1DA</paraID>
      <start>9</start>
      <end>14</end>
      <status>unmodified</status>
      <modifiedWord/>
      <trackRevisions>false</trackRevisions>
    </reviewItem>
    <reviewItem>
      <errorID>fd89f324-248f-4a28-8bd2-4aa799dd1249</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256CF799</paraID>
      <start>0</start>
      <end>2</end>
      <status>unmodified</status>
      <modifiedWord/>
      <trackRevisions>false</trackRevisions>
    </reviewItem>
    <reviewItem>
      <errorID>d92e9ccb-985e-4cac-a827-287095fdbd80</errorID>
      <errorWord>III类</errorWord>
      <group>L1_Knowledge</group>
      <groupName>知识性问题</groupName>
      <ability>L2_Knowledge</ability>
      <abilityName>其他知识</abilityName>
      <candidateList>
        <item>Ⅲ类</item>
      </candidateList>
      <explain/>
      <paraID>1E935FD4</paraID>
      <start>65</start>
      <end>69</end>
      <status>unmodified</status>
      <modifiedWord/>
      <trackRevisions>false</trackRevisions>
    </reviewItem>
    <reviewItem>
      <errorID>d622f7bd-0ab2-413d-8bb3-49ccdfe8ca4d</errorID>
      <errorWord>II类</errorWord>
      <group>L1_Knowledge</group>
      <groupName>知识性问题</groupName>
      <ability>L2_Knowledge</ability>
      <abilityName>其他知识</abilityName>
      <candidateList>
        <item>Ⅱ类</item>
      </candidateList>
      <explain/>
      <paraID>1E935FD4</paraID>
      <start>102</start>
      <end>105</end>
      <status>unmodified</status>
      <modifiedWord/>
      <trackRevisions>false</trackRevisions>
    </reviewItem>
    <reviewItem>
      <errorID>6329dff8-2ec2-44ff-bb1c-046bd5f105f6</errorID>
      <errorWord>护</errorWord>
      <group>L1_Word</group>
      <groupName>字词问题</groupName>
      <ability>L2_Typo</ability>
      <abilityName>字词错误</abilityName>
      <candidateList>
        <item>护和</item>
      </candidateList>
      <explain/>
      <paraID>31EF7E14</paraID>
      <start>34</start>
      <end>35</end>
      <status>unmodified</status>
      <modifiedWord/>
      <trackRevisions>false</trackRevisions>
    </reviewItem>
    <reviewItem>
      <errorID>f9668e2a-aa99-40b2-8750-3f6e08f89fbd</errorID>
      <errorWord>程</errorWord>
      <group>L1_Word</group>
      <groupName>字词问题</groupName>
      <ability>L2_Typo</ability>
      <abilityName>字词错误</abilityName>
      <candidateList>
        <item>程中</item>
      </candidateList>
      <explain/>
      <paraID>52585E6D</paraID>
      <start>9</start>
      <end>10</end>
      <status>unmodified</status>
      <modifiedWord/>
      <trackRevisions>false</trackRevisions>
    </reviewItem>
    <reviewItem>
      <errorID>338eede5-51a5-4f7b-b013-f8927178340c</errorID>
      <errorWord>处理上</errorWord>
      <group>L1_Word</group>
      <groupName>字词问题</groupName>
      <ability>L2_Typo</ability>
      <abilityName>字词错误</abilityName>
      <candidateList>
        <item>处理</item>
      </candidateList>
      <explain/>
      <paraID>2A15E36C</paraID>
      <start>99</start>
      <end>102</end>
      <status>unmodified</status>
      <modifiedWord/>
      <trackRevisions>false</trackRevisions>
    </reviewItem>
    <reviewItem>
      <errorID>74e717db-756f-40be-bc43-1a7c2e610e58</errorID>
      <errorWord>环境监测可</errorWord>
      <group>L1_Word</group>
      <groupName>字词问题</groupName>
      <ability>L2_Typo</ability>
      <abilityName>字词错误</abilityName>
      <candidateList>
        <item>环境监测</item>
      </candidateList>
      <explain/>
      <paraID>24AB568C</paraID>
      <start>4</start>
      <end>9</end>
      <status>unmodified</status>
      <modifiedWord/>
      <trackRevisions>false</trackRevisions>
    </reviewItem>
    <reviewItem>
      <errorID>b86e656d-996d-47a8-a7c3-cc1014bd8eba</errorID>
      <errorWord>中华人民共和国发展和改革委员会</errorWord>
      <group>L1_Knowledge</group>
      <groupName>知识性问题</groupName>
      <ability>L2_Organization</ability>
      <abilityName>机构检查</abilityName>
      <candidateList>
        <item>中华人民共和国国家发展和改革委员会</item>
      </candidateList>
      <explain>机关单位全简称表述错误</explain>
      <paraID> F2BE092</paraID>
      <start>71</start>
      <end>86</end>
      <status>unmodified</status>
      <modifiedWord/>
      <trackRevisions>false</trackRevisions>
    </reviewItem>
    <reviewItem>
      <errorID>1b6a2b39-974f-4ab1-808d-2b64c816cce1</errorID>
      <errorWord>[2021]13号</errorWord>
      <group>L1_Knowledge</group>
      <groupName>知识性问题</groupName>
      <ability>L2_Knowledge</ability>
      <abilityName>其他知识</abilityName>
      <candidateList>
        <item>〔2021〕13号</item>
      </candidateList>
      <explain>发文字号格式错误。</explain>
      <paraID>638E9278</paraID>
      <start>153</start>
      <end>162</end>
      <status>unmodified</status>
      <modifiedWord/>
      <trackRevisions>false</trackRevisions>
    </reviewItem>
    <reviewItem>
      <errorID>9dcfd65f-e954-4d74-85c1-4197014e5f97</errorID>
      <errorWord>[2019]910号</errorWord>
      <group>L1_Knowledge</group>
      <groupName>知识性问题</groupName>
      <ability>L2_Knowledge</ability>
      <abilityName>其他知识</abilityName>
      <candidateList>
        <item>〔2019〕910号</item>
      </candidateList>
      <explain>发文字号格式错误。</explain>
      <paraID>340E61C9</paraID>
      <start>98</start>
      <end>108</end>
      <status>unmodified</status>
      <modifiedWord/>
      <trackRevisions>false</trackRevisions>
    </reviewItem>
    <reviewItem>
      <errorID>99a37c8c-1f68-4ec6-b4ee-f3e5986b0b15</errorID>
      <errorWord>[2019]153号</errorWord>
      <group>L1_Knowledge</group>
      <groupName>知识性问题</groupName>
      <ability>L2_Knowledge</ability>
      <abilityName>其他知识</abilityName>
      <candidateList>
        <item>〔2019〕153号</item>
      </candidateList>
      <explain>发文字号格式错误。</explain>
      <paraID>340E61C9</paraID>
      <start>138</start>
      <end>148</end>
      <status>unmodified</status>
      <modifiedWord/>
      <trackRevisions>false</trackRevisions>
    </reviewItem>
    <reviewItem>
      <errorID>67730c34-d036-4e5d-ae29-2df828dc5934</errorID>
      <errorWord>＜</errorWord>
      <group>L1_Format</group>
      <groupName>格式问题</groupName>
      <ability>L2_HalfPunc</ability>
      <abilityName>全半角检查</abilityName>
      <candidateList>
        <item>&lt;</item>
      </candidateList>
      <explain>文本全半角错误。</explain>
      <paraID>4BD88027</paraID>
      <start>0</start>
      <end>1</end>
      <status>unmodified</status>
      <modifiedWord/>
      <trackRevisions>false</trackRevisions>
    </reviewItem>
    <reviewItem>
      <errorID>703820df-49c2-4d32-a444-41f2a6b54264</errorID>
      <errorWord>（）</errorWord>
      <group>L1_Format</group>
      <groupName>格式问题</groupName>
      <ability>L2_HalfPunc</ability>
      <abilityName>全半角检查</abilityName>
      <candidateList>
        <item>()</item>
      </candidateList>
      <explain>文本全半角错误。</explain>
      <paraID>2F98DCB1</paraID>
      <start>0</start>
      <end>2</end>
      <status>unmodified</status>
      <modifiedWord/>
      <trackRevisions>false</trackRevisions>
    </reviewItem>
    <reviewItem>
      <errorID>399eff6f-4199-43cb-b407-fa75695c8765</errorID>
      <errorWord>＞</errorWord>
      <group>L1_Format</group>
      <groupName>格式问题</groupName>
      <ability>L2_HalfPunc</ability>
      <abilityName>全半角检查</abilityName>
      <candidateList>
        <item>&gt;</item>
      </candidateList>
      <explain>文本全半角错误。</explain>
      <paraID>13D7094F</paraID>
      <start>1</start>
      <end>2</end>
      <status>unmodified</status>
      <modifiedWord/>
      <trackRevisions>false</trackRevisions>
    </reviewItem>
    <reviewItem>
      <errorID>48fd2952-5ef3-4e37-9f73-10b36eaa508b</errorID>
      <errorWord>（/</errorWord>
      <group>L1_Punc</group>
      <groupName>标点问题</groupName>
      <ability>L2_Punc</ability>
      <abilityName>标点符号检查</abilityName>
      <candidateList>
        <item>（</item>
      </candidateList>
      <explain/>
      <paraID>14E1248D</paraID>
      <start>5</start>
      <end>7</end>
      <status>unmodified</status>
      <modifiedWord/>
      <trackRevisions>false</trackRevisions>
    </reviewItem>
    <reviewItem>
      <errorID>89acc66e-a856-484c-b01e-76352da4c2e4</errorID>
      <errorWord>（/</errorWord>
      <group>L1_Punc</group>
      <groupName>标点问题</groupName>
      <ability>L2_Punc</ability>
      <abilityName>标点符号检查</abilityName>
      <candidateList>
        <item>（</item>
      </candidateList>
      <explain/>
      <paraID>6E82E6D6</paraID>
      <start>5</start>
      <end>7</end>
      <status>unmodified</status>
      <modifiedWord/>
      <trackRevisions>false</trackRevisions>
    </reviewItem>
    <reviewItem>
      <errorID>bf286b95-9acf-4745-8f09-ead19c1857ae</errorID>
      <errorWord>（/</errorWord>
      <group>L1_Punc</group>
      <groupName>标点问题</groupName>
      <ability>L2_Punc</ability>
      <abilityName>标点符号检查</abilityName>
      <candidateList>
        <item>（</item>
      </candidateList>
      <explain/>
      <paraID>213AD968</paraID>
      <start>1</start>
      <end>3</end>
      <status>unmodified</status>
      <modifiedWord/>
      <trackRevisions>false</trackRevisions>
    </reviewItem>
    <reviewItem>
      <errorID>6d642d04-c0e3-43b6-b560-b5cf742cc49f</errorID>
      <errorWord>（/</errorWord>
      <group>L1_Punc</group>
      <groupName>标点问题</groupName>
      <ability>L2_Punc</ability>
      <abilityName>标点符号检查</abilityName>
      <candidateList>
        <item>（</item>
      </candidateList>
      <explain/>
      <paraID>213AD968</paraID>
      <start>8</start>
      <end>10</end>
      <status>unmodified</status>
      <modifiedWord/>
      <trackRevisions>false</trackRevisions>
    </reviewItem>
    <reviewItem>
      <errorID>4b0185d5-df6b-4725-8e7b-a2e6bc19a585</errorID>
      <errorWord>：</errorWord>
      <group>L1_Format</group>
      <groupName>格式问题</groupName>
      <ability>L2_HalfPunc</ability>
      <abilityName>全半角检查</abilityName>
      <candidateList>
        <item>:</item>
      </candidateList>
      <explain>文本全半角错误。</explain>
      <paraID>312CEE91</paraID>
      <start>3</start>
      <end>4</end>
      <status>unmodified</status>
      <modifiedWord/>
      <trackRevisions>false</trackRevisions>
    </reviewItem>
    <reviewItem>
      <errorID>f7305298-b2a9-413a-8ef8-749e2a5adec1</errorID>
      <errorWord>（/</errorWord>
      <group>L1_Punc</group>
      <groupName>标点问题</groupName>
      <ability>L2_Punc</ability>
      <abilityName>标点符号检查</abilityName>
      <candidateList>
        <item>（</item>
      </candidateList>
      <explain/>
      <paraID>22BF565C</paraID>
      <start>0</start>
      <end>2</end>
      <status>unmodified</status>
      <modifiedWord/>
      <trackRevisions>false</trackRevisions>
    </reviewItem>
    <reviewItem>
      <errorID>592c7f45-6604-4c51-b0d9-b7492a17fe45</errorID>
      <errorWord>）</errorWord>
      <group>L1_Format</group>
      <groupName>格式问题</groupName>
      <ability>L2_HalfPunc</ability>
      <abilityName>全半角检查</abilityName>
      <candidateList>
        <item>)</item>
      </candidateList>
      <explain>文本全半角错误。</explain>
      <paraID>22BF565C</paraID>
      <start>2</start>
      <end>3</end>
      <status>unmodified</status>
      <modifiedWord/>
      <trackRevisions>false</trackRevisions>
    </reviewItem>
    <reviewItem>
      <errorID>1c36d47e-0f82-46b7-bdf1-ab7f78349c62</errorID>
      <errorWord>：</errorWord>
      <group>L1_Format</group>
      <groupName>格式问题</groupName>
      <ability>L2_HalfPunc</ability>
      <abilityName>全半角检查</abilityName>
      <candidateList>
        <item>:</item>
      </candidateList>
      <explain>文本全半角错误。</explain>
      <paraID>1A5F8555</paraID>
      <start>3</start>
      <end>4</end>
      <status>unmodified</status>
      <modifiedWord/>
      <trackRevisions>false</trackRevisions>
    </reviewItem>
    <reviewItem>
      <errorID>692301fe-3751-4496-9d59-cf27da9f8272</errorID>
      <errorWord>（/</errorWord>
      <group>L1_Punc</group>
      <groupName>标点问题</groupName>
      <ability>L2_Punc</ability>
      <abilityName>标点符号检查</abilityName>
      <candidateList>
        <item>（</item>
      </candidateList>
      <explain/>
      <paraID>58A49BF5</paraID>
      <start>0</start>
      <end>2</end>
      <status>unmodified</status>
      <modifiedWord/>
      <trackRevisions>false</trackRevisions>
    </reviewItem>
    <reviewItem>
      <errorID>5f975958-0c43-4900-a978-74be80f2f310</errorID>
      <errorWord>）</errorWord>
      <group>L1_Format</group>
      <groupName>格式问题</groupName>
      <ability>L2_HalfPunc</ability>
      <abilityName>全半角检查</abilityName>
      <candidateList>
        <item>)</item>
      </candidateList>
      <explain>文本全半角错误。</explain>
      <paraID>58A49BF5</paraID>
      <start>2</start>
      <end>3</end>
      <status>unmodified</status>
      <modifiedWord/>
      <trackRevisions>false</trackRevisions>
    </reviewItem>
    <reviewItem>
      <errorID>2b54c3b5-3f29-44bf-b191-9bd8860cfca7</errorID>
      <errorWord>（/</errorWord>
      <group>L1_Punc</group>
      <groupName>标点问题</groupName>
      <ability>L2_Punc</ability>
      <abilityName>标点符号检查</abilityName>
      <candidateList>
        <item>（</item>
      </candidateList>
      <explain/>
      <paraID>5AB37B0B</paraID>
      <start>0</start>
      <end>2</end>
      <status>unmodified</status>
      <modifiedWord/>
      <trackRevisions>false</trackRevisions>
    </reviewItem>
    <reviewItem>
      <errorID>f880e387-3b30-46ff-9916-cd08ce15d228</errorID>
      <errorWord>）</errorWord>
      <group>L1_Format</group>
      <groupName>格式问题</groupName>
      <ability>L2_HalfPunc</ability>
      <abilityName>全半角检查</abilityName>
      <candidateList>
        <item>)</item>
      </candidateList>
      <explain>文本全半角错误。</explain>
      <paraID>5AB37B0B</paraID>
      <start>2</start>
      <end>3</end>
      <status>unmodified</status>
      <modifiedWord/>
      <trackRevisions>false</trackRevisions>
    </reviewItem>
    <reviewItem>
      <errorID>731abdf6-f2ca-4a66-8432-dc8ebb1be764</errorID>
      <errorWord>（</errorWord>
      <group>L1_Punc</group>
      <groupName>标点问题</groupName>
      <ability>L2_Punc</ability>
      <abilityName>标点符号检查</abilityName>
      <candidateList/>
      <explain/>
      <paraID>3C9370CF</paraID>
      <start>3</start>
      <end>4</end>
      <status>unmodified</status>
      <modifiedWord/>
      <trackRevisions>false</trackRevisions>
    </reviewItem>
    <reviewItem>
      <errorID>54001641-1eaf-4582-aecc-5d501c3a9c7f</errorID>
      <errorWord>（</errorWord>
      <group>L1_Format</group>
      <groupName>格式问题</groupName>
      <ability>L2_HalfPunc</ability>
      <abilityName>全半角检查</abilityName>
      <candidateList>
        <item>(</item>
      </candidateList>
      <explain>文本全半角错误。</explain>
      <paraID>5668BFC6</paraID>
      <start>0</start>
      <end>1</end>
      <status>unmodified</status>
      <modifiedWord/>
      <trackRevisions>false</trackRevisions>
    </reviewItem>
    <reviewItem>
      <errorID>911a0abb-2d2c-49d4-9c52-6085e0439a1d</errorID>
      <errorWord>）</errorWord>
      <group>L1_Format</group>
      <groupName>格式问题</groupName>
      <ability>L2_HalfPunc</ability>
      <abilityName>全半角检查</abilityName>
      <candidateList>
        <item>)</item>
      </candidateList>
      <explain>文本全半角错误。</explain>
      <paraID>5668BFC6</paraID>
      <start>2</start>
      <end>3</end>
      <status>unmodified</status>
      <modifiedWord/>
      <trackRevisions>false</trackRevisions>
    </reviewItem>
    <reviewItem>
      <errorID>10bb81f5-7f49-45d5-9681-a1ed558f0ccf</errorID>
      <errorWord>II类</errorWord>
      <group>L1_Knowledge</group>
      <groupName>知识性问题</groupName>
      <ability>L2_Knowledge</ability>
      <abilityName>其他知识</abilityName>
      <candidateList>
        <item>Ⅱ类</item>
      </candidateList>
      <explain/>
      <paraID>41A2BA59</paraID>
      <start>4</start>
      <end>7</end>
      <status>unmodified</status>
      <modifiedWord/>
      <trackRevisions>false</trackRevisions>
    </reviewItem>
    <reviewItem>
      <errorID>06e96335-78f2-4697-96e1-2fc8024ce07d</errorID>
      <errorWord>III类</errorWord>
      <group>L1_Knowledge</group>
      <groupName>知识性问题</groupName>
      <ability>L2_Knowledge</ability>
      <abilityName>其他知识</abilityName>
      <candidateList>
        <item>Ⅲ类</item>
      </candidateList>
      <explain/>
      <paraID>41A2BA59</paraID>
      <start>9</start>
      <end>13</end>
      <status>unmodified</status>
      <modifiedWord/>
      <trackRevisions>false</trackRevisions>
    </reviewItem>
    <reviewItem>
      <errorID>9bef3494-35a0-4a95-8605-13fd220be4e7</errorID>
      <errorWord>IV类</errorWord>
      <group>L1_Knowledge</group>
      <groupName>知识性问题</groupName>
      <ability>L2_Knowledge</ability>
      <abilityName>其他知识</abilityName>
      <candidateList>
        <item>Ⅳ类</item>
      </candidateList>
      <explain/>
      <paraID>41A2BA59</paraID>
      <start>15</start>
      <end>18</end>
      <status>unmodified</status>
      <modifiedWord/>
      <trackRevisions>false</trackRevisions>
    </reviewItem>
    <reviewItem>
      <errorID>7cfbf782-a630-4959-83f6-8f4a252d4bf4</errorID>
      <errorWord>）</errorWord>
      <group>L1_Format</group>
      <groupName>格式问题</groupName>
      <ability>L2_HalfPunc</ability>
      <abilityName>全半角检查</abilityName>
      <candidateList>
        <item>)</item>
      </candidateList>
      <explain>文本全半角错误。</explain>
      <paraID> 44942D2</paraID>
      <start>1</start>
      <end>2</end>
      <status>unmodified</status>
      <modifiedWord/>
      <trackRevisions>false</trackRevisions>
    </reviewItem>
    <reviewItem>
      <errorID>b10549c3-91d1-41ce-823f-d914c7ed32bd</errorID>
      <errorWord>；</errorWord>
      <group>L1_Format</group>
      <groupName>格式问题</groupName>
      <ability>L2_HalfPunc</ability>
      <abilityName>全半角检查</abilityName>
      <candidateList>
        <item>; </item>
      </candidateList>
      <explain>文本全半角错误。</explain>
      <paraID> 44942D2</paraID>
      <start>3</start>
      <end>4</end>
      <status>unmodified</status>
      <modifiedWord/>
      <trackRevisions>false</trackRevisions>
    </reviewItem>
    <reviewItem>
      <errorID>1b851d7e-2533-46db-997e-98439dc9c62a</errorID>
      <errorWord>）</errorWord>
      <group>L1_Format</group>
      <groupName>格式问题</groupName>
      <ability>L2_HalfPunc</ability>
      <abilityName>全半角检查</abilityName>
      <candidateList>
        <item>)</item>
      </candidateList>
      <explain>文本全半角错误。</explain>
      <paraID> 44942D2</paraID>
      <start>5</start>
      <end>6</end>
      <status>unmodified</status>
      <modifiedWord/>
      <trackRevisions>false</trackRevisions>
    </reviewItem>
    <reviewItem>
      <errorID>886b4d97-38c5-4679-b36d-a8f67f563fb3</errorID>
      <errorWord>；</errorWord>
      <group>L1_Format</group>
      <groupName>格式问题</groupName>
      <ability>L2_HalfPunc</ability>
      <abilityName>全半角检查</abilityName>
      <candidateList>
        <item>; </item>
      </candidateList>
      <explain>文本全半角错误。</explain>
      <paraID> 44942D2</paraID>
      <start>7</start>
      <end>8</end>
      <status>unmodified</status>
      <modifiedWord/>
      <trackRevisions>false</trackRevisions>
    </reviewItem>
    <reviewItem>
      <errorID>a629e389-6982-40d7-a99e-8cfa31c35392</errorID>
      <errorWord>）</errorWord>
      <group>L1_Format</group>
      <groupName>格式问题</groupName>
      <ability>L2_HalfPunc</ability>
      <abilityName>全半角检查</abilityName>
      <candidateList>
        <item>)</item>
      </candidateList>
      <explain>文本全半角错误。</explain>
      <paraID> 44942D2</paraID>
      <start>9</start>
      <end>10</end>
      <status>unmodified</status>
      <modifiedWord/>
      <trackRevisions>false</trackRevisions>
    </reviewItem>
    <reviewItem>
      <errorID>f4a1c2da-1f9b-4872-9c55-b599883038b2</errorID>
      <errorWord>；</errorWord>
      <group>L1_Format</group>
      <groupName>格式问题</groupName>
      <ability>L2_HalfPunc</ability>
      <abilityName>全半角检查</abilityName>
      <candidateList>
        <item>; </item>
      </candidateList>
      <explain>文本全半角错误。</explain>
      <paraID> 44942D2</paraID>
      <start>11</start>
      <end>12</end>
      <status>unmodified</status>
      <modifiedWord/>
      <trackRevisions>false</trackRevisions>
    </reviewItem>
    <reviewItem>
      <errorID>4c289c62-dbaf-4370-89ee-83a935fda403</errorID>
      <errorWord>）</errorWord>
      <group>L1_Format</group>
      <groupName>格式问题</groupName>
      <ability>L2_HalfPunc</ability>
      <abilityName>全半角检查</abilityName>
      <candidateList>
        <item>)</item>
      </candidateList>
      <explain>文本全半角错误。</explain>
      <paraID> 44942D2</paraID>
      <start>13</start>
      <end>14</end>
      <status>unmodified</status>
      <modifiedWord/>
      <trackRevisions>false</trackRevisions>
    </reviewItem>
    <reviewItem>
      <errorID>97ecb96d-cc73-4c75-ab33-d09613a59741</errorID>
      <errorWord>》</errorWord>
      <group>L1_Punc</group>
      <groupName>标点问题</groupName>
      <ability>L2_Punc</ability>
      <abilityName>标点符号检查</abilityName>
      <candidateList/>
      <explain/>
      <paraID> A2A5C7A</paraID>
      <start>80</start>
      <end>81</end>
      <status>unmodified</status>
      <modifiedWord/>
      <trackRevisions>false</trackRevisions>
    </reviewItem>
    <reviewItem>
      <errorID>9522ee50-50e7-4136-a840-3de533cecc33</errorID>
      <errorWord>》</errorWord>
      <group>L1_Punc</group>
      <groupName>标点问题</groupName>
      <ability>L2_Punc</ability>
      <abilityName>标点符号检查</abilityName>
      <candidateList/>
      <explain/>
      <paraID> 788A0FD</paraID>
      <start>80</start>
      <end>81</end>
      <status>unmodified</status>
      <modifiedWord/>
      <trackRevisions>false</trackRevisions>
    </reviewItem>
    <reviewItem>
      <errorID>86206cc1-b27e-4d72-aa25-4810cc81e421</errorID>
      <errorWord>环境影响评级</errorWord>
      <group>L1_Knowledge</group>
      <groupName>知识性问题</groupName>
      <ability>L2_Term</ability>
      <abilityName>专业术语</abilityName>
      <candidateList>
        <item>环境影响评价</item>
      </candidateList>
      <explain/>
      <paraID>7B550624</paraID>
      <start>11</start>
      <end>17</end>
      <status>unmodified</status>
      <modifiedWord/>
      <trackRevisions>false</trackRevisions>
    </reviewItem>
    <reviewItem>
      <errorID>9fd92621-507e-44da-a26a-c4fc8626427b</errorID>
      <errorWord>（/</errorWord>
      <group>L1_Punc</group>
      <groupName>标点问题</groupName>
      <ability>L2_Punc</ability>
      <abilityName>标点符号检查</abilityName>
      <candidateList>
        <item>（</item>
      </candidateList>
      <explain/>
      <paraID>65BBD9FD</paraID>
      <start>6</start>
      <end>8</end>
      <status>unmodified</status>
      <modifiedWord/>
      <trackRevisions>false</trackRevisions>
    </reviewItem>
    <reviewItem>
      <errorID>cb85df48-68ce-47c1-a887-2371efffce45</errorID>
      <errorWord>（/</errorWord>
      <group>L1_Punc</group>
      <groupName>标点问题</groupName>
      <ability>L2_Punc</ability>
      <abilityName>标点符号检查</abilityName>
      <candidateList>
        <item>（</item>
      </candidateList>
      <explain/>
      <paraID> 63EEB3D</paraID>
      <start>5</start>
      <end>7</end>
      <status>unmodified</status>
      <modifiedWord/>
      <trackRevisions>false</trackRevisions>
    </reviewItem>
    <reviewItem>
      <errorID>84614ddb-3794-4815-b9d5-a8b59094156c</errorID>
      <errorWord>（/</errorWord>
      <group>L1_Punc</group>
      <groupName>标点问题</groupName>
      <ability>L2_Punc</ability>
      <abilityName>标点符号检查</abilityName>
      <candidateList>
        <item>（</item>
      </candidateList>
      <explain/>
      <paraID>76CC27E0</paraID>
      <start>5</start>
      <end>7</end>
      <status>unmodified</status>
      <modifiedWord/>
      <trackRevisions>false</trackRevisions>
    </reviewItem>
    <reviewItem>
      <errorID>9b77a9eb-081c-490c-acb3-1d9ab3a089a2</errorID>
      <errorWord>（/</errorWord>
      <group>L1_Punc</group>
      <groupName>标点问题</groupName>
      <ability>L2_Punc</ability>
      <abilityName>标点符号检查</abilityName>
      <candidateList>
        <item>（</item>
      </candidateList>
      <explain/>
      <paraID>62EFBDD1</paraID>
      <start>3</start>
      <end>5</end>
      <status>unmodified</status>
      <modifiedWord/>
      <trackRevisions>false</trackRevisions>
    </reviewItem>
    <reviewItem>
      <errorID>299f5a9e-b28c-46b6-b3d8-027e469a3dbf</errorID>
      <errorWord>（/</errorWord>
      <group>L1_Punc</group>
      <groupName>标点问题</groupName>
      <ability>L2_Punc</ability>
      <abilityName>标点符号检查</abilityName>
      <candidateList>
        <item>（</item>
      </candidateList>
      <explain/>
      <paraID>3BDAB004</paraID>
      <start>21</start>
      <end>23</end>
      <status>unmodified</status>
      <modifiedWord/>
      <trackRevisions>false</trackRevisions>
    </reviewItem>
    <reviewItem>
      <errorID>7e716dc4-d6cf-4c40-8044-481d8ced4346</errorID>
      <errorWord>，</errorWord>
      <group>L1_Format</group>
      <groupName>格式问题</groupName>
      <ability>L2_HalfPunc</ability>
      <abilityName>全半角检查</abilityName>
      <candidateList>
        <item>, </item>
      </candidateList>
      <explain>文本全半角错误。</explain>
      <paraID>614FC41A</paraID>
      <start>30</start>
      <end>31</end>
      <status>unmodified</status>
      <modifiedWord/>
      <trackRevisions>false</trackRevisions>
    </reviewItem>
    <reviewItem>
      <errorID>84d6d680-c7d4-455e-b9ff-aaaf6f8afe21</errorID>
      <errorWord>重点保护与</errorWord>
      <group>L1_Word</group>
      <groupName>字词问题</groupName>
      <ability>L2_Typo</ability>
      <abilityName>字词错误</abilityName>
      <candidateList>
        <item>重点保护</item>
      </candidateList>
      <explain/>
      <paraID>6094B1CF</paraID>
      <start>0</start>
      <end>5</end>
      <status>unmodified</status>
      <modifiedWord/>
      <trackRevisions>false</trackRevisions>
    </reviewItem>
    <reviewItem>
      <errorID>90ca002c-e147-4094-9d1b-c950d03a936a</errorID>
      <errorWord>年</errorWord>
      <group>L1_Word</group>
      <groupName>字词问题</groupName>
      <ability>L2_Typo</ability>
      <abilityName>字词错误</abilityName>
      <candidateList>
        <item>年度</item>
      </candidateList>
      <explain/>
      <paraID>256E7E6A</paraID>
      <start>2</start>
      <end>3</end>
      <status>unmodified</status>
      <modifiedWord/>
      <trackRevisions>false</trackRevisions>
    </reviewItem>
    <reviewItem>
      <errorID>093e2893-7db2-4b7e-9980-c5f9df14ca26</errorID>
      <errorWord>（</errorWord>
      <group>L1_Word</group>
      <groupName>字词问题</groupName>
      <ability>L2_Typo</ability>
      <abilityName>字词错误</abilityName>
      <candidateList>
        <item>（一</item>
      </candidateList>
      <explain/>
      <paraID>256E7E6A</paraID>
      <start>7</start>
      <end>8</end>
      <status>unmodified</status>
      <modifiedWord/>
      <trackRevisions>false</trackRevisions>
    </reviewItem>
    <reviewItem>
      <errorID>83f71e50-e079-4bfe-9eb0-03e53850ec7a</errorID>
      <errorWord>上线</errorWord>
      <group>L1_Word</group>
      <groupName>字词问题</groupName>
      <ability>L2_Typo</ability>
      <abilityName>字词错误</abilityName>
      <candidateList>
        <item>上限</item>
      </candidateList>
      <explain/>
      <paraID>7319FB40</paraID>
      <start>21</start>
      <end>23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dd1fa2-64cd-4e1e-b458-5fb6ee9326b8}">
  <ds:schemaRefs/>
</ds:datastoreItem>
</file>

<file path=docProps/app.xml><?xml version="1.0" encoding="utf-8"?>
<Properties xmlns="http://schemas.openxmlformats.org/officeDocument/2006/extended-properties" xmlns:vt="http://schemas.openxmlformats.org/officeDocument/2006/docPropsVTypes">
  <Template>Normal.dotm</Template>
  <Pages>220</Pages>
  <Words>9550</Words>
  <Characters>10462</Characters>
  <Lines>0</Lines>
  <Paragraphs>0</Paragraphs>
  <TotalTime>1</TotalTime>
  <ScaleCrop>false</ScaleCrop>
  <LinksUpToDate>false</LinksUpToDate>
  <CharactersWithSpaces>10554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2021-10-02T02:19:00Z</dcterms:created>
  <dc:creator>媛_mayu01</dc:creator>
  <cp:lastModifiedBy>Administrator</cp:lastModifiedBy>
  <cp:lastPrinted>2025-07-05T06:31:00Z</cp:lastPrinted>
  <dcterms:modified xsi:type="dcterms:W3CDTF">2026-01-07T00:28:08Z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101957BB69754671994ACD34FF778A50_13</vt:lpwstr>
  </property>
  <property fmtid="{D5CDD505-2E9C-101B-9397-08002B2CF9AE}" pid="4" name="KSOTemplateDocerSaveRecord">
    <vt:lpwstr>eyJoZGlkIjoiMWZlZGMzZDMyZjI3MDY1NTk5YzNiYTM0M2MwYjg0NDkiLCJ1c2VySWQiOiIxMDYwNDUzODc1In0=</vt:lpwstr>
  </property>
</Properties>
</file>